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172.png" ContentType="image/png"/>
  <Override PartName="/word/media/rId25.png" ContentType="image/png"/>
  <Override PartName="/word/media/rId29.png" ContentType="image/png"/>
  <Override PartName="/word/media/rId37.png" ContentType="image/png"/>
  <Override PartName="/word/media/rId94.png" ContentType="image/png"/>
  <Override PartName="/word/media/rId97.png" ContentType="image/png"/>
  <Override PartName="/word/media/rId101.png" ContentType="image/png"/>
  <Override PartName="/word/media/rId105.png" ContentType="image/png"/>
  <Override PartName="/word/media/rId108.png" ContentType="image/png"/>
  <Override PartName="/word/media/rId112.png" ContentType="image/png"/>
  <Override PartName="/word/media/rId116.png" ContentType="image/png"/>
  <Override PartName="/word/media/rId119.png" ContentType="image/png"/>
  <Override PartName="/word/media/rId123.png" ContentType="image/png"/>
  <Override PartName="/word/media/rId127.png" ContentType="image/png"/>
  <Override PartName="/word/media/rId130.png" ContentType="image/png"/>
  <Override PartName="/word/media/rId134.png" ContentType="image/png"/>
  <Override PartName="/word/media/rId154.png" ContentType="image/png"/>
  <Override PartName="/word/media/rId157.png" ContentType="image/png"/>
  <Override PartName="/word/media/rId161.png" ContentType="image/png"/>
  <Override PartName="/word/media/rId165.png" ContentType="image/png"/>
  <Override PartName="/word/media/rId168.png" ContentType="image/png"/>
  <Override PartName="/word/media/rId53.png" ContentType="image/png"/>
  <Override PartName="/word/media/rId57.png" ContentType="image/png"/>
  <Override PartName="/word/media/rId71.png" ContentType="image/png"/>
  <Override PartName="/word/media/rId74.png" ContentType="image/png"/>
  <Override PartName="/word/media/rId78.png" ContentType="image/png"/>
  <Override PartName="/word/media/rId82.png" ContentType="image/png"/>
  <Override PartName="/word/media/rId86.png" ContentType="image/png"/>
  <Override PartName="/word/media/rId90.png" ContentType="image/png"/>
  <Override PartName="/word/media/rId239.png" ContentType="image/png"/>
  <Override PartName="/word/media/rId219.png" ContentType="image/png"/>
  <Override PartName="/word/media/rId223.png" ContentType="image/png"/>
  <Override PartName="/word/media/rId235.png" ContentType="image/png"/>
  <Override PartName="/word/media/rId227.png" ContentType="image/png"/>
  <Override PartName="/word/media/rId231.png" ContentType="image/png"/>
  <Override PartName="/word/media/rId199.png" ContentType="image/png"/>
  <Override PartName="/word/media/rId203.png" ContentType="image/png"/>
  <Override PartName="/word/media/rId215.png" ContentType="image/png"/>
  <Override PartName="/word/media/rId207.png" ContentType="image/png"/>
  <Override PartName="/word/media/rId211.png" ContentType="image/png"/>
  <Override PartName="/word/media/rId20.jpg" ContentType="image/jpeg"/>
  <Override PartName="/word/media/rId45.jpg" ContentType="image/jpeg"/>
  <Override PartName="/word/media/rId140.jpg" ContentType="image/jpeg"/>
  <Override PartName="/word/media/rId144.jpg" ContentType="image/jpeg"/>
  <Override PartName="/word/media/rId49.jpg" ContentType="image/jpeg"/>
  <Override PartName="/word/media/rId148.jpg" ContentType="image/jpeg"/>
  <Override PartName="/word/media/rId177.png" ContentType="image/png"/>
  <Override PartName="/word/media/rId181.png" ContentType="image/png"/>
  <Override PartName="/word/media/rId185.png" ContentType="image/png"/>
  <Override PartName="/word/media/rId189.png" ContentType="image/png"/>
  <Override PartName="/word/media/rId1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Analysis and visualization</w:t>
      </w:r>
    </w:p>
    <w:p>
      <w:pPr>
        <w:pStyle w:val="Date"/>
      </w:pPr>
      <w:r>
        <w:t xml:space="preserve">2026-05-10</w:t>
      </w:r>
    </w:p>
    <w:p>
      <w:pPr>
        <w:pStyle w:val="FirstParagraph"/>
      </w:pPr>
      <w:r>
        <w:t xml:space="preserve">This is an R Markdown document for easy access to and recreation of the figures</w:t>
      </w:r>
      <w:r>
        <w:t xml:space="preserve"> </w:t>
      </w:r>
      <w:r>
        <w:t xml:space="preserve">for the manuscript</w:t>
      </w:r>
      <w:r>
        <w:t xml:space="preserve"> </w:t>
      </w:r>
      <w:r>
        <w:t xml:space="preserve">“Measuring the health benefits, costs, and cost-effectiveness of antimicrobial-resistant gonorrhea surveillance in the United States”</w:t>
      </w:r>
      <w:r>
        <w:t xml:space="preserve">, currently in revision at</w:t>
      </w:r>
      <w:r>
        <w:t xml:space="preserve"> </w:t>
      </w:r>
      <w:r>
        <w:rPr>
          <w:i/>
          <w:iCs/>
        </w:rPr>
        <w:t xml:space="preserve">Lancet Public Health Americas.</w:t>
      </w:r>
    </w:p>
    <w:p>
      <w:pPr>
        <w:pStyle w:val="SourceCode"/>
      </w:pPr>
      <w:r>
        <w:rPr>
          <w:rStyle w:val="CommentTok"/>
        </w:rPr>
        <w:t xml:space="preserve">#calibration and main text</w:t>
      </w:r>
      <w:r>
        <w:br/>
      </w:r>
      <w:r>
        <w:rPr>
          <w:rStyle w:val="FunctionTok"/>
        </w:rPr>
        <w:t xml:space="preserve">load</w:t>
      </w:r>
      <w:r>
        <w:rPr>
          <w:rStyle w:val="NormalTok"/>
        </w:rPr>
        <w:t xml:space="preserve">(</w:t>
      </w:r>
      <w:r>
        <w:rPr>
          <w:rStyle w:val="StringTok"/>
        </w:rPr>
        <w:t xml:space="preserve">"figure data/sweepdata.RData"</w:t>
      </w:r>
      <w:r>
        <w:rPr>
          <w:rStyle w:val="NormalTok"/>
        </w:rPr>
        <w:t xml:space="preserve">)</w:t>
      </w:r>
      <w:r>
        <w:br/>
      </w:r>
      <w:r>
        <w:rPr>
          <w:rStyle w:val="FunctionTok"/>
        </w:rPr>
        <w:t xml:space="preserve">load</w:t>
      </w:r>
      <w:r>
        <w:rPr>
          <w:rStyle w:val="NormalTok"/>
        </w:rPr>
        <w:t xml:space="preserve">(</w:t>
      </w:r>
      <w:r>
        <w:rPr>
          <w:rStyle w:val="StringTok"/>
        </w:rPr>
        <w:t xml:space="preserve">"figure data/parcaldata.RData"</w:t>
      </w:r>
      <w:r>
        <w:rPr>
          <w:rStyle w:val="NormalTok"/>
        </w:rPr>
        <w:t xml:space="preserve">)</w:t>
      </w:r>
      <w:r>
        <w:br/>
      </w:r>
      <w:r>
        <w:rPr>
          <w:rStyle w:val="FunctionTok"/>
        </w:rPr>
        <w:t xml:space="preserve">load</w:t>
      </w:r>
      <w:r>
        <w:rPr>
          <w:rStyle w:val="NormalTok"/>
        </w:rPr>
        <w:t xml:space="preserve">(</w:t>
      </w:r>
      <w:r>
        <w:rPr>
          <w:rStyle w:val="StringTok"/>
        </w:rPr>
        <w:t xml:space="preserve">"figure data/calnoresist.RData"</w:t>
      </w:r>
      <w:r>
        <w:rPr>
          <w:rStyle w:val="NormalTok"/>
        </w:rPr>
        <w:t xml:space="preserve">)</w:t>
      </w:r>
      <w:r>
        <w:br/>
      </w:r>
      <w:r>
        <w:rPr>
          <w:rStyle w:val="FunctionTok"/>
        </w:rPr>
        <w:t xml:space="preserve">load</w:t>
      </w:r>
      <w:r>
        <w:rPr>
          <w:rStyle w:val="NormalTok"/>
        </w:rPr>
        <w:t xml:space="preserve">(</w:t>
      </w:r>
      <w:r>
        <w:rPr>
          <w:rStyle w:val="StringTok"/>
        </w:rPr>
        <w:t xml:space="preserve">"figure data/mainresults.RData"</w:t>
      </w:r>
      <w:r>
        <w:rPr>
          <w:rStyle w:val="NormalTok"/>
        </w:rPr>
        <w:t xml:space="preserve">)</w:t>
      </w:r>
      <w:r>
        <w:br/>
      </w:r>
      <w:r>
        <w:br/>
      </w:r>
      <w:r>
        <w:rPr>
          <w:rStyle w:val="CommentTok"/>
        </w:rPr>
        <w:t xml:space="preserve">#supplement data</w:t>
      </w:r>
      <w:r>
        <w:br/>
      </w:r>
      <w:r>
        <w:rPr>
          <w:rStyle w:val="FunctionTok"/>
        </w:rPr>
        <w:t xml:space="preserve">load</w:t>
      </w:r>
      <w:r>
        <w:rPr>
          <w:rStyle w:val="NormalTok"/>
        </w:rPr>
        <w:t xml:space="preserve">(</w:t>
      </w:r>
      <w:r>
        <w:rPr>
          <w:rStyle w:val="StringTok"/>
        </w:rPr>
        <w:t xml:space="preserve">"figure data/drugXresults.RData"</w:t>
      </w:r>
      <w:r>
        <w:rPr>
          <w:rStyle w:val="NormalTok"/>
        </w:rPr>
        <w:t xml:space="preserve">)</w:t>
      </w:r>
      <w:r>
        <w:br/>
      </w:r>
      <w:r>
        <w:rPr>
          <w:rStyle w:val="FunctionTok"/>
        </w:rPr>
        <w:t xml:space="preserve">load</w:t>
      </w:r>
      <w:r>
        <w:rPr>
          <w:rStyle w:val="NormalTok"/>
        </w:rPr>
        <w:t xml:space="preserve">(</w:t>
      </w:r>
      <w:r>
        <w:rPr>
          <w:rStyle w:val="StringTok"/>
        </w:rPr>
        <w:t xml:space="preserve">"figure data/gispswitchdata.RData"</w:t>
      </w:r>
      <w:r>
        <w:rPr>
          <w:rStyle w:val="NormalTok"/>
        </w:rPr>
        <w:t xml:space="preserve">)</w:t>
      </w:r>
      <w:r>
        <w:br/>
      </w:r>
      <w:r>
        <w:rPr>
          <w:rStyle w:val="FunctionTok"/>
        </w:rPr>
        <w:t xml:space="preserve">load</w:t>
      </w:r>
      <w:r>
        <w:rPr>
          <w:rStyle w:val="NormalTok"/>
        </w:rPr>
        <w:t xml:space="preserve">(</w:t>
      </w:r>
      <w:r>
        <w:rPr>
          <w:rStyle w:val="StringTok"/>
        </w:rPr>
        <w:t xml:space="preserve">"figure data/adherencesymptomaticresults.RData"</w:t>
      </w:r>
      <w:r>
        <w:rPr>
          <w:rStyle w:val="NormalTok"/>
        </w:rPr>
        <w:t xml:space="preserve">)</w:t>
      </w:r>
      <w:r>
        <w:br/>
      </w:r>
      <w:r>
        <w:rPr>
          <w:rStyle w:val="FunctionTok"/>
        </w:rPr>
        <w:t xml:space="preserve">load</w:t>
      </w:r>
      <w:r>
        <w:rPr>
          <w:rStyle w:val="NormalTok"/>
        </w:rPr>
        <w:t xml:space="preserve">(</w:t>
      </w:r>
      <w:r>
        <w:rPr>
          <w:rStyle w:val="StringTok"/>
        </w:rPr>
        <w:t xml:space="preserve">"figure data/adherenceasymptomaticresults.RData"</w:t>
      </w:r>
      <w:r>
        <w:rPr>
          <w:rStyle w:val="NormalTok"/>
        </w:rPr>
        <w:t xml:space="preserve">)</w:t>
      </w:r>
      <w:r>
        <w:br/>
      </w:r>
      <w:r>
        <w:rPr>
          <w:rStyle w:val="FunctionTok"/>
        </w:rPr>
        <w:t xml:space="preserve">load</w:t>
      </w:r>
      <w:r>
        <w:rPr>
          <w:rStyle w:val="NormalTok"/>
        </w:rPr>
        <w:t xml:space="preserve">(</w:t>
      </w:r>
      <w:r>
        <w:rPr>
          <w:rStyle w:val="StringTok"/>
        </w:rPr>
        <w:t xml:space="preserve">"figure data/dstdata.RData"</w:t>
      </w:r>
      <w:r>
        <w:rPr>
          <w:rStyle w:val="NormalTok"/>
        </w:rPr>
        <w:t xml:space="preserve">)</w:t>
      </w:r>
      <w:r>
        <w:br/>
      </w:r>
      <w:r>
        <w:rPr>
          <w:rStyle w:val="FunctionTok"/>
        </w:rPr>
        <w:t xml:space="preserve">load</w:t>
      </w:r>
      <w:r>
        <w:rPr>
          <w:rStyle w:val="NormalTok"/>
        </w:rPr>
        <w:t xml:space="preserve">(</w:t>
      </w:r>
      <w:r>
        <w:rPr>
          <w:rStyle w:val="StringTok"/>
        </w:rPr>
        <w:t xml:space="preserve">"figure data/comboandmixedtesting.RData"</w:t>
      </w:r>
      <w:r>
        <w:rPr>
          <w:rStyle w:val="NormalTok"/>
        </w:rPr>
        <w:t xml:space="preserve">)</w:t>
      </w:r>
      <w:r>
        <w:br/>
      </w:r>
      <w:r>
        <w:rPr>
          <w:rStyle w:val="FunctionTok"/>
        </w:rPr>
        <w:t xml:space="preserve">load</w:t>
      </w:r>
      <w:r>
        <w:rPr>
          <w:rStyle w:val="NormalTok"/>
        </w:rPr>
        <w:t xml:space="preserve">(</w:t>
      </w:r>
      <w:r>
        <w:rPr>
          <w:rStyle w:val="StringTok"/>
        </w:rPr>
        <w:t xml:space="preserve">"figure data/fitnessCostData.RData"</w:t>
      </w:r>
      <w:r>
        <w:rPr>
          <w:rStyle w:val="NormalTok"/>
        </w:rPr>
        <w:t xml:space="preserve">)</w:t>
      </w:r>
    </w:p>
    <w:bookmarkStart w:id="23" w:name="figure-1"/>
    <w:p>
      <w:pPr>
        <w:pStyle w:val="Heading1"/>
      </w:pPr>
      <w:r>
        <w:t xml:space="preserve">Figure 1</w:t>
      </w:r>
    </w:p>
    <w:p>
      <w:pPr>
        <w:pStyle w:val="CaptionedFigure"/>
      </w:pPr>
      <w:r>
        <w:drawing>
          <wp:inline>
            <wp:extent cx="5334000" cy="2456971"/>
            <wp:effectExtent b="0" l="0" r="0" t="0"/>
            <wp:docPr descr="Figure 1." title="" id="21" name="Picture"/>
            <a:graphic>
              <a:graphicData uri="http://schemas.openxmlformats.org/drawingml/2006/picture">
                <pic:pic>
                  <pic:nvPicPr>
                    <pic:cNvPr descr="Figure%201.jpg" id="22" name="Picture"/>
                    <pic:cNvPicPr>
                      <a:picLocks noChangeArrowheads="1" noChangeAspect="1"/>
                    </pic:cNvPicPr>
                  </pic:nvPicPr>
                  <pic:blipFill>
                    <a:blip r:embed="rId20"/>
                    <a:stretch>
                      <a:fillRect/>
                    </a:stretch>
                  </pic:blipFill>
                  <pic:spPr bwMode="auto">
                    <a:xfrm>
                      <a:off x="0" y="0"/>
                      <a:ext cx="5334000" cy="2456971"/>
                    </a:xfrm>
                    <a:prstGeom prst="rect">
                      <a:avLst/>
                    </a:prstGeom>
                    <a:noFill/>
                    <a:ln w="9525">
                      <a:noFill/>
                      <a:headEnd/>
                      <a:tailEnd/>
                    </a:ln>
                  </pic:spPr>
                </pic:pic>
              </a:graphicData>
            </a:graphic>
          </wp:inline>
        </w:drawing>
      </w:r>
    </w:p>
    <w:p>
      <w:pPr>
        <w:pStyle w:val="ImageCaption"/>
      </w:pPr>
      <w:r>
        <w:rPr>
          <w:b/>
          <w:bCs/>
        </w:rPr>
        <w:t xml:space="preserve">Figure 1.</w:t>
      </w:r>
    </w:p>
    <w:p>
      <w:pPr>
        <w:pStyle w:val="BodyText"/>
      </w:pPr>
      <w:r>
        <w:t xml:space="preserve">Figure 1. Diagram of the major processes of the model, showing the generic treatment pathway.</w:t>
      </w:r>
      <w:r>
        <w:t xml:space="preserve"> </w:t>
      </w:r>
      <w:r>
        <w:t xml:space="preserve">“sus A”</w:t>
      </w:r>
      <w:r>
        <w:t xml:space="preserve"> </w:t>
      </w:r>
      <w:r>
        <w:t xml:space="preserve">and</w:t>
      </w:r>
      <w:r>
        <w:t xml:space="preserve"> </w:t>
      </w:r>
      <w:r>
        <w:t xml:space="preserve">“sus B”</w:t>
      </w:r>
      <w:r>
        <w:t xml:space="preserve"> </w:t>
      </w:r>
      <w:r>
        <w:t xml:space="preserve">represent susceptibility to drug A and drug B, respectively, and</w:t>
      </w:r>
      <w:r>
        <w:t xml:space="preserve"> </w:t>
      </w:r>
      <w:r>
        <w:t xml:space="preserve">“resist A”</w:t>
      </w:r>
      <w:r>
        <w:t xml:space="preserve"> </w:t>
      </w:r>
      <w:r>
        <w:t xml:space="preserve">and</w:t>
      </w:r>
      <w:r>
        <w:t xml:space="preserve"> </w:t>
      </w:r>
      <w:r>
        <w:t xml:space="preserve">“resist B”</w:t>
      </w:r>
      <w:r>
        <w:t xml:space="preserve"> </w:t>
      </w:r>
      <w:r>
        <w:t xml:space="preserve">represent resistance to drug A and drug B, respectively. Dice icon indicates a pseudo-random event, whose probability is controlled by a parameter. The clock icon indicates that time elapses before the next event occurs; arrows without clock icons indicate that the next event takes place immediately (except for treatment success, which has a delay of 3 days on average).</w:t>
      </w:r>
    </w:p>
    <w:bookmarkEnd w:id="23"/>
    <w:bookmarkStart w:id="24" w:name="calibration"/>
    <w:p>
      <w:pPr>
        <w:pStyle w:val="Heading1"/>
      </w:pPr>
      <w:r>
        <w:t xml:space="preserve">Calibration</w:t>
      </w:r>
    </w:p>
    <w:bookmarkEnd w:id="24"/>
    <w:bookmarkStart w:id="28" w:name="figure-2"/>
    <w:p>
      <w:pPr>
        <w:pStyle w:val="Heading1"/>
      </w:pPr>
      <w:r>
        <w:t xml:space="preserve">Figure 2</w:t>
      </w:r>
    </w:p>
    <w:p>
      <w:pPr>
        <w:pStyle w:val="FirstParagraph"/>
      </w:pPr>
      <w:r>
        <w:drawing>
          <wp:inline>
            <wp:extent cx="5334000" cy="1798835"/>
            <wp:effectExtent b="0" l="0" r="0" t="0"/>
            <wp:docPr descr="" title="" id="26" name="Picture"/>
            <a:graphic>
              <a:graphicData uri="http://schemas.openxmlformats.org/drawingml/2006/picture">
                <pic:pic>
                  <pic:nvPicPr>
                    <pic:cNvPr descr="Analysis-and-visualization_files/figure-docx/figure2-1.png" id="27" name="Picture"/>
                    <pic:cNvPicPr>
                      <a:picLocks noChangeArrowheads="1" noChangeAspect="1"/>
                    </pic:cNvPicPr>
                  </pic:nvPicPr>
                  <pic:blipFill>
                    <a:blip r:embed="rId25"/>
                    <a:stretch>
                      <a:fillRect/>
                    </a:stretch>
                  </pic:blipFill>
                  <pic:spPr bwMode="auto">
                    <a:xfrm>
                      <a:off x="0" y="0"/>
                      <a:ext cx="5334000" cy="1798835"/>
                    </a:xfrm>
                    <a:prstGeom prst="rect">
                      <a:avLst/>
                    </a:prstGeom>
                    <a:noFill/>
                    <a:ln w="9525">
                      <a:noFill/>
                      <a:headEnd/>
                      <a:tailEnd/>
                    </a:ln>
                  </pic:spPr>
                </pic:pic>
              </a:graphicData>
            </a:graphic>
          </wp:inline>
        </w:drawing>
      </w:r>
    </w:p>
    <w:p>
      <w:pPr>
        <w:pStyle w:val="BodyText"/>
      </w:pPr>
      <w:r>
        <w:t xml:space="preserve">Figure 2. Comparing calibration targets (shown in red) with simulated trajectories without AMR for 25 years. A) prevalence of infection. B) gonorrhea cases detected per 100,000. C) proportion of detected cases that present with symptoms. Darkness of the black lines relates to how frequently that trajectory was resampled, according to its likelihood when compared to the calibration target. Red dots indicate the observed value, and the red error bars indicate the confidence interval (see text for data sources). The grey region represents the calibration period.</w:t>
      </w:r>
    </w:p>
    <w:bookmarkEnd w:id="28"/>
    <w:bookmarkStart w:id="32" w:name="figure-3"/>
    <w:p>
      <w:pPr>
        <w:pStyle w:val="Heading1"/>
      </w:pPr>
      <w:r>
        <w:t xml:space="preserve">Figure 3</w:t>
      </w:r>
    </w:p>
    <w:p>
      <w:pPr>
        <w:pStyle w:val="FirstParagraph"/>
      </w:pPr>
      <w:r>
        <w:drawing>
          <wp:inline>
            <wp:extent cx="5334000" cy="2000250"/>
            <wp:effectExtent b="0" l="0" r="0" t="0"/>
            <wp:docPr descr="" title="" id="30" name="Picture"/>
            <a:graphic>
              <a:graphicData uri="http://schemas.openxmlformats.org/drawingml/2006/picture">
                <pic:pic>
                  <pic:nvPicPr>
                    <pic:cNvPr descr="Analysis-and-visualization_files/figure-docx/figure3-1.png" id="31" name="Picture"/>
                    <pic:cNvPicPr>
                      <a:picLocks noChangeArrowheads="1" noChangeAspect="1"/>
                    </pic:cNvPicPr>
                  </pic:nvPicPr>
                  <pic:blipFill>
                    <a:blip r:embed="rId29"/>
                    <a:stretch>
                      <a:fillRect/>
                    </a:stretch>
                  </pic:blipFill>
                  <pic:spPr bwMode="auto">
                    <a:xfrm>
                      <a:off x="0" y="0"/>
                      <a:ext cx="5334000" cy="2000250"/>
                    </a:xfrm>
                    <a:prstGeom prst="rect">
                      <a:avLst/>
                    </a:prstGeom>
                    <a:noFill/>
                    <a:ln w="9525">
                      <a:noFill/>
                      <a:headEnd/>
                      <a:tailEnd/>
                    </a:ln>
                  </pic:spPr>
                </pic:pic>
              </a:graphicData>
            </a:graphic>
          </wp:inline>
        </w:drawing>
      </w:r>
    </w:p>
    <w:p>
      <w:pPr>
        <w:pStyle w:val="BodyText"/>
      </w:pPr>
      <w:r>
        <w:t xml:space="preserve">Figure 3. Cumulative outcomes for the four mitigation strategies, beginning at the end of the calibration period and continuing to the end of each simulation. Dot indicates the mean model prediction; line corresponds to the 95% uncertainty interval (i.e., extending from the 2.5% quantile to the 97.5% quantile). A) total infection incidence, including both detected and undetected infections. B) percentage of treatment attempts that resulted in treatment failure for drugs A, B, and X. C) count of treatments with ertapenem</w:t>
      </w:r>
    </w:p>
    <w:bookmarkEnd w:id="32"/>
    <w:bookmarkStart w:id="36" w:name="figure-4"/>
    <w:p>
      <w:pPr>
        <w:pStyle w:val="Heading1"/>
      </w:pPr>
      <w:r>
        <w:t xml:space="preserve">Figure 4</w:t>
      </w:r>
    </w:p>
    <w:p>
      <w:pPr>
        <w:pStyle w:val="FirstParagraph"/>
      </w:pPr>
      <w:r>
        <w:drawing>
          <wp:inline>
            <wp:extent cx="5334000" cy="7334250"/>
            <wp:effectExtent b="0" l="0" r="0" t="0"/>
            <wp:docPr descr="" title="" id="34" name="Picture"/>
            <a:graphic>
              <a:graphicData uri="http://schemas.openxmlformats.org/drawingml/2006/picture">
                <pic:pic>
                  <pic:nvPicPr>
                    <pic:cNvPr descr="Analysis-and-visualization_files/figure-docx/Figure4-1.png" id="35" name="Picture"/>
                    <pic:cNvPicPr>
                      <a:picLocks noChangeArrowheads="1" noChangeAspect="1"/>
                    </pic:cNvPicPr>
                  </pic:nvPicPr>
                  <pic:blipFill>
                    <a:blip r:embed="rId33"/>
                    <a:stretch>
                      <a:fillRect/>
                    </a:stretch>
                  </pic:blipFill>
                  <pic:spPr bwMode="auto">
                    <a:xfrm>
                      <a:off x="0" y="0"/>
                      <a:ext cx="5334000" cy="7334250"/>
                    </a:xfrm>
                    <a:prstGeom prst="rect">
                      <a:avLst/>
                    </a:prstGeom>
                    <a:noFill/>
                    <a:ln w="9525">
                      <a:noFill/>
                      <a:headEnd/>
                      <a:tailEnd/>
                    </a:ln>
                  </pic:spPr>
                </pic:pic>
              </a:graphicData>
            </a:graphic>
          </wp:inline>
        </w:drawing>
      </w:r>
    </w:p>
    <w:p>
      <w:pPr>
        <w:pStyle w:val="BodyText"/>
      </w:pPr>
      <w:r>
        <w:t xml:space="preserve">Figure 4. Trends over time in cases detected (first row), prevalence of AMR strains (rows 2-4), treatment failure rate (row 5), and usage of ertapenem, the last-line treatment (row 6) across four strategies. GISP: the surveillance strategy; RT: randomized treatment strategy; TOC: test-of-cure strategy; Combo: combination of RT and TOC. The gray box indicates the calibration period, during which all strategies performed identically. The dashed vertical line indicates when drug X became available in the simulation. Darkness of trajectory lines relates to their likelihood weights (see S1.3).</w:t>
      </w:r>
    </w:p>
    <w:bookmarkEnd w:id="36"/>
    <w:bookmarkStart w:id="40" w:name="figure-5"/>
    <w:p>
      <w:pPr>
        <w:pStyle w:val="Heading1"/>
      </w:pPr>
      <w:r>
        <w:t xml:space="preserve">Figure 5</w:t>
      </w:r>
    </w:p>
    <w:p>
      <w:pPr>
        <w:pStyle w:val="FirstParagraph"/>
      </w:pPr>
      <w:r>
        <w:drawing>
          <wp:inline>
            <wp:extent cx="4876800" cy="4876800"/>
            <wp:effectExtent b="0" l="0" r="0" t="0"/>
            <wp:docPr descr="" title="" id="38" name="Picture"/>
            <a:graphic>
              <a:graphicData uri="http://schemas.openxmlformats.org/drawingml/2006/picture">
                <pic:pic>
                  <pic:nvPicPr>
                    <pic:cNvPr descr="Analysis-and-visualization_files/figure-docx/figure5-1.png" id="39" name="Picture"/>
                    <pic:cNvPicPr>
                      <a:picLocks noChangeArrowheads="1" noChangeAspect="1"/>
                    </pic:cNvPicPr>
                  </pic:nvPicPr>
                  <pic:blipFill>
                    <a:blip r:embed="rId37"/>
                    <a:stretch>
                      <a:fillRect/>
                    </a:stretch>
                  </pic:blipFill>
                  <pic:spPr bwMode="auto">
                    <a:xfrm>
                      <a:off x="0" y="0"/>
                      <a:ext cx="4876800" cy="4876800"/>
                    </a:xfrm>
                    <a:prstGeom prst="rect">
                      <a:avLst/>
                    </a:prstGeom>
                    <a:noFill/>
                    <a:ln w="9525">
                      <a:noFill/>
                      <a:headEnd/>
                      <a:tailEnd/>
                    </a:ln>
                  </pic:spPr>
                </pic:pic>
              </a:graphicData>
            </a:graphic>
          </wp:inline>
        </w:drawing>
      </w:r>
    </w:p>
    <w:p>
      <w:pPr>
        <w:pStyle w:val="BodyText"/>
      </w:pPr>
      <w:r>
        <w:t xml:space="preserve">Figure 5. Cost-effectiveness analysis of GISP and three counterfactual strategies. Combination of TOC and RT (Combo) is used as the reference strategy, located at (0,0). Small dots are values from individual trajectories, diamonds are means of each counterfactual (mean was weighted by how frequently that trajectory had been resampled during calibration.)</w:t>
      </w:r>
    </w:p>
    <w:bookmarkEnd w:id="40"/>
    <w:bookmarkStart w:id="42" w:name="table-1-mean-cumulative-results"/>
    <w:p>
      <w:pPr>
        <w:pStyle w:val="Heading1"/>
      </w:pPr>
      <w:r>
        <w:t xml:space="preserve">Table 1 Mean Cumulative Results</w:t>
      </w:r>
    </w:p>
    <w:p>
      <w:pPr>
        <w:pStyle w:val="FirstParagraph"/>
      </w:pPr>
      <w:r>
        <w:t xml:space="preserve">Table 1. Mean cumulative results (uncertainty intervals) of four measures of gonorrhea burden: gonorrhea incidence, antimicrobial-resistant (AMR) gonorrhea incidence, treatment failure rate, and total count of treatments with ertapenem</w:t>
      </w:r>
    </w:p>
    <w:tbl>
      <w:tblPr>
        <w:tblStyle w:val="Table"/>
        <w:tblW w:type="pct" w:w="5000"/>
        <w:tblLayout w:type="fixed"/>
        <w:tblLook w:firstRow="1" w:lastRow="0" w:firstColumn="0" w:lastColumn="0" w:noHBand="0" w:noVBand="0" w:val="0020"/>
      </w:tblPr>
      <w:tblGrid>
        <w:gridCol w:w="1498"/>
        <w:gridCol w:w="1498"/>
        <w:gridCol w:w="1855"/>
        <w:gridCol w:w="1498"/>
        <w:gridCol w:w="1569"/>
      </w:tblGrid>
      <w:tr>
        <w:trPr>
          <w:tblHeader w:val="on"/>
        </w:trPr>
        <w:tc>
          <w:tcPr/>
          <w:p>
            <w:pPr>
              <w:pStyle w:val="Compact"/>
            </w:pPr>
          </w:p>
        </w:tc>
        <w:tc>
          <w:tcPr/>
          <w:p>
            <w:pPr>
              <w:pStyle w:val="Compact"/>
              <w:jc w:val="left"/>
            </w:pPr>
            <w:r>
              <w:t xml:space="preserve">GISP</w:t>
            </w:r>
          </w:p>
        </w:tc>
        <w:tc>
          <w:tcPr/>
          <w:p>
            <w:pPr>
              <w:pStyle w:val="Compact"/>
              <w:jc w:val="left"/>
            </w:pPr>
            <w:r>
              <w:t xml:space="preserve">Randomized Treatment (RT)</w:t>
            </w:r>
          </w:p>
        </w:tc>
        <w:tc>
          <w:tcPr/>
          <w:p>
            <w:pPr>
              <w:pStyle w:val="Compact"/>
              <w:jc w:val="left"/>
            </w:pPr>
            <w:r>
              <w:t xml:space="preserve">Test of Cure (TOC)</w:t>
            </w:r>
          </w:p>
        </w:tc>
        <w:tc>
          <w:tcPr/>
          <w:p>
            <w:pPr>
              <w:pStyle w:val="Compact"/>
              <w:jc w:val="left"/>
            </w:pPr>
            <w:r>
              <w:t xml:space="preserve">Combo</w:t>
            </w:r>
          </w:p>
        </w:tc>
      </w:tr>
      <w:tr>
        <w:tc>
          <w:tcPr/>
          <w:p>
            <w:pPr>
              <w:pStyle w:val="Compact"/>
              <w:jc w:val="left"/>
            </w:pPr>
            <w:r>
              <w:t xml:space="preserve">Incidence Mean</w:t>
            </w:r>
          </w:p>
        </w:tc>
        <w:tc>
          <w:tcPr/>
          <w:p>
            <w:pPr>
              <w:pStyle w:val="Compact"/>
              <w:jc w:val="left"/>
            </w:pPr>
            <w:r>
              <w:t xml:space="preserve">1238506.97</w:t>
            </w:r>
          </w:p>
        </w:tc>
        <w:tc>
          <w:tcPr/>
          <w:p>
            <w:pPr>
              <w:pStyle w:val="Compact"/>
              <w:jc w:val="left"/>
            </w:pPr>
            <w:r>
              <w:t xml:space="preserve">1392132.52</w:t>
            </w:r>
          </w:p>
        </w:tc>
        <w:tc>
          <w:tcPr/>
          <w:p>
            <w:pPr>
              <w:pStyle w:val="Compact"/>
              <w:jc w:val="left"/>
            </w:pPr>
            <w:r>
              <w:t xml:space="preserve">1426754.52</w:t>
            </w:r>
          </w:p>
        </w:tc>
        <w:tc>
          <w:tcPr/>
          <w:p>
            <w:pPr>
              <w:pStyle w:val="Compact"/>
              <w:jc w:val="left"/>
            </w:pPr>
            <w:r>
              <w:t xml:space="preserve">1412679.02</w:t>
            </w:r>
          </w:p>
        </w:tc>
      </w:tr>
      <w:tr>
        <w:tc>
          <w:tcPr/>
          <w:p>
            <w:pPr>
              <w:pStyle w:val="Compact"/>
              <w:jc w:val="left"/>
            </w:pPr>
            <w:r>
              <w:t xml:space="preserve">Incidence Quantiles</w:t>
            </w:r>
          </w:p>
        </w:tc>
        <w:tc>
          <w:tcPr/>
          <w:p>
            <w:pPr>
              <w:pStyle w:val="Compact"/>
              <w:jc w:val="left"/>
            </w:pPr>
            <w:r>
              <w:t xml:space="preserve">538727.4, 2314388.05</w:t>
            </w:r>
          </w:p>
        </w:tc>
        <w:tc>
          <w:tcPr/>
          <w:p>
            <w:pPr>
              <w:pStyle w:val="Compact"/>
              <w:jc w:val="left"/>
            </w:pPr>
            <w:r>
              <w:t xml:space="preserve">560649.6, 2387418.3</w:t>
            </w:r>
          </w:p>
        </w:tc>
        <w:tc>
          <w:tcPr/>
          <w:p>
            <w:pPr>
              <w:pStyle w:val="Compact"/>
              <w:jc w:val="left"/>
            </w:pPr>
            <w:r>
              <w:t xml:space="preserve">559395.45, 2555639.4</w:t>
            </w:r>
          </w:p>
        </w:tc>
        <w:tc>
          <w:tcPr/>
          <w:p>
            <w:pPr>
              <w:pStyle w:val="Compact"/>
              <w:jc w:val="left"/>
            </w:pPr>
            <w:r>
              <w:t xml:space="preserve">600729.05, 2414348.85</w:t>
            </w:r>
          </w:p>
        </w:tc>
      </w:tr>
      <w:tr>
        <w:tc>
          <w:tcPr/>
          <w:p>
            <w:pPr>
              <w:pStyle w:val="Compact"/>
              <w:jc w:val="left"/>
            </w:pPr>
            <w:r>
              <w:t xml:space="preserve">resistance Mean</w:t>
            </w:r>
          </w:p>
        </w:tc>
        <w:tc>
          <w:tcPr/>
          <w:p>
            <w:pPr>
              <w:pStyle w:val="Compact"/>
              <w:jc w:val="left"/>
            </w:pPr>
            <w:r>
              <w:t xml:space="preserve">105564.05</w:t>
            </w:r>
          </w:p>
        </w:tc>
        <w:tc>
          <w:tcPr/>
          <w:p>
            <w:pPr>
              <w:pStyle w:val="Compact"/>
              <w:jc w:val="left"/>
            </w:pPr>
            <w:r>
              <w:t xml:space="preserve">530854.22</w:t>
            </w:r>
          </w:p>
        </w:tc>
        <w:tc>
          <w:tcPr/>
          <w:p>
            <w:pPr>
              <w:pStyle w:val="Compact"/>
              <w:jc w:val="left"/>
            </w:pPr>
            <w:r>
              <w:t xml:space="preserve">631123.19</w:t>
            </w:r>
          </w:p>
        </w:tc>
        <w:tc>
          <w:tcPr/>
          <w:p>
            <w:pPr>
              <w:pStyle w:val="Compact"/>
              <w:jc w:val="left"/>
            </w:pPr>
            <w:r>
              <w:t xml:space="preserve">575309.59</w:t>
            </w:r>
          </w:p>
        </w:tc>
      </w:tr>
      <w:tr>
        <w:tc>
          <w:tcPr/>
          <w:p>
            <w:pPr>
              <w:pStyle w:val="Compact"/>
              <w:jc w:val="left"/>
            </w:pPr>
            <w:r>
              <w:t xml:space="preserve">Resistance Quantiles</w:t>
            </w:r>
          </w:p>
        </w:tc>
        <w:tc>
          <w:tcPr/>
          <w:p>
            <w:pPr>
              <w:pStyle w:val="Compact"/>
              <w:jc w:val="left"/>
            </w:pPr>
            <w:r>
              <w:t xml:space="preserve">211.5, 450040.25</w:t>
            </w:r>
          </w:p>
        </w:tc>
        <w:tc>
          <w:tcPr/>
          <w:p>
            <w:pPr>
              <w:pStyle w:val="Compact"/>
              <w:jc w:val="left"/>
            </w:pPr>
            <w:r>
              <w:t xml:space="preserve">243.95, 1720638.85</w:t>
            </w:r>
          </w:p>
        </w:tc>
        <w:tc>
          <w:tcPr/>
          <w:p>
            <w:pPr>
              <w:pStyle w:val="Compact"/>
              <w:jc w:val="left"/>
            </w:pPr>
            <w:r>
              <w:t xml:space="preserve">342.85, 1916133.35</w:t>
            </w:r>
          </w:p>
        </w:tc>
        <w:tc>
          <w:tcPr/>
          <w:p>
            <w:pPr>
              <w:pStyle w:val="Compact"/>
              <w:jc w:val="left"/>
            </w:pPr>
            <w:r>
              <w:t xml:space="preserve">294.1, 1785877.85</w:t>
            </w:r>
          </w:p>
        </w:tc>
      </w:tr>
      <w:tr>
        <w:tc>
          <w:tcPr/>
          <w:p>
            <w:pPr>
              <w:pStyle w:val="Compact"/>
              <w:jc w:val="left"/>
            </w:pPr>
            <w:r>
              <w:t xml:space="preserve">Failure Mean</w:t>
            </w:r>
          </w:p>
        </w:tc>
        <w:tc>
          <w:tcPr/>
          <w:p>
            <w:pPr>
              <w:pStyle w:val="Compact"/>
              <w:jc w:val="left"/>
            </w:pPr>
            <w:r>
              <w:t xml:space="preserve">0.91</w:t>
            </w:r>
          </w:p>
        </w:tc>
        <w:tc>
          <w:tcPr/>
          <w:p>
            <w:pPr>
              <w:pStyle w:val="Compact"/>
              <w:jc w:val="left"/>
            </w:pPr>
            <w:r>
              <w:t xml:space="preserve">23.87</w:t>
            </w:r>
          </w:p>
        </w:tc>
        <w:tc>
          <w:tcPr/>
          <w:p>
            <w:pPr>
              <w:pStyle w:val="Compact"/>
              <w:jc w:val="left"/>
            </w:pPr>
            <w:r>
              <w:t xml:space="preserve">32.42</w:t>
            </w:r>
          </w:p>
        </w:tc>
        <w:tc>
          <w:tcPr/>
          <w:p>
            <w:pPr>
              <w:pStyle w:val="Compact"/>
              <w:jc w:val="left"/>
            </w:pPr>
            <w:r>
              <w:t xml:space="preserve">29.7</w:t>
            </w:r>
          </w:p>
        </w:tc>
      </w:tr>
      <w:tr>
        <w:tc>
          <w:tcPr/>
          <w:p>
            <w:pPr>
              <w:pStyle w:val="Compact"/>
              <w:jc w:val="left"/>
            </w:pPr>
            <w:r>
              <w:t xml:space="preserve">Failure Quantiles</w:t>
            </w:r>
          </w:p>
        </w:tc>
        <w:tc>
          <w:tcPr/>
          <w:p>
            <w:pPr>
              <w:pStyle w:val="Compact"/>
              <w:jc w:val="left"/>
            </w:pPr>
            <w:r>
              <w:t xml:space="preserve">0.02, 3.25</w:t>
            </w:r>
          </w:p>
        </w:tc>
        <w:tc>
          <w:tcPr/>
          <w:p>
            <w:pPr>
              <w:pStyle w:val="Compact"/>
              <w:jc w:val="left"/>
            </w:pPr>
            <w:r>
              <w:t xml:space="preserve">0.03, 63.66</w:t>
            </w:r>
          </w:p>
        </w:tc>
        <w:tc>
          <w:tcPr/>
          <w:p>
            <w:pPr>
              <w:pStyle w:val="Compact"/>
              <w:jc w:val="left"/>
            </w:pPr>
            <w:r>
              <w:t xml:space="preserve">0.02, 67.56</w:t>
            </w:r>
          </w:p>
        </w:tc>
        <w:tc>
          <w:tcPr/>
          <w:p>
            <w:pPr>
              <w:pStyle w:val="Compact"/>
              <w:jc w:val="left"/>
            </w:pPr>
            <w:r>
              <w:t xml:space="preserve">0.03, 66.48</w:t>
            </w:r>
          </w:p>
        </w:tc>
      </w:tr>
      <w:tr>
        <w:tc>
          <w:tcPr/>
          <w:p>
            <w:pPr>
              <w:pStyle w:val="Compact"/>
              <w:jc w:val="left"/>
            </w:pPr>
            <w:r>
              <w:t xml:space="preserve">Ertapenem Mean</w:t>
            </w:r>
          </w:p>
        </w:tc>
        <w:tc>
          <w:tcPr/>
          <w:p>
            <w:pPr>
              <w:pStyle w:val="Compact"/>
              <w:jc w:val="left"/>
            </w:pPr>
            <w:r>
              <w:t xml:space="preserve">15271.68</w:t>
            </w:r>
          </w:p>
        </w:tc>
        <w:tc>
          <w:tcPr/>
          <w:p>
            <w:pPr>
              <w:pStyle w:val="Compact"/>
              <w:jc w:val="left"/>
            </w:pPr>
            <w:r>
              <w:t xml:space="preserve">12089.02</w:t>
            </w:r>
          </w:p>
        </w:tc>
        <w:tc>
          <w:tcPr/>
          <w:p>
            <w:pPr>
              <w:pStyle w:val="Compact"/>
              <w:jc w:val="left"/>
            </w:pPr>
            <w:r>
              <w:t xml:space="preserve">15378.66</w:t>
            </w:r>
          </w:p>
        </w:tc>
        <w:tc>
          <w:tcPr/>
          <w:p>
            <w:pPr>
              <w:pStyle w:val="Compact"/>
              <w:jc w:val="left"/>
            </w:pPr>
            <w:r>
              <w:t xml:space="preserve">16102.78</w:t>
            </w:r>
          </w:p>
        </w:tc>
      </w:tr>
      <w:tr>
        <w:tc>
          <w:tcPr/>
          <w:p>
            <w:pPr>
              <w:pStyle w:val="Compact"/>
              <w:jc w:val="left"/>
            </w:pPr>
            <w:r>
              <w:t xml:space="preserve">Ertapenem Quantiles</w:t>
            </w:r>
          </w:p>
        </w:tc>
        <w:tc>
          <w:tcPr/>
          <w:p>
            <w:pPr>
              <w:pStyle w:val="Compact"/>
              <w:jc w:val="left"/>
            </w:pPr>
            <w:r>
              <w:t xml:space="preserve">0, 86134.3</w:t>
            </w:r>
          </w:p>
        </w:tc>
        <w:tc>
          <w:tcPr/>
          <w:p>
            <w:pPr>
              <w:pStyle w:val="Compact"/>
              <w:jc w:val="left"/>
            </w:pPr>
            <w:r>
              <w:t xml:space="preserve">0, 66564.9</w:t>
            </w:r>
          </w:p>
        </w:tc>
        <w:tc>
          <w:tcPr/>
          <w:p>
            <w:pPr>
              <w:pStyle w:val="Compact"/>
              <w:jc w:val="left"/>
            </w:pPr>
            <w:r>
              <w:t xml:space="preserve">0, 68972.95</w:t>
            </w:r>
          </w:p>
        </w:tc>
        <w:tc>
          <w:tcPr/>
          <w:p>
            <w:pPr>
              <w:pStyle w:val="Compact"/>
              <w:jc w:val="left"/>
            </w:pPr>
            <w:r>
              <w:t xml:space="preserve">0, 78265.05</w:t>
            </w:r>
          </w:p>
        </w:tc>
      </w:tr>
    </w:tbl>
    <w:p>
      <w:pPr>
        <w:pStyle w:val="BodyText"/>
      </w:pPr>
      <w:r>
        <w:t xml:space="preserve">Cumulative results of gonorrhea burden under GISP and three counterfactual strategies, beginning at the end of the calibration period (year 5). Presented are the means of 143 unique trajectories; in parentheses are the 95% uncertainty intervals, derived from the 2.5% and 97.5% quantiles of the simulated data. Cumulative incidence of gonorrhea includes both detected and undetected infections. Cumulative incidence of antimicrobial-resistant (AMR) gonorrhea includes both detected and undetected infections of all resistant strains, combined. Treatment failure rate is calculated as the number of treatment failures divided by the number of all treatment attempts.</w:t>
      </w:r>
      <w:r>
        <w:t xml:space="preserve"> </w:t>
      </w:r>
      <w:r>
        <w:t xml:space="preserve">*GISP: Gonococcal Isolate Surveillance Project, where treatments were removed from use when GISP surveillance data indicated AMR resistance of 5% or greater.</w:t>
      </w:r>
      <w:r>
        <w:t xml:space="preserve"> </w:t>
      </w:r>
      <w:r>
        <w:t xml:space="preserve">†RT: Randomized Treatment, where treatment was selected randomly from available drugs.</w:t>
      </w:r>
      <w:r>
        <w:t xml:space="preserve"> </w:t>
      </w:r>
      <w:r>
        <w:t xml:space="preserve">‡TOC: Test-of-Cure, where some cases received confirmatory diagnostic testing after treatment attempts.</w:t>
      </w:r>
      <w:r>
        <w:t xml:space="preserve"> </w:t>
      </w:r>
      <w:r>
        <w:t xml:space="preserve">§Combo: Combination, where cases were randomly assigned to RT or TOC</w:t>
      </w:r>
    </w:p>
    <w:bookmarkStart w:id="41" w:name="data-for-main-text"/>
    <w:p>
      <w:pPr>
        <w:pStyle w:val="Heading2"/>
      </w:pPr>
      <w:r>
        <w:t xml:space="preserve">Data for main text</w:t>
      </w:r>
    </w:p>
    <w:p>
      <w:pPr>
        <w:pStyle w:val="SourceCode"/>
      </w:pPr>
      <w:r>
        <w:rPr>
          <w:rStyle w:val="NormalTok"/>
        </w:rPr>
        <w:t xml:space="preserve">ceadf </w:t>
      </w:r>
      <w:r>
        <w:rPr>
          <w:rStyle w:val="OtherTok"/>
        </w:rPr>
        <w:t xml:space="preserve">&lt;-</w:t>
      </w:r>
      <w:r>
        <w:rPr>
          <w:rStyle w:val="NormalTok"/>
        </w:rPr>
        <w:t xml:space="preserve"> </w:t>
      </w:r>
      <w:r>
        <w:rPr>
          <w:rStyle w:val="FunctionTok"/>
        </w:rPr>
        <w:t xml:space="preserve">cea_real_unweighted_noDST</w:t>
      </w:r>
      <w:r>
        <w:rPr>
          <w:rStyle w:val="NormalTok"/>
        </w:rPr>
        <w:t xml:space="preserve">(dfreal25, dfGISP25, dfrandom25, dfTOC25)</w:t>
      </w:r>
      <w:r>
        <w:br/>
      </w:r>
      <w:r>
        <w:br/>
      </w:r>
      <w:r>
        <w:rPr>
          <w:rStyle w:val="FunctionTok"/>
        </w:rPr>
        <w:t xml:space="preserve">sum</w:t>
      </w:r>
      <w:r>
        <w:rPr>
          <w:rStyle w:val="NormalTok"/>
        </w:rPr>
        <w:t xml:space="preserve">(ceadf</w:t>
      </w:r>
      <w:r>
        <w:rPr>
          <w:rStyle w:val="SpecialCharTok"/>
        </w:rPr>
        <w:t xml:space="preserve">$</w:t>
      </w:r>
      <w:r>
        <w:rPr>
          <w:rStyle w:val="NormalTok"/>
        </w:rPr>
        <w:t xml:space="preserve">GISPcumulativeCosts </w:t>
      </w:r>
      <w:r>
        <w:rPr>
          <w:rStyle w:val="SpecialCharTok"/>
        </w:rPr>
        <w:t xml:space="preserve">&lt;</w:t>
      </w:r>
      <w:r>
        <w:rPr>
          <w:rStyle w:val="NormalTok"/>
        </w:rPr>
        <w:t xml:space="preserve"> ceadf</w:t>
      </w:r>
      <w:r>
        <w:rPr>
          <w:rStyle w:val="SpecialCharTok"/>
        </w:rPr>
        <w:t xml:space="preserve">$</w:t>
      </w:r>
      <w:r>
        <w:rPr>
          <w:rStyle w:val="NormalTok"/>
        </w:rPr>
        <w:t xml:space="preserve">RCcumulativeCosts </w:t>
      </w:r>
      <w:r>
        <w:rPr>
          <w:rStyle w:val="SpecialCharTok"/>
        </w:rPr>
        <w:t xml:space="preserve">&amp;</w:t>
      </w:r>
      <w:r>
        <w:rPr>
          <w:rStyle w:val="NormalTok"/>
        </w:rPr>
        <w:t xml:space="preserve"> ceadf</w:t>
      </w:r>
      <w:r>
        <w:rPr>
          <w:rStyle w:val="SpecialCharTok"/>
        </w:rPr>
        <w:t xml:space="preserve">$</w:t>
      </w:r>
      <w:r>
        <w:rPr>
          <w:rStyle w:val="NormalTok"/>
        </w:rPr>
        <w:t xml:space="preserve">GISPcumulativeCosts </w:t>
      </w:r>
      <w:r>
        <w:rPr>
          <w:rStyle w:val="SpecialCharTok"/>
        </w:rPr>
        <w:t xml:space="preserve">&lt;</w:t>
      </w:r>
      <w:r>
        <w:rPr>
          <w:rStyle w:val="NormalTok"/>
        </w:rPr>
        <w:t xml:space="preserve"> ceadf</w:t>
      </w:r>
      <w:r>
        <w:rPr>
          <w:rStyle w:val="SpecialCharTok"/>
        </w:rPr>
        <w:t xml:space="preserve">$</w:t>
      </w:r>
      <w:r>
        <w:rPr>
          <w:rStyle w:val="NormalTok"/>
        </w:rPr>
        <w:t xml:space="preserve">TOCcumulativeCosts </w:t>
      </w:r>
      <w:r>
        <w:rPr>
          <w:rStyle w:val="SpecialCharTok"/>
        </w:rPr>
        <w:t xml:space="preserve">&amp;</w:t>
      </w:r>
      <w:r>
        <w:rPr>
          <w:rStyle w:val="NormalTok"/>
        </w:rPr>
        <w:t xml:space="preserve"> ceadf</w:t>
      </w:r>
      <w:r>
        <w:rPr>
          <w:rStyle w:val="SpecialCharTok"/>
        </w:rPr>
        <w:t xml:space="preserve">$</w:t>
      </w:r>
      <w:r>
        <w:rPr>
          <w:rStyle w:val="NormalTok"/>
        </w:rPr>
        <w:t xml:space="preserve">GISPcumulativeCosts </w:t>
      </w:r>
      <w:r>
        <w:rPr>
          <w:rStyle w:val="SpecialCharTok"/>
        </w:rPr>
        <w:t xml:space="preserve">&lt;</w:t>
      </w:r>
      <w:r>
        <w:rPr>
          <w:rStyle w:val="NormalTok"/>
        </w:rPr>
        <w:t xml:space="preserve"> ceadf</w:t>
      </w:r>
      <w:r>
        <w:rPr>
          <w:rStyle w:val="SpecialCharTok"/>
        </w:rPr>
        <w:t xml:space="preserve">$</w:t>
      </w:r>
      <w:r>
        <w:rPr>
          <w:rStyle w:val="NormalTok"/>
        </w:rPr>
        <w:t xml:space="preserve">RandomcumulativeCosts)</w:t>
      </w:r>
    </w:p>
    <w:p>
      <w:pPr>
        <w:pStyle w:val="SourceCode"/>
      </w:pPr>
      <w:r>
        <w:rPr>
          <w:rStyle w:val="VerbatimChar"/>
        </w:rPr>
        <w:t xml:space="preserve">## [1] 74</w:t>
      </w:r>
    </w:p>
    <w:p>
      <w:pPr>
        <w:pStyle w:val="SourceCode"/>
      </w:pPr>
      <w:r>
        <w:rPr>
          <w:rStyle w:val="FunctionTok"/>
        </w:rPr>
        <w:t xml:space="preserve">sum</w:t>
      </w:r>
      <w:r>
        <w:rPr>
          <w:rStyle w:val="NormalTok"/>
        </w:rPr>
        <w:t xml:space="preserve">(ceadf</w:t>
      </w:r>
      <w:r>
        <w:rPr>
          <w:rStyle w:val="SpecialCharTok"/>
        </w:rPr>
        <w:t xml:space="preserve">$</w:t>
      </w:r>
      <w:r>
        <w:rPr>
          <w:rStyle w:val="NormalTok"/>
        </w:rPr>
        <w:t xml:space="preserve">GISPcumulativeCosts </w:t>
      </w:r>
      <w:r>
        <w:rPr>
          <w:rStyle w:val="SpecialCharTok"/>
        </w:rPr>
        <w:t xml:space="preserve">&lt;</w:t>
      </w:r>
      <w:r>
        <w:rPr>
          <w:rStyle w:val="NormalTok"/>
        </w:rPr>
        <w:t xml:space="preserve"> ceadf</w:t>
      </w:r>
      <w:r>
        <w:rPr>
          <w:rStyle w:val="SpecialCharTok"/>
        </w:rPr>
        <w:t xml:space="preserve">$</w:t>
      </w:r>
      <w:r>
        <w:rPr>
          <w:rStyle w:val="NormalTok"/>
        </w:rPr>
        <w:t xml:space="preserve">RCcumulativeCosts </w:t>
      </w:r>
      <w:r>
        <w:rPr>
          <w:rStyle w:val="SpecialCharTok"/>
        </w:rPr>
        <w:t xml:space="preserve">&amp;</w:t>
      </w:r>
      <w:r>
        <w:rPr>
          <w:rStyle w:val="NormalTok"/>
        </w:rPr>
        <w:t xml:space="preserve"> ceadf</w:t>
      </w:r>
      <w:r>
        <w:rPr>
          <w:rStyle w:val="SpecialCharTok"/>
        </w:rPr>
        <w:t xml:space="preserve">$</w:t>
      </w:r>
      <w:r>
        <w:rPr>
          <w:rStyle w:val="NormalTok"/>
        </w:rPr>
        <w:t xml:space="preserve">GISPcumulativeCosts </w:t>
      </w:r>
      <w:r>
        <w:rPr>
          <w:rStyle w:val="SpecialCharTok"/>
        </w:rPr>
        <w:t xml:space="preserve">&lt;</w:t>
      </w:r>
      <w:r>
        <w:rPr>
          <w:rStyle w:val="NormalTok"/>
        </w:rPr>
        <w:t xml:space="preserve"> ceadf</w:t>
      </w:r>
      <w:r>
        <w:rPr>
          <w:rStyle w:val="SpecialCharTok"/>
        </w:rPr>
        <w:t xml:space="preserve">$</w:t>
      </w:r>
      <w:r>
        <w:rPr>
          <w:rStyle w:val="NormalTok"/>
        </w:rPr>
        <w:t xml:space="preserve">TOCcumulativeCosts </w:t>
      </w:r>
      <w:r>
        <w:rPr>
          <w:rStyle w:val="SpecialCharTok"/>
        </w:rPr>
        <w:t xml:space="preserve">&amp;</w:t>
      </w:r>
      <w:r>
        <w:rPr>
          <w:rStyle w:val="NormalTok"/>
        </w:rPr>
        <w:t xml:space="preserve"> ceadf</w:t>
      </w:r>
      <w:r>
        <w:rPr>
          <w:rStyle w:val="SpecialCharTok"/>
        </w:rPr>
        <w:t xml:space="preserve">$</w:t>
      </w:r>
      <w:r>
        <w:rPr>
          <w:rStyle w:val="NormalTok"/>
        </w:rPr>
        <w:t xml:space="preserve">GISPcumulativeCosts </w:t>
      </w:r>
      <w:r>
        <w:rPr>
          <w:rStyle w:val="SpecialCharTok"/>
        </w:rPr>
        <w:t xml:space="preserve">&lt;</w:t>
      </w:r>
      <w:r>
        <w:rPr>
          <w:rStyle w:val="NormalTok"/>
        </w:rPr>
        <w:t xml:space="preserve"> ceadf</w:t>
      </w:r>
      <w:r>
        <w:rPr>
          <w:rStyle w:val="SpecialCharTok"/>
        </w:rPr>
        <w:t xml:space="preserve">$</w:t>
      </w:r>
      <w:r>
        <w:rPr>
          <w:rStyle w:val="NormalTok"/>
        </w:rPr>
        <w:t xml:space="preserve">RandomcumulativeCosts) </w:t>
      </w:r>
      <w:r>
        <w:rPr>
          <w:rStyle w:val="SpecialCharTok"/>
        </w:rPr>
        <w:t xml:space="preserve">/</w:t>
      </w:r>
      <w:r>
        <w:rPr>
          <w:rStyle w:val="NormalTok"/>
        </w:rPr>
        <w:t xml:space="preserve"> </w:t>
      </w:r>
      <w:r>
        <w:rPr>
          <w:rStyle w:val="DecValTok"/>
        </w:rPr>
        <w:t xml:space="preserve">143</w:t>
      </w:r>
    </w:p>
    <w:p>
      <w:pPr>
        <w:pStyle w:val="SourceCode"/>
      </w:pPr>
      <w:r>
        <w:rPr>
          <w:rStyle w:val="VerbatimChar"/>
        </w:rPr>
        <w:t xml:space="preserve">## [1] 0.5174825</w:t>
      </w:r>
    </w:p>
    <w:p>
      <w:pPr>
        <w:pStyle w:val="SourceCode"/>
      </w:pPr>
      <w:r>
        <w:rPr>
          <w:rStyle w:val="FunctionTok"/>
        </w:rPr>
        <w:t xml:space="preserve">sum</w:t>
      </w:r>
      <w:r>
        <w:rPr>
          <w:rStyle w:val="NormalTok"/>
        </w:rPr>
        <w:t xml:space="preserve">(ceadf</w:t>
      </w:r>
      <w:r>
        <w:rPr>
          <w:rStyle w:val="SpecialCharTok"/>
        </w:rPr>
        <w:t xml:space="preserve">$</w:t>
      </w:r>
      <w:r>
        <w:rPr>
          <w:rStyle w:val="NormalTok"/>
        </w:rPr>
        <w:t xml:space="preserve">GISPcumulativeQALYs </w:t>
      </w:r>
      <w:r>
        <w:rPr>
          <w:rStyle w:val="SpecialCharTok"/>
        </w:rPr>
        <w:t xml:space="preserve">&lt;</w:t>
      </w:r>
      <w:r>
        <w:rPr>
          <w:rStyle w:val="NormalTok"/>
        </w:rPr>
        <w:t xml:space="preserve"> ceadf</w:t>
      </w:r>
      <w:r>
        <w:rPr>
          <w:rStyle w:val="SpecialCharTok"/>
        </w:rPr>
        <w:t xml:space="preserve">$</w:t>
      </w:r>
      <w:r>
        <w:rPr>
          <w:rStyle w:val="NormalTok"/>
        </w:rPr>
        <w:t xml:space="preserve">RCcumulativeQALYs </w:t>
      </w:r>
      <w:r>
        <w:rPr>
          <w:rStyle w:val="SpecialCharTok"/>
        </w:rPr>
        <w:t xml:space="preserve">&amp;</w:t>
      </w:r>
      <w:r>
        <w:rPr>
          <w:rStyle w:val="NormalTok"/>
        </w:rPr>
        <w:t xml:space="preserve"> ceadf</w:t>
      </w:r>
      <w:r>
        <w:rPr>
          <w:rStyle w:val="SpecialCharTok"/>
        </w:rPr>
        <w:t xml:space="preserve">$</w:t>
      </w:r>
      <w:r>
        <w:rPr>
          <w:rStyle w:val="NormalTok"/>
        </w:rPr>
        <w:t xml:space="preserve">GISPcumulativeQALYs </w:t>
      </w:r>
      <w:r>
        <w:rPr>
          <w:rStyle w:val="SpecialCharTok"/>
        </w:rPr>
        <w:t xml:space="preserve">&lt;</w:t>
      </w:r>
      <w:r>
        <w:rPr>
          <w:rStyle w:val="NormalTok"/>
        </w:rPr>
        <w:t xml:space="preserve"> ceadf</w:t>
      </w:r>
      <w:r>
        <w:rPr>
          <w:rStyle w:val="SpecialCharTok"/>
        </w:rPr>
        <w:t xml:space="preserve">$</w:t>
      </w:r>
      <w:r>
        <w:rPr>
          <w:rStyle w:val="NormalTok"/>
        </w:rPr>
        <w:t xml:space="preserve">TOCcumulativeQALYs </w:t>
      </w:r>
      <w:r>
        <w:rPr>
          <w:rStyle w:val="SpecialCharTok"/>
        </w:rPr>
        <w:t xml:space="preserve">&amp;</w:t>
      </w:r>
      <w:r>
        <w:rPr>
          <w:rStyle w:val="NormalTok"/>
        </w:rPr>
        <w:t xml:space="preserve"> ceadf</w:t>
      </w:r>
      <w:r>
        <w:rPr>
          <w:rStyle w:val="SpecialCharTok"/>
        </w:rPr>
        <w:t xml:space="preserve">$</w:t>
      </w:r>
      <w:r>
        <w:rPr>
          <w:rStyle w:val="NormalTok"/>
        </w:rPr>
        <w:t xml:space="preserve">GISPcumulativeQALYs </w:t>
      </w:r>
      <w:r>
        <w:rPr>
          <w:rStyle w:val="SpecialCharTok"/>
        </w:rPr>
        <w:t xml:space="preserve">&lt;</w:t>
      </w:r>
      <w:r>
        <w:rPr>
          <w:rStyle w:val="NormalTok"/>
        </w:rPr>
        <w:t xml:space="preserve"> ceadf</w:t>
      </w:r>
      <w:r>
        <w:rPr>
          <w:rStyle w:val="SpecialCharTok"/>
        </w:rPr>
        <w:t xml:space="preserve">$</w:t>
      </w:r>
      <w:r>
        <w:rPr>
          <w:rStyle w:val="NormalTok"/>
        </w:rPr>
        <w:t xml:space="preserve">RandomcumulativeQALYs)</w:t>
      </w:r>
    </w:p>
    <w:p>
      <w:pPr>
        <w:pStyle w:val="SourceCode"/>
      </w:pPr>
      <w:r>
        <w:rPr>
          <w:rStyle w:val="VerbatimChar"/>
        </w:rPr>
        <w:t xml:space="preserve">## [1] 67</w:t>
      </w:r>
    </w:p>
    <w:p>
      <w:pPr>
        <w:pStyle w:val="SourceCode"/>
      </w:pPr>
      <w:r>
        <w:rPr>
          <w:rStyle w:val="FunctionTok"/>
        </w:rPr>
        <w:t xml:space="preserve">sum</w:t>
      </w:r>
      <w:r>
        <w:rPr>
          <w:rStyle w:val="NormalTok"/>
        </w:rPr>
        <w:t xml:space="preserve">(ceadf</w:t>
      </w:r>
      <w:r>
        <w:rPr>
          <w:rStyle w:val="SpecialCharTok"/>
        </w:rPr>
        <w:t xml:space="preserve">$</w:t>
      </w:r>
      <w:r>
        <w:rPr>
          <w:rStyle w:val="NormalTok"/>
        </w:rPr>
        <w:t xml:space="preserve">GISPcumulativeQALYs </w:t>
      </w:r>
      <w:r>
        <w:rPr>
          <w:rStyle w:val="SpecialCharTok"/>
        </w:rPr>
        <w:t xml:space="preserve">&lt;</w:t>
      </w:r>
      <w:r>
        <w:rPr>
          <w:rStyle w:val="NormalTok"/>
        </w:rPr>
        <w:t xml:space="preserve"> ceadf</w:t>
      </w:r>
      <w:r>
        <w:rPr>
          <w:rStyle w:val="SpecialCharTok"/>
        </w:rPr>
        <w:t xml:space="preserve">$</w:t>
      </w:r>
      <w:r>
        <w:rPr>
          <w:rStyle w:val="NormalTok"/>
        </w:rPr>
        <w:t xml:space="preserve">RCcumulativeQALYs </w:t>
      </w:r>
      <w:r>
        <w:rPr>
          <w:rStyle w:val="SpecialCharTok"/>
        </w:rPr>
        <w:t xml:space="preserve">&amp;</w:t>
      </w:r>
      <w:r>
        <w:rPr>
          <w:rStyle w:val="NormalTok"/>
        </w:rPr>
        <w:t xml:space="preserve"> ceadf</w:t>
      </w:r>
      <w:r>
        <w:rPr>
          <w:rStyle w:val="SpecialCharTok"/>
        </w:rPr>
        <w:t xml:space="preserve">$</w:t>
      </w:r>
      <w:r>
        <w:rPr>
          <w:rStyle w:val="NormalTok"/>
        </w:rPr>
        <w:t xml:space="preserve">GISPcumulativeQALYs </w:t>
      </w:r>
      <w:r>
        <w:rPr>
          <w:rStyle w:val="SpecialCharTok"/>
        </w:rPr>
        <w:t xml:space="preserve">&lt;</w:t>
      </w:r>
      <w:r>
        <w:rPr>
          <w:rStyle w:val="NormalTok"/>
        </w:rPr>
        <w:t xml:space="preserve"> ceadf</w:t>
      </w:r>
      <w:r>
        <w:rPr>
          <w:rStyle w:val="SpecialCharTok"/>
        </w:rPr>
        <w:t xml:space="preserve">$</w:t>
      </w:r>
      <w:r>
        <w:rPr>
          <w:rStyle w:val="NormalTok"/>
        </w:rPr>
        <w:t xml:space="preserve">TOCcumulativeQALYs </w:t>
      </w:r>
      <w:r>
        <w:rPr>
          <w:rStyle w:val="SpecialCharTok"/>
        </w:rPr>
        <w:t xml:space="preserve">&amp;</w:t>
      </w:r>
      <w:r>
        <w:rPr>
          <w:rStyle w:val="NormalTok"/>
        </w:rPr>
        <w:t xml:space="preserve"> ceadf</w:t>
      </w:r>
      <w:r>
        <w:rPr>
          <w:rStyle w:val="SpecialCharTok"/>
        </w:rPr>
        <w:t xml:space="preserve">$</w:t>
      </w:r>
      <w:r>
        <w:rPr>
          <w:rStyle w:val="NormalTok"/>
        </w:rPr>
        <w:t xml:space="preserve">GISPcumulativeQALYs </w:t>
      </w:r>
      <w:r>
        <w:rPr>
          <w:rStyle w:val="SpecialCharTok"/>
        </w:rPr>
        <w:t xml:space="preserve">&lt;</w:t>
      </w:r>
      <w:r>
        <w:rPr>
          <w:rStyle w:val="NormalTok"/>
        </w:rPr>
        <w:t xml:space="preserve"> ceadf</w:t>
      </w:r>
      <w:r>
        <w:rPr>
          <w:rStyle w:val="SpecialCharTok"/>
        </w:rPr>
        <w:t xml:space="preserve">$</w:t>
      </w:r>
      <w:r>
        <w:rPr>
          <w:rStyle w:val="NormalTok"/>
        </w:rPr>
        <w:t xml:space="preserve">RandomcumulativeQALYs) </w:t>
      </w:r>
      <w:r>
        <w:rPr>
          <w:rStyle w:val="SpecialCharTok"/>
        </w:rPr>
        <w:t xml:space="preserve">/</w:t>
      </w:r>
      <w:r>
        <w:rPr>
          <w:rStyle w:val="NormalTok"/>
        </w:rPr>
        <w:t xml:space="preserve"> </w:t>
      </w:r>
      <w:r>
        <w:rPr>
          <w:rStyle w:val="DecValTok"/>
        </w:rPr>
        <w:t xml:space="preserve">143</w:t>
      </w:r>
    </w:p>
    <w:p>
      <w:pPr>
        <w:pStyle w:val="SourceCode"/>
      </w:pPr>
      <w:r>
        <w:rPr>
          <w:rStyle w:val="VerbatimChar"/>
        </w:rPr>
        <w:t xml:space="preserve">## [1] 0.4685315</w:t>
      </w:r>
    </w:p>
    <w:p>
      <w:pPr>
        <w:pStyle w:val="SourceCode"/>
      </w:pPr>
      <w:r>
        <w:rPr>
          <w:rStyle w:val="FunctionTok"/>
        </w:rPr>
        <w:t xml:space="preserve">sum</w:t>
      </w:r>
      <w:r>
        <w:rPr>
          <w:rStyle w:val="NormalTok"/>
        </w:rPr>
        <w:t xml:space="preserve">(ceadf</w:t>
      </w:r>
      <w:r>
        <w:rPr>
          <w:rStyle w:val="SpecialCharTok"/>
        </w:rPr>
        <w:t xml:space="preserve">$</w:t>
      </w:r>
      <w:r>
        <w:rPr>
          <w:rStyle w:val="NormalTok"/>
        </w:rPr>
        <w:t xml:space="preserve">RandomcumulativeCosts </w:t>
      </w:r>
      <w:r>
        <w:rPr>
          <w:rStyle w:val="SpecialCharTok"/>
        </w:rPr>
        <w:t xml:space="preserve">&lt;</w:t>
      </w:r>
      <w:r>
        <w:rPr>
          <w:rStyle w:val="NormalTok"/>
        </w:rPr>
        <w:t xml:space="preserve"> ceadf</w:t>
      </w:r>
      <w:r>
        <w:rPr>
          <w:rStyle w:val="SpecialCharTok"/>
        </w:rPr>
        <w:t xml:space="preserve">$</w:t>
      </w:r>
      <w:r>
        <w:rPr>
          <w:rStyle w:val="NormalTok"/>
        </w:rPr>
        <w:t xml:space="preserve">RCcumulativeCosts </w:t>
      </w:r>
      <w:r>
        <w:rPr>
          <w:rStyle w:val="SpecialCharTok"/>
        </w:rPr>
        <w:t xml:space="preserve">&amp;</w:t>
      </w:r>
      <w:r>
        <w:rPr>
          <w:rStyle w:val="NormalTok"/>
        </w:rPr>
        <w:t xml:space="preserve"> ceadf</w:t>
      </w:r>
      <w:r>
        <w:rPr>
          <w:rStyle w:val="SpecialCharTok"/>
        </w:rPr>
        <w:t xml:space="preserve">$</w:t>
      </w:r>
      <w:r>
        <w:rPr>
          <w:rStyle w:val="NormalTok"/>
        </w:rPr>
        <w:t xml:space="preserve">RandomcumulativeCosts </w:t>
      </w:r>
      <w:r>
        <w:rPr>
          <w:rStyle w:val="SpecialCharTok"/>
        </w:rPr>
        <w:t xml:space="preserve">&lt;</w:t>
      </w:r>
      <w:r>
        <w:rPr>
          <w:rStyle w:val="NormalTok"/>
        </w:rPr>
        <w:t xml:space="preserve"> ceadf</w:t>
      </w:r>
      <w:r>
        <w:rPr>
          <w:rStyle w:val="SpecialCharTok"/>
        </w:rPr>
        <w:t xml:space="preserve">$</w:t>
      </w:r>
      <w:r>
        <w:rPr>
          <w:rStyle w:val="NormalTok"/>
        </w:rPr>
        <w:t xml:space="preserve">TOCcumulativeCosts </w:t>
      </w:r>
      <w:r>
        <w:rPr>
          <w:rStyle w:val="SpecialCharTok"/>
        </w:rPr>
        <w:t xml:space="preserve">&amp;</w:t>
      </w:r>
      <w:r>
        <w:rPr>
          <w:rStyle w:val="NormalTok"/>
        </w:rPr>
        <w:t xml:space="preserve"> ceadf</w:t>
      </w:r>
      <w:r>
        <w:rPr>
          <w:rStyle w:val="SpecialCharTok"/>
        </w:rPr>
        <w:t xml:space="preserve">$</w:t>
      </w:r>
      <w:r>
        <w:rPr>
          <w:rStyle w:val="NormalTok"/>
        </w:rPr>
        <w:t xml:space="preserve">RandomcumulativeCosts </w:t>
      </w:r>
      <w:r>
        <w:rPr>
          <w:rStyle w:val="SpecialCharTok"/>
        </w:rPr>
        <w:t xml:space="preserve">&lt;</w:t>
      </w:r>
      <w:r>
        <w:rPr>
          <w:rStyle w:val="NormalTok"/>
        </w:rPr>
        <w:t xml:space="preserve"> ceadf</w:t>
      </w:r>
      <w:r>
        <w:rPr>
          <w:rStyle w:val="SpecialCharTok"/>
        </w:rPr>
        <w:t xml:space="preserve">$</w:t>
      </w:r>
      <w:r>
        <w:rPr>
          <w:rStyle w:val="NormalTok"/>
        </w:rPr>
        <w:t xml:space="preserve">GISPcumulativeCosts)</w:t>
      </w:r>
    </w:p>
    <w:p>
      <w:pPr>
        <w:pStyle w:val="SourceCode"/>
      </w:pPr>
      <w:r>
        <w:rPr>
          <w:rStyle w:val="VerbatimChar"/>
        </w:rPr>
        <w:t xml:space="preserve">## [1] 56</w:t>
      </w:r>
    </w:p>
    <w:p>
      <w:pPr>
        <w:pStyle w:val="SourceCode"/>
      </w:pPr>
      <w:r>
        <w:rPr>
          <w:rStyle w:val="FunctionTok"/>
        </w:rPr>
        <w:t xml:space="preserve">sum</w:t>
      </w:r>
      <w:r>
        <w:rPr>
          <w:rStyle w:val="NormalTok"/>
        </w:rPr>
        <w:t xml:space="preserve">(ceadf</w:t>
      </w:r>
      <w:r>
        <w:rPr>
          <w:rStyle w:val="SpecialCharTok"/>
        </w:rPr>
        <w:t xml:space="preserve">$</w:t>
      </w:r>
      <w:r>
        <w:rPr>
          <w:rStyle w:val="NormalTok"/>
        </w:rPr>
        <w:t xml:space="preserve">RandomcumulativeCosts </w:t>
      </w:r>
      <w:r>
        <w:rPr>
          <w:rStyle w:val="SpecialCharTok"/>
        </w:rPr>
        <w:t xml:space="preserve">&lt;</w:t>
      </w:r>
      <w:r>
        <w:rPr>
          <w:rStyle w:val="NormalTok"/>
        </w:rPr>
        <w:t xml:space="preserve"> ceadf</w:t>
      </w:r>
      <w:r>
        <w:rPr>
          <w:rStyle w:val="SpecialCharTok"/>
        </w:rPr>
        <w:t xml:space="preserve">$</w:t>
      </w:r>
      <w:r>
        <w:rPr>
          <w:rStyle w:val="NormalTok"/>
        </w:rPr>
        <w:t xml:space="preserve">RCcumulativeCosts </w:t>
      </w:r>
      <w:r>
        <w:rPr>
          <w:rStyle w:val="SpecialCharTok"/>
        </w:rPr>
        <w:t xml:space="preserve">&amp;</w:t>
      </w:r>
      <w:r>
        <w:rPr>
          <w:rStyle w:val="NormalTok"/>
        </w:rPr>
        <w:t xml:space="preserve"> ceadf</w:t>
      </w:r>
      <w:r>
        <w:rPr>
          <w:rStyle w:val="SpecialCharTok"/>
        </w:rPr>
        <w:t xml:space="preserve">$</w:t>
      </w:r>
      <w:r>
        <w:rPr>
          <w:rStyle w:val="NormalTok"/>
        </w:rPr>
        <w:t xml:space="preserve">RandomcumulativeCosts </w:t>
      </w:r>
      <w:r>
        <w:rPr>
          <w:rStyle w:val="SpecialCharTok"/>
        </w:rPr>
        <w:t xml:space="preserve">&lt;</w:t>
      </w:r>
      <w:r>
        <w:rPr>
          <w:rStyle w:val="NormalTok"/>
        </w:rPr>
        <w:t xml:space="preserve"> ceadf</w:t>
      </w:r>
      <w:r>
        <w:rPr>
          <w:rStyle w:val="SpecialCharTok"/>
        </w:rPr>
        <w:t xml:space="preserve">$</w:t>
      </w:r>
      <w:r>
        <w:rPr>
          <w:rStyle w:val="NormalTok"/>
        </w:rPr>
        <w:t xml:space="preserve">TOCcumulativeCosts </w:t>
      </w:r>
      <w:r>
        <w:rPr>
          <w:rStyle w:val="SpecialCharTok"/>
        </w:rPr>
        <w:t xml:space="preserve">&amp;</w:t>
      </w:r>
      <w:r>
        <w:rPr>
          <w:rStyle w:val="NormalTok"/>
        </w:rPr>
        <w:t xml:space="preserve"> ceadf</w:t>
      </w:r>
      <w:r>
        <w:rPr>
          <w:rStyle w:val="SpecialCharTok"/>
        </w:rPr>
        <w:t xml:space="preserve">$</w:t>
      </w:r>
      <w:r>
        <w:rPr>
          <w:rStyle w:val="NormalTok"/>
        </w:rPr>
        <w:t xml:space="preserve">RandomcumulativeCosts </w:t>
      </w:r>
      <w:r>
        <w:rPr>
          <w:rStyle w:val="SpecialCharTok"/>
        </w:rPr>
        <w:t xml:space="preserve">&lt;</w:t>
      </w:r>
      <w:r>
        <w:rPr>
          <w:rStyle w:val="NormalTok"/>
        </w:rPr>
        <w:t xml:space="preserve"> ceadf</w:t>
      </w:r>
      <w:r>
        <w:rPr>
          <w:rStyle w:val="SpecialCharTok"/>
        </w:rPr>
        <w:t xml:space="preserve">$</w:t>
      </w:r>
      <w:r>
        <w:rPr>
          <w:rStyle w:val="NormalTok"/>
        </w:rPr>
        <w:t xml:space="preserve">GISPcumulativeCosts) </w:t>
      </w:r>
      <w:r>
        <w:rPr>
          <w:rStyle w:val="SpecialCharTok"/>
        </w:rPr>
        <w:t xml:space="preserve">/</w:t>
      </w:r>
      <w:r>
        <w:rPr>
          <w:rStyle w:val="NormalTok"/>
        </w:rPr>
        <w:t xml:space="preserve"> </w:t>
      </w:r>
      <w:r>
        <w:rPr>
          <w:rStyle w:val="DecValTok"/>
        </w:rPr>
        <w:t xml:space="preserve">143</w:t>
      </w:r>
    </w:p>
    <w:p>
      <w:pPr>
        <w:pStyle w:val="SourceCode"/>
      </w:pPr>
      <w:r>
        <w:rPr>
          <w:rStyle w:val="VerbatimChar"/>
        </w:rPr>
        <w:t xml:space="preserve">## [1] 0.3916084</w:t>
      </w:r>
    </w:p>
    <w:p>
      <w:pPr>
        <w:pStyle w:val="SourceCode"/>
      </w:pPr>
      <w:r>
        <w:rPr>
          <w:rStyle w:val="FunctionTok"/>
        </w:rPr>
        <w:t xml:space="preserve">sum</w:t>
      </w:r>
      <w:r>
        <w:rPr>
          <w:rStyle w:val="NormalTok"/>
        </w:rPr>
        <w:t xml:space="preserve">(ceadf</w:t>
      </w:r>
      <w:r>
        <w:rPr>
          <w:rStyle w:val="SpecialCharTok"/>
        </w:rPr>
        <w:t xml:space="preserve">$</w:t>
      </w:r>
      <w:r>
        <w:rPr>
          <w:rStyle w:val="NormalTok"/>
        </w:rPr>
        <w:t xml:space="preserve">RandomcumulativeQALYs </w:t>
      </w:r>
      <w:r>
        <w:rPr>
          <w:rStyle w:val="SpecialCharTok"/>
        </w:rPr>
        <w:t xml:space="preserve">&lt;</w:t>
      </w:r>
      <w:r>
        <w:rPr>
          <w:rStyle w:val="NormalTok"/>
        </w:rPr>
        <w:t xml:space="preserve"> ceadf</w:t>
      </w:r>
      <w:r>
        <w:rPr>
          <w:rStyle w:val="SpecialCharTok"/>
        </w:rPr>
        <w:t xml:space="preserve">$</w:t>
      </w:r>
      <w:r>
        <w:rPr>
          <w:rStyle w:val="NormalTok"/>
        </w:rPr>
        <w:t xml:space="preserve">RCcumulativeQALYs </w:t>
      </w:r>
      <w:r>
        <w:rPr>
          <w:rStyle w:val="SpecialCharTok"/>
        </w:rPr>
        <w:t xml:space="preserve">&amp;</w:t>
      </w:r>
      <w:r>
        <w:rPr>
          <w:rStyle w:val="NormalTok"/>
        </w:rPr>
        <w:t xml:space="preserve"> ceadf</w:t>
      </w:r>
      <w:r>
        <w:rPr>
          <w:rStyle w:val="SpecialCharTok"/>
        </w:rPr>
        <w:t xml:space="preserve">$</w:t>
      </w:r>
      <w:r>
        <w:rPr>
          <w:rStyle w:val="NormalTok"/>
        </w:rPr>
        <w:t xml:space="preserve">RandomcumulativeQALYs </w:t>
      </w:r>
      <w:r>
        <w:rPr>
          <w:rStyle w:val="SpecialCharTok"/>
        </w:rPr>
        <w:t xml:space="preserve">&lt;</w:t>
      </w:r>
      <w:r>
        <w:rPr>
          <w:rStyle w:val="NormalTok"/>
        </w:rPr>
        <w:t xml:space="preserve"> ceadf</w:t>
      </w:r>
      <w:r>
        <w:rPr>
          <w:rStyle w:val="SpecialCharTok"/>
        </w:rPr>
        <w:t xml:space="preserve">$</w:t>
      </w:r>
      <w:r>
        <w:rPr>
          <w:rStyle w:val="NormalTok"/>
        </w:rPr>
        <w:t xml:space="preserve">TOCcumulativeQALYs </w:t>
      </w:r>
      <w:r>
        <w:rPr>
          <w:rStyle w:val="SpecialCharTok"/>
        </w:rPr>
        <w:t xml:space="preserve">&amp;</w:t>
      </w:r>
      <w:r>
        <w:rPr>
          <w:rStyle w:val="NormalTok"/>
        </w:rPr>
        <w:t xml:space="preserve"> ceadf</w:t>
      </w:r>
      <w:r>
        <w:rPr>
          <w:rStyle w:val="SpecialCharTok"/>
        </w:rPr>
        <w:t xml:space="preserve">$</w:t>
      </w:r>
      <w:r>
        <w:rPr>
          <w:rStyle w:val="NormalTok"/>
        </w:rPr>
        <w:t xml:space="preserve">RandomcumulativeQALYs </w:t>
      </w:r>
      <w:r>
        <w:rPr>
          <w:rStyle w:val="SpecialCharTok"/>
        </w:rPr>
        <w:t xml:space="preserve">&lt;</w:t>
      </w:r>
      <w:r>
        <w:rPr>
          <w:rStyle w:val="NormalTok"/>
        </w:rPr>
        <w:t xml:space="preserve"> ceadf</w:t>
      </w:r>
      <w:r>
        <w:rPr>
          <w:rStyle w:val="SpecialCharTok"/>
        </w:rPr>
        <w:t xml:space="preserve">$</w:t>
      </w:r>
      <w:r>
        <w:rPr>
          <w:rStyle w:val="NormalTok"/>
        </w:rPr>
        <w:t xml:space="preserve">GISPcumulativeQALYs)</w:t>
      </w:r>
    </w:p>
    <w:p>
      <w:pPr>
        <w:pStyle w:val="SourceCode"/>
      </w:pPr>
      <w:r>
        <w:rPr>
          <w:rStyle w:val="VerbatimChar"/>
        </w:rPr>
        <w:t xml:space="preserve">## [1] 22</w:t>
      </w:r>
    </w:p>
    <w:p>
      <w:pPr>
        <w:pStyle w:val="SourceCode"/>
      </w:pPr>
      <w:r>
        <w:rPr>
          <w:rStyle w:val="FunctionTok"/>
        </w:rPr>
        <w:t xml:space="preserve">sum</w:t>
      </w:r>
      <w:r>
        <w:rPr>
          <w:rStyle w:val="NormalTok"/>
        </w:rPr>
        <w:t xml:space="preserve">(ceadf</w:t>
      </w:r>
      <w:r>
        <w:rPr>
          <w:rStyle w:val="SpecialCharTok"/>
        </w:rPr>
        <w:t xml:space="preserve">$</w:t>
      </w:r>
      <w:r>
        <w:rPr>
          <w:rStyle w:val="NormalTok"/>
        </w:rPr>
        <w:t xml:space="preserve">RandomcumulativeQALYs </w:t>
      </w:r>
      <w:r>
        <w:rPr>
          <w:rStyle w:val="SpecialCharTok"/>
        </w:rPr>
        <w:t xml:space="preserve">&lt;</w:t>
      </w:r>
      <w:r>
        <w:rPr>
          <w:rStyle w:val="NormalTok"/>
        </w:rPr>
        <w:t xml:space="preserve"> ceadf</w:t>
      </w:r>
      <w:r>
        <w:rPr>
          <w:rStyle w:val="SpecialCharTok"/>
        </w:rPr>
        <w:t xml:space="preserve">$</w:t>
      </w:r>
      <w:r>
        <w:rPr>
          <w:rStyle w:val="NormalTok"/>
        </w:rPr>
        <w:t xml:space="preserve">RCcumulativeQALYs </w:t>
      </w:r>
      <w:r>
        <w:rPr>
          <w:rStyle w:val="SpecialCharTok"/>
        </w:rPr>
        <w:t xml:space="preserve">&amp;</w:t>
      </w:r>
      <w:r>
        <w:rPr>
          <w:rStyle w:val="NormalTok"/>
        </w:rPr>
        <w:t xml:space="preserve"> ceadf</w:t>
      </w:r>
      <w:r>
        <w:rPr>
          <w:rStyle w:val="SpecialCharTok"/>
        </w:rPr>
        <w:t xml:space="preserve">$</w:t>
      </w:r>
      <w:r>
        <w:rPr>
          <w:rStyle w:val="NormalTok"/>
        </w:rPr>
        <w:t xml:space="preserve">RandomcumulativeQALYs </w:t>
      </w:r>
      <w:r>
        <w:rPr>
          <w:rStyle w:val="SpecialCharTok"/>
        </w:rPr>
        <w:t xml:space="preserve">&lt;</w:t>
      </w:r>
      <w:r>
        <w:rPr>
          <w:rStyle w:val="NormalTok"/>
        </w:rPr>
        <w:t xml:space="preserve"> ceadf</w:t>
      </w:r>
      <w:r>
        <w:rPr>
          <w:rStyle w:val="SpecialCharTok"/>
        </w:rPr>
        <w:t xml:space="preserve">$</w:t>
      </w:r>
      <w:r>
        <w:rPr>
          <w:rStyle w:val="NormalTok"/>
        </w:rPr>
        <w:t xml:space="preserve">TOCcumulativeQALYs </w:t>
      </w:r>
      <w:r>
        <w:rPr>
          <w:rStyle w:val="SpecialCharTok"/>
        </w:rPr>
        <w:t xml:space="preserve">&amp;</w:t>
      </w:r>
      <w:r>
        <w:rPr>
          <w:rStyle w:val="NormalTok"/>
        </w:rPr>
        <w:t xml:space="preserve"> ceadf</w:t>
      </w:r>
      <w:r>
        <w:rPr>
          <w:rStyle w:val="SpecialCharTok"/>
        </w:rPr>
        <w:t xml:space="preserve">$</w:t>
      </w:r>
      <w:r>
        <w:rPr>
          <w:rStyle w:val="NormalTok"/>
        </w:rPr>
        <w:t xml:space="preserve">RandomcumulativeQALYs </w:t>
      </w:r>
      <w:r>
        <w:rPr>
          <w:rStyle w:val="SpecialCharTok"/>
        </w:rPr>
        <w:t xml:space="preserve">&lt;</w:t>
      </w:r>
      <w:r>
        <w:rPr>
          <w:rStyle w:val="NormalTok"/>
        </w:rPr>
        <w:t xml:space="preserve"> ceadf</w:t>
      </w:r>
      <w:r>
        <w:rPr>
          <w:rStyle w:val="SpecialCharTok"/>
        </w:rPr>
        <w:t xml:space="preserve">$</w:t>
      </w:r>
      <w:r>
        <w:rPr>
          <w:rStyle w:val="NormalTok"/>
        </w:rPr>
        <w:t xml:space="preserve">GISPcumulativeQALYs) </w:t>
      </w:r>
      <w:r>
        <w:rPr>
          <w:rStyle w:val="SpecialCharTok"/>
        </w:rPr>
        <w:t xml:space="preserve">/</w:t>
      </w:r>
      <w:r>
        <w:rPr>
          <w:rStyle w:val="NormalTok"/>
        </w:rPr>
        <w:t xml:space="preserve"> </w:t>
      </w:r>
      <w:r>
        <w:rPr>
          <w:rStyle w:val="DecValTok"/>
        </w:rPr>
        <w:t xml:space="preserve">143</w:t>
      </w:r>
    </w:p>
    <w:p>
      <w:pPr>
        <w:pStyle w:val="SourceCode"/>
      </w:pPr>
      <w:r>
        <w:rPr>
          <w:rStyle w:val="VerbatimChar"/>
        </w:rPr>
        <w:t xml:space="preserve">## [1] 0.1538462</w:t>
      </w:r>
    </w:p>
    <w:p>
      <w:pPr>
        <w:pStyle w:val="SourceCode"/>
      </w:pPr>
      <w:r>
        <w:rPr>
          <w:rStyle w:val="FunctionTok"/>
        </w:rPr>
        <w:t xml:space="preserve">sum</w:t>
      </w:r>
      <w:r>
        <w:rPr>
          <w:rStyle w:val="NormalTok"/>
        </w:rPr>
        <w:t xml:space="preserve">(ceadf</w:t>
      </w:r>
      <w:r>
        <w:rPr>
          <w:rStyle w:val="SpecialCharTok"/>
        </w:rPr>
        <w:t xml:space="preserve">$</w:t>
      </w:r>
      <w:r>
        <w:rPr>
          <w:rStyle w:val="NormalTok"/>
        </w:rPr>
        <w:t xml:space="preserve">TOCcumulativeCosts </w:t>
      </w:r>
      <w:r>
        <w:rPr>
          <w:rStyle w:val="SpecialCharTok"/>
        </w:rPr>
        <w:t xml:space="preserve">&lt;</w:t>
      </w:r>
      <w:r>
        <w:rPr>
          <w:rStyle w:val="NormalTok"/>
        </w:rPr>
        <w:t xml:space="preserve"> ceadf</w:t>
      </w:r>
      <w:r>
        <w:rPr>
          <w:rStyle w:val="SpecialCharTok"/>
        </w:rPr>
        <w:t xml:space="preserve">$</w:t>
      </w:r>
      <w:r>
        <w:rPr>
          <w:rStyle w:val="NormalTok"/>
        </w:rPr>
        <w:t xml:space="preserve">RCcumulativeCosts </w:t>
      </w:r>
      <w:r>
        <w:rPr>
          <w:rStyle w:val="SpecialCharTok"/>
        </w:rPr>
        <w:t xml:space="preserve">&amp;</w:t>
      </w:r>
      <w:r>
        <w:rPr>
          <w:rStyle w:val="NormalTok"/>
        </w:rPr>
        <w:t xml:space="preserve"> ceadf</w:t>
      </w:r>
      <w:r>
        <w:rPr>
          <w:rStyle w:val="SpecialCharTok"/>
        </w:rPr>
        <w:t xml:space="preserve">$</w:t>
      </w:r>
      <w:r>
        <w:rPr>
          <w:rStyle w:val="NormalTok"/>
        </w:rPr>
        <w:t xml:space="preserve">TOCcumulativeCosts </w:t>
      </w:r>
      <w:r>
        <w:rPr>
          <w:rStyle w:val="SpecialCharTok"/>
        </w:rPr>
        <w:t xml:space="preserve">&lt;</w:t>
      </w:r>
      <w:r>
        <w:rPr>
          <w:rStyle w:val="NormalTok"/>
        </w:rPr>
        <w:t xml:space="preserve"> ceadf</w:t>
      </w:r>
      <w:r>
        <w:rPr>
          <w:rStyle w:val="SpecialCharTok"/>
        </w:rPr>
        <w:t xml:space="preserve">$</w:t>
      </w:r>
      <w:r>
        <w:rPr>
          <w:rStyle w:val="NormalTok"/>
        </w:rPr>
        <w:t xml:space="preserve">RandomcumulativeCosts </w:t>
      </w:r>
      <w:r>
        <w:rPr>
          <w:rStyle w:val="SpecialCharTok"/>
        </w:rPr>
        <w:t xml:space="preserve">&amp;</w:t>
      </w:r>
      <w:r>
        <w:rPr>
          <w:rStyle w:val="NormalTok"/>
        </w:rPr>
        <w:t xml:space="preserve"> ceadf</w:t>
      </w:r>
      <w:r>
        <w:rPr>
          <w:rStyle w:val="SpecialCharTok"/>
        </w:rPr>
        <w:t xml:space="preserve">$</w:t>
      </w:r>
      <w:r>
        <w:rPr>
          <w:rStyle w:val="NormalTok"/>
        </w:rPr>
        <w:t xml:space="preserve">TOCcumulativeCosts </w:t>
      </w:r>
      <w:r>
        <w:rPr>
          <w:rStyle w:val="SpecialCharTok"/>
        </w:rPr>
        <w:t xml:space="preserve">&lt;</w:t>
      </w:r>
      <w:r>
        <w:rPr>
          <w:rStyle w:val="NormalTok"/>
        </w:rPr>
        <w:t xml:space="preserve"> ceadf</w:t>
      </w:r>
      <w:r>
        <w:rPr>
          <w:rStyle w:val="SpecialCharTok"/>
        </w:rPr>
        <w:t xml:space="preserve">$</w:t>
      </w:r>
      <w:r>
        <w:rPr>
          <w:rStyle w:val="NormalTok"/>
        </w:rPr>
        <w:t xml:space="preserve">GISPcumulativeCosts)</w:t>
      </w:r>
    </w:p>
    <w:p>
      <w:pPr>
        <w:pStyle w:val="SourceCode"/>
      </w:pPr>
      <w:r>
        <w:rPr>
          <w:rStyle w:val="VerbatimChar"/>
        </w:rPr>
        <w:t xml:space="preserve">## [1] 5</w:t>
      </w:r>
    </w:p>
    <w:p>
      <w:pPr>
        <w:pStyle w:val="SourceCode"/>
      </w:pPr>
      <w:r>
        <w:rPr>
          <w:rStyle w:val="FunctionTok"/>
        </w:rPr>
        <w:t xml:space="preserve">sum</w:t>
      </w:r>
      <w:r>
        <w:rPr>
          <w:rStyle w:val="NormalTok"/>
        </w:rPr>
        <w:t xml:space="preserve">(ceadf</w:t>
      </w:r>
      <w:r>
        <w:rPr>
          <w:rStyle w:val="SpecialCharTok"/>
        </w:rPr>
        <w:t xml:space="preserve">$</w:t>
      </w:r>
      <w:r>
        <w:rPr>
          <w:rStyle w:val="NormalTok"/>
        </w:rPr>
        <w:t xml:space="preserve">TOCcumulativeCosts </w:t>
      </w:r>
      <w:r>
        <w:rPr>
          <w:rStyle w:val="SpecialCharTok"/>
        </w:rPr>
        <w:t xml:space="preserve">&lt;</w:t>
      </w:r>
      <w:r>
        <w:rPr>
          <w:rStyle w:val="NormalTok"/>
        </w:rPr>
        <w:t xml:space="preserve"> ceadf</w:t>
      </w:r>
      <w:r>
        <w:rPr>
          <w:rStyle w:val="SpecialCharTok"/>
        </w:rPr>
        <w:t xml:space="preserve">$</w:t>
      </w:r>
      <w:r>
        <w:rPr>
          <w:rStyle w:val="NormalTok"/>
        </w:rPr>
        <w:t xml:space="preserve">RCcumulativeCosts </w:t>
      </w:r>
      <w:r>
        <w:rPr>
          <w:rStyle w:val="SpecialCharTok"/>
        </w:rPr>
        <w:t xml:space="preserve">&amp;</w:t>
      </w:r>
      <w:r>
        <w:rPr>
          <w:rStyle w:val="NormalTok"/>
        </w:rPr>
        <w:t xml:space="preserve"> ceadf</w:t>
      </w:r>
      <w:r>
        <w:rPr>
          <w:rStyle w:val="SpecialCharTok"/>
        </w:rPr>
        <w:t xml:space="preserve">$</w:t>
      </w:r>
      <w:r>
        <w:rPr>
          <w:rStyle w:val="NormalTok"/>
        </w:rPr>
        <w:t xml:space="preserve">TOCcumulativeCosts </w:t>
      </w:r>
      <w:r>
        <w:rPr>
          <w:rStyle w:val="SpecialCharTok"/>
        </w:rPr>
        <w:t xml:space="preserve">&lt;</w:t>
      </w:r>
      <w:r>
        <w:rPr>
          <w:rStyle w:val="NormalTok"/>
        </w:rPr>
        <w:t xml:space="preserve"> ceadf</w:t>
      </w:r>
      <w:r>
        <w:rPr>
          <w:rStyle w:val="SpecialCharTok"/>
        </w:rPr>
        <w:t xml:space="preserve">$</w:t>
      </w:r>
      <w:r>
        <w:rPr>
          <w:rStyle w:val="NormalTok"/>
        </w:rPr>
        <w:t xml:space="preserve">RandomcumulativeCosts </w:t>
      </w:r>
      <w:r>
        <w:rPr>
          <w:rStyle w:val="SpecialCharTok"/>
        </w:rPr>
        <w:t xml:space="preserve">&amp;</w:t>
      </w:r>
      <w:r>
        <w:rPr>
          <w:rStyle w:val="NormalTok"/>
        </w:rPr>
        <w:t xml:space="preserve"> </w:t>
      </w:r>
      <w:r>
        <w:br/>
      </w:r>
      <w:r>
        <w:rPr>
          <w:rStyle w:val="NormalTok"/>
        </w:rPr>
        <w:t xml:space="preserve">      ceadf</w:t>
      </w:r>
      <w:r>
        <w:rPr>
          <w:rStyle w:val="SpecialCharTok"/>
        </w:rPr>
        <w:t xml:space="preserve">$</w:t>
      </w:r>
      <w:r>
        <w:rPr>
          <w:rStyle w:val="NormalTok"/>
        </w:rPr>
        <w:t xml:space="preserve">TOCcumulativeCosts </w:t>
      </w:r>
      <w:r>
        <w:rPr>
          <w:rStyle w:val="SpecialCharTok"/>
        </w:rPr>
        <w:t xml:space="preserve">&lt;</w:t>
      </w:r>
      <w:r>
        <w:rPr>
          <w:rStyle w:val="NormalTok"/>
        </w:rPr>
        <w:t xml:space="preserve"> ceadf</w:t>
      </w:r>
      <w:r>
        <w:rPr>
          <w:rStyle w:val="SpecialCharTok"/>
        </w:rPr>
        <w:t xml:space="preserve">$</w:t>
      </w:r>
      <w:r>
        <w:rPr>
          <w:rStyle w:val="NormalTok"/>
        </w:rPr>
        <w:t xml:space="preserve">GISPcumulativeCosts) </w:t>
      </w:r>
      <w:r>
        <w:rPr>
          <w:rStyle w:val="SpecialCharTok"/>
        </w:rPr>
        <w:t xml:space="preserve">/</w:t>
      </w:r>
      <w:r>
        <w:rPr>
          <w:rStyle w:val="NormalTok"/>
        </w:rPr>
        <w:t xml:space="preserve"> </w:t>
      </w:r>
      <w:r>
        <w:rPr>
          <w:rStyle w:val="DecValTok"/>
        </w:rPr>
        <w:t xml:space="preserve">143</w:t>
      </w:r>
    </w:p>
    <w:p>
      <w:pPr>
        <w:pStyle w:val="SourceCode"/>
      </w:pPr>
      <w:r>
        <w:rPr>
          <w:rStyle w:val="VerbatimChar"/>
        </w:rPr>
        <w:t xml:space="preserve">## [1] 0.03496503</w:t>
      </w:r>
    </w:p>
    <w:p>
      <w:pPr>
        <w:pStyle w:val="SourceCode"/>
      </w:pPr>
      <w:r>
        <w:rPr>
          <w:rStyle w:val="FunctionTok"/>
        </w:rPr>
        <w:t xml:space="preserve">sum</w:t>
      </w:r>
      <w:r>
        <w:rPr>
          <w:rStyle w:val="NormalTok"/>
        </w:rPr>
        <w:t xml:space="preserve">(ceadf</w:t>
      </w:r>
      <w:r>
        <w:rPr>
          <w:rStyle w:val="SpecialCharTok"/>
        </w:rPr>
        <w:t xml:space="preserve">$</w:t>
      </w:r>
      <w:r>
        <w:rPr>
          <w:rStyle w:val="NormalTok"/>
        </w:rPr>
        <w:t xml:space="preserve">TOCcumulativeQALYs </w:t>
      </w:r>
      <w:r>
        <w:rPr>
          <w:rStyle w:val="SpecialCharTok"/>
        </w:rPr>
        <w:t xml:space="preserve">&lt;</w:t>
      </w:r>
      <w:r>
        <w:rPr>
          <w:rStyle w:val="NormalTok"/>
        </w:rPr>
        <w:t xml:space="preserve"> ceadf</w:t>
      </w:r>
      <w:r>
        <w:rPr>
          <w:rStyle w:val="SpecialCharTok"/>
        </w:rPr>
        <w:t xml:space="preserve">$</w:t>
      </w:r>
      <w:r>
        <w:rPr>
          <w:rStyle w:val="NormalTok"/>
        </w:rPr>
        <w:t xml:space="preserve">RCcumulativeQALYs </w:t>
      </w:r>
      <w:r>
        <w:rPr>
          <w:rStyle w:val="SpecialCharTok"/>
        </w:rPr>
        <w:t xml:space="preserve">&amp;</w:t>
      </w:r>
      <w:r>
        <w:rPr>
          <w:rStyle w:val="NormalTok"/>
        </w:rPr>
        <w:t xml:space="preserve"> ceadf</w:t>
      </w:r>
      <w:r>
        <w:rPr>
          <w:rStyle w:val="SpecialCharTok"/>
        </w:rPr>
        <w:t xml:space="preserve">$</w:t>
      </w:r>
      <w:r>
        <w:rPr>
          <w:rStyle w:val="NormalTok"/>
        </w:rPr>
        <w:t xml:space="preserve">TOCcumulativeQALYs </w:t>
      </w:r>
      <w:r>
        <w:rPr>
          <w:rStyle w:val="SpecialCharTok"/>
        </w:rPr>
        <w:t xml:space="preserve">&lt;</w:t>
      </w:r>
      <w:r>
        <w:rPr>
          <w:rStyle w:val="NormalTok"/>
        </w:rPr>
        <w:t xml:space="preserve"> ceadf</w:t>
      </w:r>
      <w:r>
        <w:rPr>
          <w:rStyle w:val="SpecialCharTok"/>
        </w:rPr>
        <w:t xml:space="preserve">$</w:t>
      </w:r>
      <w:r>
        <w:rPr>
          <w:rStyle w:val="NormalTok"/>
        </w:rPr>
        <w:t xml:space="preserve">RandomcumulativeQALYs </w:t>
      </w:r>
      <w:r>
        <w:rPr>
          <w:rStyle w:val="SpecialCharTok"/>
        </w:rPr>
        <w:t xml:space="preserve">&amp;</w:t>
      </w:r>
      <w:r>
        <w:rPr>
          <w:rStyle w:val="NormalTok"/>
        </w:rPr>
        <w:t xml:space="preserve"> </w:t>
      </w:r>
      <w:r>
        <w:br/>
      </w:r>
      <w:r>
        <w:rPr>
          <w:rStyle w:val="NormalTok"/>
        </w:rPr>
        <w:t xml:space="preserve">      ceadf</w:t>
      </w:r>
      <w:r>
        <w:rPr>
          <w:rStyle w:val="SpecialCharTok"/>
        </w:rPr>
        <w:t xml:space="preserve">$</w:t>
      </w:r>
      <w:r>
        <w:rPr>
          <w:rStyle w:val="NormalTok"/>
        </w:rPr>
        <w:t xml:space="preserve">TOCcumulativeQALYs </w:t>
      </w:r>
      <w:r>
        <w:rPr>
          <w:rStyle w:val="SpecialCharTok"/>
        </w:rPr>
        <w:t xml:space="preserve">&lt;</w:t>
      </w:r>
      <w:r>
        <w:rPr>
          <w:rStyle w:val="NormalTok"/>
        </w:rPr>
        <w:t xml:space="preserve"> ceadf</w:t>
      </w:r>
      <w:r>
        <w:rPr>
          <w:rStyle w:val="SpecialCharTok"/>
        </w:rPr>
        <w:t xml:space="preserve">$</w:t>
      </w:r>
      <w:r>
        <w:rPr>
          <w:rStyle w:val="NormalTok"/>
        </w:rPr>
        <w:t xml:space="preserve">GISPcumulativeQALYs)</w:t>
      </w:r>
    </w:p>
    <w:p>
      <w:pPr>
        <w:pStyle w:val="SourceCode"/>
      </w:pPr>
      <w:r>
        <w:rPr>
          <w:rStyle w:val="VerbatimChar"/>
        </w:rPr>
        <w:t xml:space="preserve">## [1] 34</w:t>
      </w:r>
    </w:p>
    <w:p>
      <w:pPr>
        <w:pStyle w:val="SourceCode"/>
      </w:pPr>
      <w:r>
        <w:rPr>
          <w:rStyle w:val="FunctionTok"/>
        </w:rPr>
        <w:t xml:space="preserve">sum</w:t>
      </w:r>
      <w:r>
        <w:rPr>
          <w:rStyle w:val="NormalTok"/>
        </w:rPr>
        <w:t xml:space="preserve">(ceadf</w:t>
      </w:r>
      <w:r>
        <w:rPr>
          <w:rStyle w:val="SpecialCharTok"/>
        </w:rPr>
        <w:t xml:space="preserve">$</w:t>
      </w:r>
      <w:r>
        <w:rPr>
          <w:rStyle w:val="NormalTok"/>
        </w:rPr>
        <w:t xml:space="preserve">TOCcumulativeQALYs </w:t>
      </w:r>
      <w:r>
        <w:rPr>
          <w:rStyle w:val="SpecialCharTok"/>
        </w:rPr>
        <w:t xml:space="preserve">&lt;</w:t>
      </w:r>
      <w:r>
        <w:rPr>
          <w:rStyle w:val="NormalTok"/>
        </w:rPr>
        <w:t xml:space="preserve"> ceadf</w:t>
      </w:r>
      <w:r>
        <w:rPr>
          <w:rStyle w:val="SpecialCharTok"/>
        </w:rPr>
        <w:t xml:space="preserve">$</w:t>
      </w:r>
      <w:r>
        <w:rPr>
          <w:rStyle w:val="NormalTok"/>
        </w:rPr>
        <w:t xml:space="preserve">RCcumulativeQALYs </w:t>
      </w:r>
      <w:r>
        <w:rPr>
          <w:rStyle w:val="SpecialCharTok"/>
        </w:rPr>
        <w:t xml:space="preserve">&amp;</w:t>
      </w:r>
      <w:r>
        <w:rPr>
          <w:rStyle w:val="NormalTok"/>
        </w:rPr>
        <w:t xml:space="preserve"> ceadf</w:t>
      </w:r>
      <w:r>
        <w:rPr>
          <w:rStyle w:val="SpecialCharTok"/>
        </w:rPr>
        <w:t xml:space="preserve">$</w:t>
      </w:r>
      <w:r>
        <w:rPr>
          <w:rStyle w:val="NormalTok"/>
        </w:rPr>
        <w:t xml:space="preserve">TOCcumulativeQALYs </w:t>
      </w:r>
      <w:r>
        <w:rPr>
          <w:rStyle w:val="SpecialCharTok"/>
        </w:rPr>
        <w:t xml:space="preserve">&lt;</w:t>
      </w:r>
      <w:r>
        <w:rPr>
          <w:rStyle w:val="NormalTok"/>
        </w:rPr>
        <w:t xml:space="preserve"> ceadf</w:t>
      </w:r>
      <w:r>
        <w:rPr>
          <w:rStyle w:val="SpecialCharTok"/>
        </w:rPr>
        <w:t xml:space="preserve">$</w:t>
      </w:r>
      <w:r>
        <w:rPr>
          <w:rStyle w:val="NormalTok"/>
        </w:rPr>
        <w:t xml:space="preserve">RandomcumulativeQALYs </w:t>
      </w:r>
      <w:r>
        <w:rPr>
          <w:rStyle w:val="SpecialCharTok"/>
        </w:rPr>
        <w:t xml:space="preserve">&amp;</w:t>
      </w:r>
      <w:r>
        <w:rPr>
          <w:rStyle w:val="NormalTok"/>
        </w:rPr>
        <w:t xml:space="preserve"> ceadf</w:t>
      </w:r>
      <w:r>
        <w:rPr>
          <w:rStyle w:val="SpecialCharTok"/>
        </w:rPr>
        <w:t xml:space="preserve">$</w:t>
      </w:r>
      <w:r>
        <w:rPr>
          <w:rStyle w:val="NormalTok"/>
        </w:rPr>
        <w:t xml:space="preserve">TOCcumulativeQALYs </w:t>
      </w:r>
      <w:r>
        <w:rPr>
          <w:rStyle w:val="SpecialCharTok"/>
        </w:rPr>
        <w:t xml:space="preserve">&lt;</w:t>
      </w:r>
      <w:r>
        <w:rPr>
          <w:rStyle w:val="NormalTok"/>
        </w:rPr>
        <w:t xml:space="preserve"> ceadf</w:t>
      </w:r>
      <w:r>
        <w:rPr>
          <w:rStyle w:val="SpecialCharTok"/>
        </w:rPr>
        <w:t xml:space="preserve">$</w:t>
      </w:r>
      <w:r>
        <w:rPr>
          <w:rStyle w:val="NormalTok"/>
        </w:rPr>
        <w:t xml:space="preserve">GISPcumulativeQALYs) </w:t>
      </w:r>
      <w:r>
        <w:rPr>
          <w:rStyle w:val="SpecialCharTok"/>
        </w:rPr>
        <w:t xml:space="preserve">/</w:t>
      </w:r>
      <w:r>
        <w:rPr>
          <w:rStyle w:val="NormalTok"/>
        </w:rPr>
        <w:t xml:space="preserve"> </w:t>
      </w:r>
      <w:r>
        <w:rPr>
          <w:rStyle w:val="DecValTok"/>
        </w:rPr>
        <w:t xml:space="preserve">143</w:t>
      </w:r>
    </w:p>
    <w:p>
      <w:pPr>
        <w:pStyle w:val="SourceCode"/>
      </w:pPr>
      <w:r>
        <w:rPr>
          <w:rStyle w:val="VerbatimChar"/>
        </w:rPr>
        <w:t xml:space="preserve">## [1] 0.2377622</w:t>
      </w:r>
    </w:p>
    <w:p>
      <w:pPr>
        <w:pStyle w:val="SourceCode"/>
      </w:pPr>
      <w:r>
        <w:rPr>
          <w:rStyle w:val="FunctionTok"/>
        </w:rPr>
        <w:t xml:space="preserve">sum</w:t>
      </w:r>
      <w:r>
        <w:rPr>
          <w:rStyle w:val="NormalTok"/>
        </w:rPr>
        <w:t xml:space="preserve">(ceadf</w:t>
      </w:r>
      <w:r>
        <w:rPr>
          <w:rStyle w:val="SpecialCharTok"/>
        </w:rPr>
        <w:t xml:space="preserve">$</w:t>
      </w:r>
      <w:r>
        <w:rPr>
          <w:rStyle w:val="NormalTok"/>
        </w:rPr>
        <w:t xml:space="preserve">RCcumulativeCosts </w:t>
      </w:r>
      <w:r>
        <w:rPr>
          <w:rStyle w:val="SpecialCharTok"/>
        </w:rPr>
        <w:t xml:space="preserve">&lt;</w:t>
      </w:r>
      <w:r>
        <w:rPr>
          <w:rStyle w:val="NormalTok"/>
        </w:rPr>
        <w:t xml:space="preserve"> ceadf</w:t>
      </w:r>
      <w:r>
        <w:rPr>
          <w:rStyle w:val="SpecialCharTok"/>
        </w:rPr>
        <w:t xml:space="preserve">$</w:t>
      </w:r>
      <w:r>
        <w:rPr>
          <w:rStyle w:val="NormalTok"/>
        </w:rPr>
        <w:t xml:space="preserve">RandomcumulativeCosts </w:t>
      </w:r>
      <w:r>
        <w:rPr>
          <w:rStyle w:val="SpecialCharTok"/>
        </w:rPr>
        <w:t xml:space="preserve">&amp;</w:t>
      </w:r>
      <w:r>
        <w:rPr>
          <w:rStyle w:val="NormalTok"/>
        </w:rPr>
        <w:t xml:space="preserve"> ceadf</w:t>
      </w:r>
      <w:r>
        <w:rPr>
          <w:rStyle w:val="SpecialCharTok"/>
        </w:rPr>
        <w:t xml:space="preserve">$</w:t>
      </w:r>
      <w:r>
        <w:rPr>
          <w:rStyle w:val="NormalTok"/>
        </w:rPr>
        <w:t xml:space="preserve">RCcumulativeCosts </w:t>
      </w:r>
      <w:r>
        <w:rPr>
          <w:rStyle w:val="SpecialCharTok"/>
        </w:rPr>
        <w:t xml:space="preserve">&lt;</w:t>
      </w:r>
      <w:r>
        <w:rPr>
          <w:rStyle w:val="NormalTok"/>
        </w:rPr>
        <w:t xml:space="preserve"> ceadf</w:t>
      </w:r>
      <w:r>
        <w:rPr>
          <w:rStyle w:val="SpecialCharTok"/>
        </w:rPr>
        <w:t xml:space="preserve">$</w:t>
      </w:r>
      <w:r>
        <w:rPr>
          <w:rStyle w:val="NormalTok"/>
        </w:rPr>
        <w:t xml:space="preserve">TOCcumulativeCosts </w:t>
      </w:r>
      <w:r>
        <w:rPr>
          <w:rStyle w:val="SpecialCharTok"/>
        </w:rPr>
        <w:t xml:space="preserve">&amp;</w:t>
      </w:r>
      <w:r>
        <w:rPr>
          <w:rStyle w:val="NormalTok"/>
        </w:rPr>
        <w:t xml:space="preserve"> ceadf</w:t>
      </w:r>
      <w:r>
        <w:rPr>
          <w:rStyle w:val="SpecialCharTok"/>
        </w:rPr>
        <w:t xml:space="preserve">$</w:t>
      </w:r>
      <w:r>
        <w:rPr>
          <w:rStyle w:val="NormalTok"/>
        </w:rPr>
        <w:t xml:space="preserve">RCcumulativeCosts </w:t>
      </w:r>
      <w:r>
        <w:rPr>
          <w:rStyle w:val="SpecialCharTok"/>
        </w:rPr>
        <w:t xml:space="preserve">&lt;</w:t>
      </w:r>
      <w:r>
        <w:rPr>
          <w:rStyle w:val="NormalTok"/>
        </w:rPr>
        <w:t xml:space="preserve"> ceadf</w:t>
      </w:r>
      <w:r>
        <w:rPr>
          <w:rStyle w:val="SpecialCharTok"/>
        </w:rPr>
        <w:t xml:space="preserve">$</w:t>
      </w:r>
      <w:r>
        <w:rPr>
          <w:rStyle w:val="NormalTok"/>
        </w:rPr>
        <w:t xml:space="preserve">GISPcumulativeCosts)</w:t>
      </w:r>
    </w:p>
    <w:p>
      <w:pPr>
        <w:pStyle w:val="SourceCode"/>
      </w:pPr>
      <w:r>
        <w:rPr>
          <w:rStyle w:val="VerbatimChar"/>
        </w:rPr>
        <w:t xml:space="preserve">## [1] 8</w:t>
      </w:r>
    </w:p>
    <w:p>
      <w:pPr>
        <w:pStyle w:val="SourceCode"/>
      </w:pPr>
      <w:r>
        <w:rPr>
          <w:rStyle w:val="FunctionTok"/>
        </w:rPr>
        <w:t xml:space="preserve">sum</w:t>
      </w:r>
      <w:r>
        <w:rPr>
          <w:rStyle w:val="NormalTok"/>
        </w:rPr>
        <w:t xml:space="preserve">(ceadf</w:t>
      </w:r>
      <w:r>
        <w:rPr>
          <w:rStyle w:val="SpecialCharTok"/>
        </w:rPr>
        <w:t xml:space="preserve">$</w:t>
      </w:r>
      <w:r>
        <w:rPr>
          <w:rStyle w:val="NormalTok"/>
        </w:rPr>
        <w:t xml:space="preserve">RCcumulativeCosts </w:t>
      </w:r>
      <w:r>
        <w:rPr>
          <w:rStyle w:val="SpecialCharTok"/>
        </w:rPr>
        <w:t xml:space="preserve">&lt;</w:t>
      </w:r>
      <w:r>
        <w:rPr>
          <w:rStyle w:val="NormalTok"/>
        </w:rPr>
        <w:t xml:space="preserve"> ceadf</w:t>
      </w:r>
      <w:r>
        <w:rPr>
          <w:rStyle w:val="SpecialCharTok"/>
        </w:rPr>
        <w:t xml:space="preserve">$</w:t>
      </w:r>
      <w:r>
        <w:rPr>
          <w:rStyle w:val="NormalTok"/>
        </w:rPr>
        <w:t xml:space="preserve">RandomcumulativeCosts </w:t>
      </w:r>
      <w:r>
        <w:rPr>
          <w:rStyle w:val="SpecialCharTok"/>
        </w:rPr>
        <w:t xml:space="preserve">&amp;</w:t>
      </w:r>
      <w:r>
        <w:rPr>
          <w:rStyle w:val="NormalTok"/>
        </w:rPr>
        <w:t xml:space="preserve"> ceadf</w:t>
      </w:r>
      <w:r>
        <w:rPr>
          <w:rStyle w:val="SpecialCharTok"/>
        </w:rPr>
        <w:t xml:space="preserve">$</w:t>
      </w:r>
      <w:r>
        <w:rPr>
          <w:rStyle w:val="NormalTok"/>
        </w:rPr>
        <w:t xml:space="preserve">RCcumulativeCosts </w:t>
      </w:r>
      <w:r>
        <w:rPr>
          <w:rStyle w:val="SpecialCharTok"/>
        </w:rPr>
        <w:t xml:space="preserve">&lt;</w:t>
      </w:r>
      <w:r>
        <w:rPr>
          <w:rStyle w:val="NormalTok"/>
        </w:rPr>
        <w:t xml:space="preserve"> ceadf</w:t>
      </w:r>
      <w:r>
        <w:rPr>
          <w:rStyle w:val="SpecialCharTok"/>
        </w:rPr>
        <w:t xml:space="preserve">$</w:t>
      </w:r>
      <w:r>
        <w:rPr>
          <w:rStyle w:val="NormalTok"/>
        </w:rPr>
        <w:t xml:space="preserve">TOCcumulativeCosts </w:t>
      </w:r>
      <w:r>
        <w:rPr>
          <w:rStyle w:val="SpecialCharTok"/>
        </w:rPr>
        <w:t xml:space="preserve">&amp;</w:t>
      </w:r>
      <w:r>
        <w:rPr>
          <w:rStyle w:val="NormalTok"/>
        </w:rPr>
        <w:t xml:space="preserve"> ceadf</w:t>
      </w:r>
      <w:r>
        <w:rPr>
          <w:rStyle w:val="SpecialCharTok"/>
        </w:rPr>
        <w:t xml:space="preserve">$</w:t>
      </w:r>
      <w:r>
        <w:rPr>
          <w:rStyle w:val="NormalTok"/>
        </w:rPr>
        <w:t xml:space="preserve">RCcumulativeCosts </w:t>
      </w:r>
      <w:r>
        <w:rPr>
          <w:rStyle w:val="SpecialCharTok"/>
        </w:rPr>
        <w:t xml:space="preserve">&lt;</w:t>
      </w:r>
      <w:r>
        <w:rPr>
          <w:rStyle w:val="NormalTok"/>
        </w:rPr>
        <w:t xml:space="preserve"> ceadf</w:t>
      </w:r>
      <w:r>
        <w:rPr>
          <w:rStyle w:val="SpecialCharTok"/>
        </w:rPr>
        <w:t xml:space="preserve">$</w:t>
      </w:r>
      <w:r>
        <w:rPr>
          <w:rStyle w:val="NormalTok"/>
        </w:rPr>
        <w:t xml:space="preserve">GISPcumulativeCosts) </w:t>
      </w:r>
      <w:r>
        <w:rPr>
          <w:rStyle w:val="SpecialCharTok"/>
        </w:rPr>
        <w:t xml:space="preserve">/</w:t>
      </w:r>
      <w:r>
        <w:rPr>
          <w:rStyle w:val="NormalTok"/>
        </w:rPr>
        <w:t xml:space="preserve"> </w:t>
      </w:r>
      <w:r>
        <w:rPr>
          <w:rStyle w:val="DecValTok"/>
        </w:rPr>
        <w:t xml:space="preserve">143</w:t>
      </w:r>
    </w:p>
    <w:p>
      <w:pPr>
        <w:pStyle w:val="SourceCode"/>
      </w:pPr>
      <w:r>
        <w:rPr>
          <w:rStyle w:val="VerbatimChar"/>
        </w:rPr>
        <w:t xml:space="preserve">## [1] 0.05594406</w:t>
      </w:r>
    </w:p>
    <w:p>
      <w:pPr>
        <w:pStyle w:val="SourceCode"/>
      </w:pPr>
      <w:r>
        <w:rPr>
          <w:rStyle w:val="FunctionTok"/>
        </w:rPr>
        <w:t xml:space="preserve">sum</w:t>
      </w:r>
      <w:r>
        <w:rPr>
          <w:rStyle w:val="NormalTok"/>
        </w:rPr>
        <w:t xml:space="preserve">(ceadf</w:t>
      </w:r>
      <w:r>
        <w:rPr>
          <w:rStyle w:val="SpecialCharTok"/>
        </w:rPr>
        <w:t xml:space="preserve">$</w:t>
      </w:r>
      <w:r>
        <w:rPr>
          <w:rStyle w:val="NormalTok"/>
        </w:rPr>
        <w:t xml:space="preserve">RCcumulativeQALYs </w:t>
      </w:r>
      <w:r>
        <w:rPr>
          <w:rStyle w:val="SpecialCharTok"/>
        </w:rPr>
        <w:t xml:space="preserve">&lt;</w:t>
      </w:r>
      <w:r>
        <w:rPr>
          <w:rStyle w:val="NormalTok"/>
        </w:rPr>
        <w:t xml:space="preserve"> ceadf</w:t>
      </w:r>
      <w:r>
        <w:rPr>
          <w:rStyle w:val="SpecialCharTok"/>
        </w:rPr>
        <w:t xml:space="preserve">$</w:t>
      </w:r>
      <w:r>
        <w:rPr>
          <w:rStyle w:val="NormalTok"/>
        </w:rPr>
        <w:t xml:space="preserve">RandomcumulativeQALYs </w:t>
      </w:r>
      <w:r>
        <w:rPr>
          <w:rStyle w:val="SpecialCharTok"/>
        </w:rPr>
        <w:t xml:space="preserve">&amp;</w:t>
      </w:r>
      <w:r>
        <w:rPr>
          <w:rStyle w:val="NormalTok"/>
        </w:rPr>
        <w:t xml:space="preserve"> ceadf</w:t>
      </w:r>
      <w:r>
        <w:rPr>
          <w:rStyle w:val="SpecialCharTok"/>
        </w:rPr>
        <w:t xml:space="preserve">$</w:t>
      </w:r>
      <w:r>
        <w:rPr>
          <w:rStyle w:val="NormalTok"/>
        </w:rPr>
        <w:t xml:space="preserve">RCcumulativeQALYs </w:t>
      </w:r>
      <w:r>
        <w:rPr>
          <w:rStyle w:val="SpecialCharTok"/>
        </w:rPr>
        <w:t xml:space="preserve">&lt;</w:t>
      </w:r>
      <w:r>
        <w:rPr>
          <w:rStyle w:val="NormalTok"/>
        </w:rPr>
        <w:t xml:space="preserve"> ceadf</w:t>
      </w:r>
      <w:r>
        <w:rPr>
          <w:rStyle w:val="SpecialCharTok"/>
        </w:rPr>
        <w:t xml:space="preserve">$</w:t>
      </w:r>
      <w:r>
        <w:rPr>
          <w:rStyle w:val="NormalTok"/>
        </w:rPr>
        <w:t xml:space="preserve">TOCcumulativeQALYs </w:t>
      </w:r>
      <w:r>
        <w:rPr>
          <w:rStyle w:val="SpecialCharTok"/>
        </w:rPr>
        <w:t xml:space="preserve">&amp;</w:t>
      </w:r>
      <w:r>
        <w:rPr>
          <w:rStyle w:val="NormalTok"/>
        </w:rPr>
        <w:t xml:space="preserve"> ceadf</w:t>
      </w:r>
      <w:r>
        <w:rPr>
          <w:rStyle w:val="SpecialCharTok"/>
        </w:rPr>
        <w:t xml:space="preserve">$</w:t>
      </w:r>
      <w:r>
        <w:rPr>
          <w:rStyle w:val="NormalTok"/>
        </w:rPr>
        <w:t xml:space="preserve">RCcumulativeQALYs </w:t>
      </w:r>
      <w:r>
        <w:rPr>
          <w:rStyle w:val="SpecialCharTok"/>
        </w:rPr>
        <w:t xml:space="preserve">&lt;</w:t>
      </w:r>
      <w:r>
        <w:rPr>
          <w:rStyle w:val="NormalTok"/>
        </w:rPr>
        <w:t xml:space="preserve"> ceadf</w:t>
      </w:r>
      <w:r>
        <w:rPr>
          <w:rStyle w:val="SpecialCharTok"/>
        </w:rPr>
        <w:t xml:space="preserve">$</w:t>
      </w:r>
      <w:r>
        <w:rPr>
          <w:rStyle w:val="NormalTok"/>
        </w:rPr>
        <w:t xml:space="preserve">GISPcumulativeQALYs)</w:t>
      </w:r>
    </w:p>
    <w:p>
      <w:pPr>
        <w:pStyle w:val="SourceCode"/>
      </w:pPr>
      <w:r>
        <w:rPr>
          <w:rStyle w:val="VerbatimChar"/>
        </w:rPr>
        <w:t xml:space="preserve">## [1] 20</w:t>
      </w:r>
    </w:p>
    <w:p>
      <w:pPr>
        <w:pStyle w:val="SourceCode"/>
      </w:pPr>
      <w:r>
        <w:rPr>
          <w:rStyle w:val="FunctionTok"/>
        </w:rPr>
        <w:t xml:space="preserve">sum</w:t>
      </w:r>
      <w:r>
        <w:rPr>
          <w:rStyle w:val="NormalTok"/>
        </w:rPr>
        <w:t xml:space="preserve">(ceadf</w:t>
      </w:r>
      <w:r>
        <w:rPr>
          <w:rStyle w:val="SpecialCharTok"/>
        </w:rPr>
        <w:t xml:space="preserve">$</w:t>
      </w:r>
      <w:r>
        <w:rPr>
          <w:rStyle w:val="NormalTok"/>
        </w:rPr>
        <w:t xml:space="preserve">RCcumulativeQALYs </w:t>
      </w:r>
      <w:r>
        <w:rPr>
          <w:rStyle w:val="SpecialCharTok"/>
        </w:rPr>
        <w:t xml:space="preserve">&lt;</w:t>
      </w:r>
      <w:r>
        <w:rPr>
          <w:rStyle w:val="NormalTok"/>
        </w:rPr>
        <w:t xml:space="preserve"> ceadf</w:t>
      </w:r>
      <w:r>
        <w:rPr>
          <w:rStyle w:val="SpecialCharTok"/>
        </w:rPr>
        <w:t xml:space="preserve">$</w:t>
      </w:r>
      <w:r>
        <w:rPr>
          <w:rStyle w:val="NormalTok"/>
        </w:rPr>
        <w:t xml:space="preserve">RandomcumulativeQALYs </w:t>
      </w:r>
      <w:r>
        <w:rPr>
          <w:rStyle w:val="SpecialCharTok"/>
        </w:rPr>
        <w:t xml:space="preserve">&amp;</w:t>
      </w:r>
      <w:r>
        <w:rPr>
          <w:rStyle w:val="NormalTok"/>
        </w:rPr>
        <w:t xml:space="preserve"> ceadf</w:t>
      </w:r>
      <w:r>
        <w:rPr>
          <w:rStyle w:val="SpecialCharTok"/>
        </w:rPr>
        <w:t xml:space="preserve">$</w:t>
      </w:r>
      <w:r>
        <w:rPr>
          <w:rStyle w:val="NormalTok"/>
        </w:rPr>
        <w:t xml:space="preserve">RCcumulativeQALYs </w:t>
      </w:r>
      <w:r>
        <w:rPr>
          <w:rStyle w:val="SpecialCharTok"/>
        </w:rPr>
        <w:t xml:space="preserve">&lt;</w:t>
      </w:r>
      <w:r>
        <w:rPr>
          <w:rStyle w:val="NormalTok"/>
        </w:rPr>
        <w:t xml:space="preserve"> ceadf</w:t>
      </w:r>
      <w:r>
        <w:rPr>
          <w:rStyle w:val="SpecialCharTok"/>
        </w:rPr>
        <w:t xml:space="preserve">$</w:t>
      </w:r>
      <w:r>
        <w:rPr>
          <w:rStyle w:val="NormalTok"/>
        </w:rPr>
        <w:t xml:space="preserve">TOCcumulativeQALYs </w:t>
      </w:r>
      <w:r>
        <w:rPr>
          <w:rStyle w:val="SpecialCharTok"/>
        </w:rPr>
        <w:t xml:space="preserve">&amp;</w:t>
      </w:r>
      <w:r>
        <w:rPr>
          <w:rStyle w:val="NormalTok"/>
        </w:rPr>
        <w:t xml:space="preserve"> ceadf</w:t>
      </w:r>
      <w:r>
        <w:rPr>
          <w:rStyle w:val="SpecialCharTok"/>
        </w:rPr>
        <w:t xml:space="preserve">$</w:t>
      </w:r>
      <w:r>
        <w:rPr>
          <w:rStyle w:val="NormalTok"/>
        </w:rPr>
        <w:t xml:space="preserve">RCcumulativeQALYs </w:t>
      </w:r>
      <w:r>
        <w:rPr>
          <w:rStyle w:val="SpecialCharTok"/>
        </w:rPr>
        <w:t xml:space="preserve">&lt;</w:t>
      </w:r>
      <w:r>
        <w:rPr>
          <w:rStyle w:val="NormalTok"/>
        </w:rPr>
        <w:t xml:space="preserve"> ceadf</w:t>
      </w:r>
      <w:r>
        <w:rPr>
          <w:rStyle w:val="SpecialCharTok"/>
        </w:rPr>
        <w:t xml:space="preserve">$</w:t>
      </w:r>
      <w:r>
        <w:rPr>
          <w:rStyle w:val="NormalTok"/>
        </w:rPr>
        <w:t xml:space="preserve">GISPcumulativeQALYs) </w:t>
      </w:r>
      <w:r>
        <w:rPr>
          <w:rStyle w:val="SpecialCharTok"/>
        </w:rPr>
        <w:t xml:space="preserve">/</w:t>
      </w:r>
      <w:r>
        <w:rPr>
          <w:rStyle w:val="NormalTok"/>
        </w:rPr>
        <w:t xml:space="preserve"> </w:t>
      </w:r>
      <w:r>
        <w:rPr>
          <w:rStyle w:val="DecValTok"/>
        </w:rPr>
        <w:t xml:space="preserve">143</w:t>
      </w:r>
    </w:p>
    <w:p>
      <w:pPr>
        <w:pStyle w:val="SourceCode"/>
      </w:pPr>
      <w:r>
        <w:rPr>
          <w:rStyle w:val="VerbatimChar"/>
        </w:rPr>
        <w:t xml:space="preserve">## [1] 0.1398601</w:t>
      </w:r>
    </w:p>
    <w:bookmarkEnd w:id="41"/>
    <w:bookmarkEnd w:id="42"/>
    <w:bookmarkStart w:id="43" w:name="table-2-cea-results-table"/>
    <w:p>
      <w:pPr>
        <w:pStyle w:val="Heading1"/>
      </w:pPr>
      <w:r>
        <w:t xml:space="preserve">Table 2 CEA results table</w:t>
      </w:r>
    </w:p>
    <w:p>
      <w:pPr>
        <w:pStyle w:val="FirstParagraph"/>
      </w:pPr>
      <w:r>
        <w:t xml:space="preserve">Table 2. Cost-effectiveness results: Cost, number of quality-adjusted life years (QALYs), and incremental cost-effectiveness ratios for four strategies.</w:t>
      </w:r>
    </w:p>
    <w:tbl>
      <w:tblPr>
        <w:tblStyle w:val="Table"/>
        <w:tblW w:type="pct" w:w="5000"/>
        <w:tblLayout w:type="fixed"/>
        <w:tblLook w:firstRow="1" w:lastRow="0" w:firstColumn="0" w:lastColumn="0" w:noHBand="0" w:noVBand="0" w:val="0020"/>
      </w:tblPr>
      <w:tblGrid>
        <w:gridCol w:w="1305"/>
        <w:gridCol w:w="1305"/>
        <w:gridCol w:w="2262"/>
        <w:gridCol w:w="1653"/>
        <w:gridCol w:w="1392"/>
      </w:tblGrid>
      <w:tr>
        <w:trPr>
          <w:tblHeader w:val="on"/>
        </w:trPr>
        <w:tc>
          <w:tcPr/>
          <w:p>
            <w:pPr>
              <w:pStyle w:val="Compact"/>
            </w:pPr>
          </w:p>
        </w:tc>
        <w:tc>
          <w:tcPr/>
          <w:p>
            <w:pPr>
              <w:pStyle w:val="Compact"/>
              <w:jc w:val="left"/>
            </w:pPr>
            <w:r>
              <w:t xml:space="preserve">GISP</w:t>
            </w:r>
          </w:p>
        </w:tc>
        <w:tc>
          <w:tcPr/>
          <w:p>
            <w:pPr>
              <w:pStyle w:val="Compact"/>
              <w:jc w:val="left"/>
            </w:pPr>
            <w:r>
              <w:t xml:space="preserve">Randomized Treatment (RT)</w:t>
            </w:r>
          </w:p>
        </w:tc>
        <w:tc>
          <w:tcPr/>
          <w:p>
            <w:pPr>
              <w:pStyle w:val="Compact"/>
              <w:jc w:val="left"/>
            </w:pPr>
            <w:r>
              <w:t xml:space="preserve">Test of Cure (TOC)</w:t>
            </w:r>
          </w:p>
        </w:tc>
        <w:tc>
          <w:tcPr/>
          <w:p>
            <w:pPr>
              <w:pStyle w:val="Compact"/>
              <w:jc w:val="left"/>
            </w:pPr>
            <w:r>
              <w:t xml:space="preserve">Combo</w:t>
            </w:r>
          </w:p>
        </w:tc>
      </w:tr>
      <w:tr>
        <w:tc>
          <w:tcPr/>
          <w:p>
            <w:pPr>
              <w:pStyle w:val="Compact"/>
              <w:jc w:val="left"/>
            </w:pPr>
            <w:r>
              <w:t xml:space="preserve">Cost Mean</w:t>
            </w:r>
          </w:p>
        </w:tc>
        <w:tc>
          <w:tcPr/>
          <w:p>
            <w:pPr>
              <w:pStyle w:val="Compact"/>
              <w:jc w:val="left"/>
            </w:pPr>
            <w:r>
              <w:t xml:space="preserve">43.2</w:t>
            </w:r>
          </w:p>
        </w:tc>
        <w:tc>
          <w:tcPr/>
          <w:p>
            <w:pPr>
              <w:pStyle w:val="Compact"/>
              <w:jc w:val="left"/>
            </w:pPr>
            <w:r>
              <w:t xml:space="preserve">50.93</w:t>
            </w:r>
          </w:p>
        </w:tc>
        <w:tc>
          <w:tcPr/>
          <w:p>
            <w:pPr>
              <w:pStyle w:val="Compact"/>
              <w:jc w:val="left"/>
            </w:pPr>
            <w:r>
              <w:t xml:space="preserve">74.4</w:t>
            </w:r>
          </w:p>
        </w:tc>
        <w:tc>
          <w:tcPr/>
          <w:p>
            <w:pPr>
              <w:pStyle w:val="Compact"/>
              <w:jc w:val="left"/>
            </w:pPr>
            <w:r>
              <w:t xml:space="preserve">63.68</w:t>
            </w:r>
          </w:p>
        </w:tc>
      </w:tr>
      <w:tr>
        <w:tc>
          <w:tcPr/>
          <w:p>
            <w:pPr>
              <w:pStyle w:val="Compact"/>
              <w:jc w:val="left"/>
            </w:pPr>
            <w:r>
              <w:t xml:space="preserve">Cost Quantiles</w:t>
            </w:r>
          </w:p>
        </w:tc>
        <w:tc>
          <w:tcPr/>
          <w:p>
            <w:pPr>
              <w:pStyle w:val="Compact"/>
              <w:jc w:val="left"/>
            </w:pPr>
            <w:r>
              <w:t xml:space="preserve">24.19, 72.04</w:t>
            </w:r>
          </w:p>
        </w:tc>
        <w:tc>
          <w:tcPr/>
          <w:p>
            <w:pPr>
              <w:pStyle w:val="Compact"/>
              <w:jc w:val="left"/>
            </w:pPr>
            <w:r>
              <w:t xml:space="preserve">24.89, 98.01</w:t>
            </w:r>
          </w:p>
        </w:tc>
        <w:tc>
          <w:tcPr/>
          <w:p>
            <w:pPr>
              <w:pStyle w:val="Compact"/>
              <w:jc w:val="left"/>
            </w:pPr>
            <w:r>
              <w:t xml:space="preserve">30.46, 154.6</w:t>
            </w:r>
          </w:p>
        </w:tc>
        <w:tc>
          <w:tcPr/>
          <w:p>
            <w:pPr>
              <w:pStyle w:val="Compact"/>
              <w:jc w:val="left"/>
            </w:pPr>
            <w:r>
              <w:t xml:space="preserve">29.04, 131.29</w:t>
            </w:r>
          </w:p>
        </w:tc>
      </w:tr>
      <w:tr>
        <w:tc>
          <w:tcPr/>
          <w:p>
            <w:pPr>
              <w:pStyle w:val="Compact"/>
              <w:jc w:val="left"/>
            </w:pPr>
            <w:r>
              <w:t xml:space="preserve">QALY Mean</w:t>
            </w:r>
          </w:p>
        </w:tc>
        <w:tc>
          <w:tcPr/>
          <w:p>
            <w:pPr>
              <w:pStyle w:val="Compact"/>
              <w:jc w:val="left"/>
            </w:pPr>
            <w:r>
              <w:t xml:space="preserve">399.99</w:t>
            </w:r>
          </w:p>
        </w:tc>
        <w:tc>
          <w:tcPr/>
          <w:p>
            <w:pPr>
              <w:pStyle w:val="Compact"/>
              <w:jc w:val="left"/>
            </w:pPr>
            <w:r>
              <w:t xml:space="preserve">470.32</w:t>
            </w:r>
          </w:p>
        </w:tc>
        <w:tc>
          <w:tcPr/>
          <w:p>
            <w:pPr>
              <w:pStyle w:val="Compact"/>
              <w:jc w:val="left"/>
            </w:pPr>
            <w:r>
              <w:t xml:space="preserve">525.9</w:t>
            </w:r>
          </w:p>
        </w:tc>
        <w:tc>
          <w:tcPr/>
          <w:p>
            <w:pPr>
              <w:pStyle w:val="Compact"/>
              <w:jc w:val="left"/>
            </w:pPr>
            <w:r>
              <w:t xml:space="preserve">512.97</w:t>
            </w:r>
          </w:p>
        </w:tc>
      </w:tr>
      <w:tr>
        <w:tc>
          <w:tcPr/>
          <w:p>
            <w:pPr>
              <w:pStyle w:val="Compact"/>
              <w:jc w:val="left"/>
            </w:pPr>
            <w:r>
              <w:t xml:space="preserve">QALY Quantiles</w:t>
            </w:r>
          </w:p>
        </w:tc>
        <w:tc>
          <w:tcPr/>
          <w:p>
            <w:pPr>
              <w:pStyle w:val="Compact"/>
              <w:jc w:val="left"/>
            </w:pPr>
            <w:r>
              <w:t xml:space="preserve">180.15, 822.45</w:t>
            </w:r>
          </w:p>
        </w:tc>
        <w:tc>
          <w:tcPr/>
          <w:p>
            <w:pPr>
              <w:pStyle w:val="Compact"/>
              <w:jc w:val="left"/>
            </w:pPr>
            <w:r>
              <w:t xml:space="preserve">170, 1080.46</w:t>
            </w:r>
          </w:p>
        </w:tc>
        <w:tc>
          <w:tcPr/>
          <w:p>
            <w:pPr>
              <w:pStyle w:val="Compact"/>
              <w:jc w:val="left"/>
            </w:pPr>
            <w:r>
              <w:t xml:space="preserve">175.72, 1277.04</w:t>
            </w:r>
          </w:p>
        </w:tc>
        <w:tc>
          <w:tcPr/>
          <w:p>
            <w:pPr>
              <w:pStyle w:val="Compact"/>
              <w:jc w:val="left"/>
            </w:pPr>
            <w:r>
              <w:t xml:space="preserve">169.61, 1192.44</w:t>
            </w:r>
          </w:p>
        </w:tc>
      </w:tr>
    </w:tbl>
    <w:p>
      <w:pPr>
        <w:pStyle w:val="BodyText"/>
      </w:pPr>
      <w:r>
        <w:t xml:space="preserve">The strategies are listed in increasing order of cost. Costs and QALYs were cumulative from year 5 to year 25 in the model, with 3% discounting year-over-year. Presented are the means of 143 unique trajectories; in parentheses are the 95% uncertainty intervals, derived from the 2.5% and 97.5% quantiles of the simulated data. Costs are in 2022 United States dollars (USD).</w:t>
      </w:r>
      <w:r>
        <w:t xml:space="preserve"> </w:t>
      </w:r>
      <w:r>
        <w:t xml:space="preserve">*GISP: Gonococcal Isolate Surveillance Project, where treatments were removed from use based on surveillance</w:t>
      </w:r>
      <w:r>
        <w:t xml:space="preserve"> </w:t>
      </w:r>
      <w:r>
        <w:t xml:space="preserve">†RT: Randomized Treatment, where treatment was selected randomly from available drugs</w:t>
      </w:r>
      <w:r>
        <w:t xml:space="preserve"> </w:t>
      </w:r>
      <w:r>
        <w:t xml:space="preserve">‡Combo: Combination, where cases were randomly assigned to RT or TOC</w:t>
      </w:r>
      <w:r>
        <w:t xml:space="preserve"> </w:t>
      </w:r>
      <w:r>
        <w:t xml:space="preserve">§TOC: Test-of-Cure, where some cases received confirmatory diagnostic testing after treatment attempts</w:t>
      </w:r>
      <w:r>
        <w:t xml:space="preserve"> </w:t>
      </w:r>
      <w:r>
        <w:t xml:space="preserve">¶QALYs: Quality-Adjusted Life-Years. These values represent decrements in QALYs that resulted from gonorrhea.</w:t>
      </w:r>
      <w:r>
        <w:t xml:space="preserve"> </w:t>
      </w:r>
      <w:r>
        <w:t xml:space="preserve">#ICER: incremental cost-effectiveness ratio</w:t>
      </w:r>
    </w:p>
    <w:bookmarkEnd w:id="43"/>
    <w:bookmarkStart w:id="44" w:name="supplements"/>
    <w:p>
      <w:pPr>
        <w:pStyle w:val="Heading1"/>
      </w:pPr>
      <w:r>
        <w:t xml:space="preserve">Supplements</w:t>
      </w:r>
    </w:p>
    <w:bookmarkEnd w:id="44"/>
    <w:bookmarkStart w:id="67" w:name="supplement-1-model-description"/>
    <w:p>
      <w:pPr>
        <w:pStyle w:val="Heading1"/>
      </w:pPr>
      <w:r>
        <w:t xml:space="preserve">Supplement 1 Model Description</w:t>
      </w:r>
    </w:p>
    <w:bookmarkStart w:id="48" w:name="figure-s1-model-diagram-for-gisp-and-rt"/>
    <w:p>
      <w:pPr>
        <w:pStyle w:val="Heading2"/>
      </w:pPr>
      <w:r>
        <w:t xml:space="preserve">Figure S1, model diagram for GISP and RT</w:t>
      </w:r>
    </w:p>
    <w:p>
      <w:pPr>
        <w:pStyle w:val="CaptionedFigure"/>
      </w:pPr>
      <w:r>
        <w:drawing>
          <wp:inline>
            <wp:extent cx="5334000" cy="2928104"/>
            <wp:effectExtent b="0" l="0" r="0" t="0"/>
            <wp:docPr descr="Figure S1." title="" id="46" name="Picture"/>
            <a:graphic>
              <a:graphicData uri="http://schemas.openxmlformats.org/drawingml/2006/picture">
                <pic:pic>
                  <pic:nvPicPr>
                    <pic:cNvPr descr="FigureS1.jpg" id="47" name="Picture"/>
                    <pic:cNvPicPr>
                      <a:picLocks noChangeArrowheads="1" noChangeAspect="1"/>
                    </pic:cNvPicPr>
                  </pic:nvPicPr>
                  <pic:blipFill>
                    <a:blip r:embed="rId45"/>
                    <a:stretch>
                      <a:fillRect/>
                    </a:stretch>
                  </pic:blipFill>
                  <pic:spPr bwMode="auto">
                    <a:xfrm>
                      <a:off x="0" y="0"/>
                      <a:ext cx="5334000" cy="2928104"/>
                    </a:xfrm>
                    <a:prstGeom prst="rect">
                      <a:avLst/>
                    </a:prstGeom>
                    <a:noFill/>
                    <a:ln w="9525">
                      <a:noFill/>
                      <a:headEnd/>
                      <a:tailEnd/>
                    </a:ln>
                  </pic:spPr>
                </pic:pic>
              </a:graphicData>
            </a:graphic>
          </wp:inline>
        </w:drawing>
      </w:r>
    </w:p>
    <w:p>
      <w:pPr>
        <w:pStyle w:val="ImageCaption"/>
      </w:pPr>
      <w:r>
        <w:rPr>
          <w:b/>
          <w:bCs/>
        </w:rPr>
        <w:t xml:space="preserve">Figure S1.</w:t>
      </w:r>
    </w:p>
    <w:bookmarkEnd w:id="48"/>
    <w:bookmarkStart w:id="52" w:name="figure-s2-model-diagram-for-toc"/>
    <w:p>
      <w:pPr>
        <w:pStyle w:val="Heading2"/>
      </w:pPr>
      <w:r>
        <w:t xml:space="preserve">Figure S2, Model diagram for TOC</w:t>
      </w:r>
    </w:p>
    <w:p>
      <w:pPr>
        <w:pStyle w:val="CaptionedFigure"/>
      </w:pPr>
      <w:r>
        <w:drawing>
          <wp:inline>
            <wp:extent cx="5334000" cy="2197011"/>
            <wp:effectExtent b="0" l="0" r="0" t="0"/>
            <wp:docPr descr="Figure S2." title="" id="50" name="Picture"/>
            <a:graphic>
              <a:graphicData uri="http://schemas.openxmlformats.org/drawingml/2006/picture">
                <pic:pic>
                  <pic:nvPicPr>
                    <pic:cNvPr descr="FigureS2.jpg" id="51" name="Picture"/>
                    <pic:cNvPicPr>
                      <a:picLocks noChangeArrowheads="1" noChangeAspect="1"/>
                    </pic:cNvPicPr>
                  </pic:nvPicPr>
                  <pic:blipFill>
                    <a:blip r:embed="rId49"/>
                    <a:stretch>
                      <a:fillRect/>
                    </a:stretch>
                  </pic:blipFill>
                  <pic:spPr bwMode="auto">
                    <a:xfrm>
                      <a:off x="0" y="0"/>
                      <a:ext cx="5334000" cy="2197011"/>
                    </a:xfrm>
                    <a:prstGeom prst="rect">
                      <a:avLst/>
                    </a:prstGeom>
                    <a:noFill/>
                    <a:ln w="9525">
                      <a:noFill/>
                      <a:headEnd/>
                      <a:tailEnd/>
                    </a:ln>
                  </pic:spPr>
                </pic:pic>
              </a:graphicData>
            </a:graphic>
          </wp:inline>
        </w:drawing>
      </w:r>
    </w:p>
    <w:p>
      <w:pPr>
        <w:pStyle w:val="ImageCaption"/>
      </w:pPr>
      <w:r>
        <w:rPr>
          <w:b/>
          <w:bCs/>
        </w:rPr>
        <w:t xml:space="preserve">Figure S2.</w:t>
      </w:r>
    </w:p>
    <w:bookmarkEnd w:id="52"/>
    <w:bookmarkStart w:id="56" w:name="figure-s3-posterior-parameter-estimates"/>
    <w:p>
      <w:pPr>
        <w:pStyle w:val="Heading2"/>
      </w:pPr>
      <w:r>
        <w:t xml:space="preserve">Figure S3, Posterior parameter estimates</w:t>
      </w:r>
    </w:p>
    <w:p>
      <w:pPr>
        <w:pStyle w:val="FirstParagraph"/>
      </w:pPr>
      <w:r>
        <w:drawing>
          <wp:inline>
            <wp:extent cx="5334000" cy="7334250"/>
            <wp:effectExtent b="0" l="0" r="0" t="0"/>
            <wp:docPr descr="" title="" id="54" name="Picture"/>
            <a:graphic>
              <a:graphicData uri="http://schemas.openxmlformats.org/drawingml/2006/picture">
                <pic:pic>
                  <pic:nvPicPr>
                    <pic:cNvPr descr="Analysis-and-visualization_files/figure-docx/figureS3-1.png" id="55" name="Picture"/>
                    <pic:cNvPicPr>
                      <a:picLocks noChangeArrowheads="1" noChangeAspect="1"/>
                    </pic:cNvPicPr>
                  </pic:nvPicPr>
                  <pic:blipFill>
                    <a:blip r:embed="rId53"/>
                    <a:stretch>
                      <a:fillRect/>
                    </a:stretch>
                  </pic:blipFill>
                  <pic:spPr bwMode="auto">
                    <a:xfrm>
                      <a:off x="0" y="0"/>
                      <a:ext cx="5334000" cy="7334250"/>
                    </a:xfrm>
                    <a:prstGeom prst="rect">
                      <a:avLst/>
                    </a:prstGeom>
                    <a:noFill/>
                    <a:ln w="9525">
                      <a:noFill/>
                      <a:headEnd/>
                      <a:tailEnd/>
                    </a:ln>
                  </pic:spPr>
                </pic:pic>
              </a:graphicData>
            </a:graphic>
          </wp:inline>
        </w:drawing>
      </w:r>
    </w:p>
    <w:bookmarkEnd w:id="56"/>
    <w:bookmarkStart w:id="60" w:name="X57bb9caa86875bc811f710797a5aa4888de4521"/>
    <w:p>
      <w:pPr>
        <w:pStyle w:val="Heading2"/>
      </w:pPr>
      <w:r>
        <w:t xml:space="preserve">Figure S4, Transmission per infection per year</w:t>
      </w:r>
    </w:p>
    <w:p>
      <w:pPr>
        <w:pStyle w:val="FirstParagraph"/>
      </w:pPr>
      <w:r>
        <w:drawing>
          <wp:inline>
            <wp:extent cx="5334000" cy="7334250"/>
            <wp:effectExtent b="0" l="0" r="0" t="0"/>
            <wp:docPr descr="" title="" id="58" name="Picture"/>
            <a:graphic>
              <a:graphicData uri="http://schemas.openxmlformats.org/drawingml/2006/picture">
                <pic:pic>
                  <pic:nvPicPr>
                    <pic:cNvPr descr="Analysis-and-visualization_files/figure-docx/figureS4-1.png" id="59" name="Picture"/>
                    <pic:cNvPicPr>
                      <a:picLocks noChangeArrowheads="1" noChangeAspect="1"/>
                    </pic:cNvPicPr>
                  </pic:nvPicPr>
                  <pic:blipFill>
                    <a:blip r:embed="rId57"/>
                    <a:stretch>
                      <a:fillRect/>
                    </a:stretch>
                  </pic:blipFill>
                  <pic:spPr bwMode="auto">
                    <a:xfrm>
                      <a:off x="0" y="0"/>
                      <a:ext cx="5334000" cy="7334250"/>
                    </a:xfrm>
                    <a:prstGeom prst="rect">
                      <a:avLst/>
                    </a:prstGeom>
                    <a:noFill/>
                    <a:ln w="9525">
                      <a:noFill/>
                      <a:headEnd/>
                      <a:tailEnd/>
                    </a:ln>
                  </pic:spPr>
                </pic:pic>
              </a:graphicData>
            </a:graphic>
          </wp:inline>
        </w:drawing>
      </w:r>
    </w:p>
    <w:bookmarkEnd w:id="60"/>
    <w:bookmarkStart w:id="61" w:name="X49d265d6760ad921d621e5558dde22ccd8b1a5f"/>
    <w:p>
      <w:pPr>
        <w:pStyle w:val="Heading2"/>
      </w:pPr>
      <w:r>
        <w:t xml:space="preserve">Table S1, parameter defs and prior distributions</w:t>
      </w:r>
    </w:p>
    <w:bookmarkEnd w:id="61"/>
    <w:bookmarkStart w:id="62" w:name="table-s2-cost-parameters"/>
    <w:p>
      <w:pPr>
        <w:pStyle w:val="Heading2"/>
      </w:pPr>
      <w:r>
        <w:t xml:space="preserve">Table S2, Cost parameters</w:t>
      </w:r>
    </w:p>
    <w:bookmarkEnd w:id="62"/>
    <w:bookmarkStart w:id="63" w:name="table-s3-sequelae-associated-constants"/>
    <w:p>
      <w:pPr>
        <w:pStyle w:val="Heading2"/>
      </w:pPr>
      <w:r>
        <w:t xml:space="preserve">Table S3, Sequelae-associated constants</w:t>
      </w:r>
    </w:p>
    <w:bookmarkEnd w:id="63"/>
    <w:bookmarkStart w:id="64" w:name="table-s4-other-qaly-loss-constants"/>
    <w:p>
      <w:pPr>
        <w:pStyle w:val="Heading2"/>
      </w:pPr>
      <w:r>
        <w:t xml:space="preserve">Table S4, other QALY loss constants</w:t>
      </w:r>
    </w:p>
    <w:bookmarkEnd w:id="64"/>
    <w:bookmarkStart w:id="65" w:name="table-s5-goodness-of-fit-metrics"/>
    <w:p>
      <w:pPr>
        <w:pStyle w:val="Heading2"/>
      </w:pPr>
      <w:r>
        <w:t xml:space="preserve">Table S5, Goodness-of-fit Metrics</w:t>
      </w:r>
    </w:p>
    <w:tbl>
      <w:tblPr>
        <w:tblStyle w:val="Table"/>
        <w:tblW w:type="pct" w:w="5000"/>
        <w:tblLayout w:type="fixed"/>
        <w:tblLook w:firstRow="1" w:lastRow="0" w:firstColumn="0" w:lastColumn="0" w:noHBand="0" w:noVBand="0" w:val="0020"/>
      </w:tblPr>
      <w:tblGrid>
        <w:gridCol w:w="1189"/>
        <w:gridCol w:w="594"/>
        <w:gridCol w:w="813"/>
        <w:gridCol w:w="626"/>
        <w:gridCol w:w="626"/>
        <w:gridCol w:w="688"/>
        <w:gridCol w:w="688"/>
        <w:gridCol w:w="469"/>
        <w:gridCol w:w="594"/>
        <w:gridCol w:w="250"/>
        <w:gridCol w:w="907"/>
        <w:gridCol w:w="469"/>
      </w:tblGrid>
      <w:tr>
        <w:trPr>
          <w:tblHeader w:val="on"/>
        </w:trPr>
        <w:tc>
          <w:tcPr/>
          <w:p>
            <w:pPr>
              <w:pStyle w:val="Compact"/>
            </w:pPr>
          </w:p>
        </w:tc>
        <w:tc>
          <w:tcPr/>
          <w:p>
            <w:pPr>
              <w:pStyle w:val="Compact"/>
              <w:jc w:val="right"/>
            </w:pPr>
            <w:r>
              <w:t xml:space="preserve">Calibration Target</w:t>
            </w:r>
          </w:p>
        </w:tc>
        <w:tc>
          <w:tcPr/>
          <w:p>
            <w:pPr>
              <w:pStyle w:val="Compact"/>
              <w:jc w:val="right"/>
            </w:pPr>
            <w:r>
              <w:t xml:space="preserve">Posterior estimate (mean)</w:t>
            </w:r>
          </w:p>
        </w:tc>
        <w:tc>
          <w:tcPr/>
          <w:p>
            <w:pPr>
              <w:pStyle w:val="Compact"/>
              <w:jc w:val="left"/>
            </w:pPr>
            <w:r>
              <w:t xml:space="preserve">Posterior 95% CI</w:t>
            </w:r>
          </w:p>
        </w:tc>
        <w:tc>
          <w:tcPr/>
          <w:p>
            <w:pPr>
              <w:pStyle w:val="Compact"/>
              <w:jc w:val="left"/>
            </w:pPr>
            <w:r>
              <w:t xml:space="preserve">Posterior 50% CI</w:t>
            </w:r>
          </w:p>
        </w:tc>
        <w:tc>
          <w:tcPr/>
          <w:p>
            <w:pPr>
              <w:pStyle w:val="Compact"/>
              <w:jc w:val="left"/>
            </w:pPr>
            <w:r>
              <w:t xml:space="preserve">Target Within 95% CI?</w:t>
            </w:r>
          </w:p>
        </w:tc>
        <w:tc>
          <w:tcPr/>
          <w:p>
            <w:pPr>
              <w:pStyle w:val="Compact"/>
              <w:jc w:val="left"/>
            </w:pPr>
            <w:r>
              <w:t xml:space="preserve">Target Within 50% CI?</w:t>
            </w:r>
          </w:p>
        </w:tc>
        <w:tc>
          <w:tcPr/>
          <w:p>
            <w:pPr>
              <w:pStyle w:val="Compact"/>
              <w:jc w:val="right"/>
            </w:pPr>
            <w:r>
              <w:t xml:space="preserve">Absolute Error</w:t>
            </w:r>
          </w:p>
        </w:tc>
        <w:tc>
          <w:tcPr/>
          <w:p>
            <w:pPr>
              <w:pStyle w:val="Compact"/>
              <w:jc w:val="right"/>
            </w:pPr>
            <w:r>
              <w:t xml:space="preserve">Relative Error (%)</w:t>
            </w:r>
          </w:p>
        </w:tc>
        <w:tc>
          <w:tcPr/>
          <w:p>
            <w:pPr>
              <w:pStyle w:val="Compact"/>
              <w:jc w:val="right"/>
            </w:pPr>
            <w:r>
              <w:t xml:space="preserve">Z-score</w:t>
            </w:r>
          </w:p>
        </w:tc>
        <w:tc>
          <w:tcPr/>
          <w:p>
            <w:pPr>
              <w:pStyle w:val="Compact"/>
              <w:jc w:val="right"/>
            </w:pPr>
            <w:r>
              <w:t xml:space="preserve">Posterior Predictive P-value</w:t>
            </w:r>
          </w:p>
        </w:tc>
        <w:tc>
          <w:tcPr/>
          <w:p>
            <w:pPr>
              <w:pStyle w:val="Compact"/>
              <w:jc w:val="right"/>
            </w:pPr>
            <w:r>
              <w:t xml:space="preserve">95% CI Overlap</w:t>
            </w:r>
          </w:p>
        </w:tc>
      </w:tr>
      <w:tr>
        <w:tc>
          <w:tcPr/>
          <w:p>
            <w:pPr>
              <w:pStyle w:val="Compact"/>
              <w:jc w:val="left"/>
            </w:pPr>
            <w:r>
              <w:t xml:space="preserve">Prevalence</w:t>
            </w:r>
          </w:p>
        </w:tc>
        <w:tc>
          <w:tcPr/>
          <w:p>
            <w:pPr>
              <w:pStyle w:val="Compact"/>
              <w:jc w:val="right"/>
            </w:pPr>
            <w:r>
              <w:t xml:space="preserve">4.50</w:t>
            </w:r>
          </w:p>
        </w:tc>
        <w:tc>
          <w:tcPr/>
          <w:p>
            <w:pPr>
              <w:pStyle w:val="Compact"/>
              <w:jc w:val="right"/>
            </w:pPr>
            <w:r>
              <w:t xml:space="preserve">3.70</w:t>
            </w:r>
          </w:p>
        </w:tc>
        <w:tc>
          <w:tcPr/>
          <w:p>
            <w:pPr>
              <w:pStyle w:val="Compact"/>
              <w:jc w:val="left"/>
            </w:pPr>
            <w:r>
              <w:t xml:space="preserve">(1.91, 5.48)</w:t>
            </w:r>
          </w:p>
        </w:tc>
        <w:tc>
          <w:tcPr/>
          <w:p>
            <w:pPr>
              <w:pStyle w:val="Compact"/>
              <w:jc w:val="left"/>
            </w:pPr>
            <w:r>
              <w:t xml:space="preserve">(3.07, 4.31)</w:t>
            </w:r>
          </w:p>
        </w:tc>
        <w:tc>
          <w:tcPr/>
          <w:p>
            <w:pPr>
              <w:pStyle w:val="Compact"/>
              <w:jc w:val="left"/>
            </w:pPr>
            <w:r>
              <w:t xml:space="preserve">TRUE</w:t>
            </w:r>
          </w:p>
        </w:tc>
        <w:tc>
          <w:tcPr/>
          <w:p>
            <w:pPr>
              <w:pStyle w:val="Compact"/>
              <w:jc w:val="left"/>
            </w:pPr>
            <w:r>
              <w:t xml:space="preserve">FALSE</w:t>
            </w:r>
          </w:p>
        </w:tc>
        <w:tc>
          <w:tcPr/>
          <w:p>
            <w:pPr>
              <w:pStyle w:val="Compact"/>
              <w:jc w:val="right"/>
            </w:pPr>
            <w:r>
              <w:t xml:space="preserve">0.80</w:t>
            </w:r>
          </w:p>
        </w:tc>
        <w:tc>
          <w:tcPr/>
          <w:p>
            <w:pPr>
              <w:pStyle w:val="Compact"/>
              <w:jc w:val="right"/>
            </w:pPr>
            <w:r>
              <w:t xml:space="preserve">17.72</w:t>
            </w:r>
          </w:p>
        </w:tc>
        <w:tc>
          <w:tcPr/>
          <w:p>
            <w:pPr>
              <w:pStyle w:val="Compact"/>
              <w:jc w:val="right"/>
            </w:pPr>
            <w:r>
              <w:t xml:space="preserve">0.84</w:t>
            </w:r>
          </w:p>
        </w:tc>
        <w:tc>
          <w:tcPr/>
          <w:p>
            <w:pPr>
              <w:pStyle w:val="Compact"/>
              <w:jc w:val="right"/>
            </w:pPr>
            <w:r>
              <w:t xml:space="preserve">0.19</w:t>
            </w:r>
          </w:p>
        </w:tc>
        <w:tc>
          <w:tcPr/>
          <w:p>
            <w:pPr>
              <w:pStyle w:val="Compact"/>
              <w:jc w:val="right"/>
            </w:pPr>
            <w:r>
              <w:t xml:space="preserve">1</w:t>
            </w:r>
          </w:p>
        </w:tc>
      </w:tr>
      <w:tr>
        <w:tc>
          <w:tcPr/>
          <w:p>
            <w:pPr>
              <w:pStyle w:val="Compact"/>
              <w:jc w:val="left"/>
            </w:pPr>
            <w:r>
              <w:t xml:space="preserve">Detected cases</w:t>
            </w:r>
          </w:p>
        </w:tc>
        <w:tc>
          <w:tcPr/>
          <w:p>
            <w:pPr>
              <w:pStyle w:val="Compact"/>
              <w:jc w:val="right"/>
            </w:pPr>
            <w:r>
              <w:t xml:space="preserve">6508.00</w:t>
            </w:r>
          </w:p>
        </w:tc>
        <w:tc>
          <w:tcPr/>
          <w:p>
            <w:pPr>
              <w:pStyle w:val="Compact"/>
              <w:jc w:val="right"/>
            </w:pPr>
            <w:r>
              <w:t xml:space="preserve">9474.41</w:t>
            </w:r>
          </w:p>
        </w:tc>
        <w:tc>
          <w:tcPr/>
          <w:p>
            <w:pPr>
              <w:pStyle w:val="Compact"/>
              <w:jc w:val="left"/>
            </w:pPr>
            <w:r>
              <w:t xml:space="preserve">(5608.10, 13692.40)</w:t>
            </w:r>
          </w:p>
        </w:tc>
        <w:tc>
          <w:tcPr/>
          <w:p>
            <w:pPr>
              <w:pStyle w:val="Compact"/>
              <w:jc w:val="left"/>
            </w:pPr>
            <w:r>
              <w:t xml:space="preserve">(7637.50, 11182.00)</w:t>
            </w:r>
          </w:p>
        </w:tc>
        <w:tc>
          <w:tcPr/>
          <w:p>
            <w:pPr>
              <w:pStyle w:val="Compact"/>
              <w:jc w:val="left"/>
            </w:pPr>
            <w:r>
              <w:t xml:space="preserve">TRUE</w:t>
            </w:r>
          </w:p>
        </w:tc>
        <w:tc>
          <w:tcPr/>
          <w:p>
            <w:pPr>
              <w:pStyle w:val="Compact"/>
              <w:jc w:val="left"/>
            </w:pPr>
            <w:r>
              <w:t xml:space="preserve">FALSE</w:t>
            </w:r>
          </w:p>
        </w:tc>
        <w:tc>
          <w:tcPr/>
          <w:p>
            <w:pPr>
              <w:pStyle w:val="Compact"/>
              <w:jc w:val="right"/>
            </w:pPr>
            <w:r>
              <w:t xml:space="preserve">2966.41</w:t>
            </w:r>
          </w:p>
        </w:tc>
        <w:tc>
          <w:tcPr/>
          <w:p>
            <w:pPr>
              <w:pStyle w:val="Compact"/>
              <w:jc w:val="right"/>
            </w:pPr>
            <w:r>
              <w:t xml:space="preserve">45.58</w:t>
            </w:r>
          </w:p>
        </w:tc>
        <w:tc>
          <w:tcPr/>
          <w:p>
            <w:pPr>
              <w:pStyle w:val="Compact"/>
              <w:jc w:val="right"/>
            </w:pPr>
            <w:r>
              <w:t xml:space="preserve">-1.34</w:t>
            </w:r>
          </w:p>
        </w:tc>
        <w:tc>
          <w:tcPr/>
          <w:p>
            <w:pPr>
              <w:pStyle w:val="Compact"/>
              <w:jc w:val="right"/>
            </w:pPr>
            <w:r>
              <w:t xml:space="preserve">0.91</w:t>
            </w:r>
          </w:p>
        </w:tc>
        <w:tc>
          <w:tcPr/>
          <w:p>
            <w:pPr>
              <w:pStyle w:val="Compact"/>
              <w:jc w:val="right"/>
            </w:pPr>
            <w:r>
              <w:t xml:space="preserve">1</w:t>
            </w:r>
          </w:p>
        </w:tc>
      </w:tr>
      <w:tr>
        <w:tc>
          <w:tcPr/>
          <w:p>
            <w:pPr>
              <w:pStyle w:val="Compact"/>
              <w:jc w:val="left"/>
            </w:pPr>
            <w:r>
              <w:t xml:space="preserve">Proportion detected cases symptomatic</w:t>
            </w:r>
          </w:p>
        </w:tc>
        <w:tc>
          <w:tcPr/>
          <w:p>
            <w:pPr>
              <w:pStyle w:val="Compact"/>
              <w:jc w:val="right"/>
            </w:pPr>
            <w:r>
              <w:t xml:space="preserve">0.68</w:t>
            </w:r>
          </w:p>
        </w:tc>
        <w:tc>
          <w:tcPr/>
          <w:p>
            <w:pPr>
              <w:pStyle w:val="Compact"/>
              <w:jc w:val="right"/>
            </w:pPr>
            <w:r>
              <w:t xml:space="preserve">0.68</w:t>
            </w:r>
          </w:p>
        </w:tc>
        <w:tc>
          <w:tcPr/>
          <w:p>
            <w:pPr>
              <w:pStyle w:val="Compact"/>
              <w:jc w:val="left"/>
            </w:pPr>
            <w:r>
              <w:t xml:space="preserve">(0.47, 0.79)</w:t>
            </w:r>
          </w:p>
        </w:tc>
        <w:tc>
          <w:tcPr/>
          <w:p>
            <w:pPr>
              <w:pStyle w:val="Compact"/>
              <w:jc w:val="left"/>
            </w:pPr>
            <w:r>
              <w:t xml:space="preserve">(0.63, 0.74)</w:t>
            </w:r>
          </w:p>
        </w:tc>
        <w:tc>
          <w:tcPr/>
          <w:p>
            <w:pPr>
              <w:pStyle w:val="Compact"/>
              <w:jc w:val="left"/>
            </w:pPr>
            <w:r>
              <w:t xml:space="preserve">TRUE</w:t>
            </w:r>
          </w:p>
        </w:tc>
        <w:tc>
          <w:tcPr/>
          <w:p>
            <w:pPr>
              <w:pStyle w:val="Compact"/>
              <w:jc w:val="left"/>
            </w:pPr>
            <w:r>
              <w:t xml:space="preserve">TRUE</w:t>
            </w:r>
          </w:p>
        </w:tc>
        <w:tc>
          <w:tcPr/>
          <w:p>
            <w:pPr>
              <w:pStyle w:val="Compact"/>
              <w:jc w:val="right"/>
            </w:pPr>
            <w:r>
              <w:t xml:space="preserve">0.00</w:t>
            </w:r>
          </w:p>
        </w:tc>
        <w:tc>
          <w:tcPr/>
          <w:p>
            <w:pPr>
              <w:pStyle w:val="Compact"/>
              <w:jc w:val="right"/>
            </w:pPr>
            <w:r>
              <w:t xml:space="preserve">0.55</w:t>
            </w:r>
          </w:p>
        </w:tc>
        <w:tc>
          <w:tcPr/>
          <w:p>
            <w:pPr>
              <w:pStyle w:val="Compact"/>
              <w:jc w:val="right"/>
            </w:pPr>
            <w:r>
              <w:t xml:space="preserve">0.04</w:t>
            </w:r>
          </w:p>
        </w:tc>
        <w:tc>
          <w:tcPr/>
          <w:p>
            <w:pPr>
              <w:pStyle w:val="Compact"/>
              <w:jc w:val="right"/>
            </w:pPr>
            <w:r>
              <w:t xml:space="preserve">0.58</w:t>
            </w:r>
          </w:p>
        </w:tc>
        <w:tc>
          <w:tcPr/>
          <w:p>
            <w:pPr>
              <w:pStyle w:val="Compact"/>
              <w:jc w:val="right"/>
            </w:pPr>
            <w:r>
              <w:t xml:space="preserve">1</w:t>
            </w:r>
          </w:p>
        </w:tc>
      </w:tr>
    </w:tbl>
    <w:bookmarkEnd w:id="65"/>
    <w:bookmarkStart w:id="66" w:name="table-s6-prcc-table"/>
    <w:p>
      <w:pPr>
        <w:pStyle w:val="Heading2"/>
      </w:pPr>
      <w:r>
        <w:t xml:space="preserve">Table S6, PRCC table</w:t>
      </w:r>
    </w:p>
    <w:p>
      <w:pPr>
        <w:pStyle w:val="TableCaption"/>
      </w:pPr>
      <w:r>
        <w:t xml:space="preserve">Prevalence PRCC</w:t>
      </w:r>
    </w:p>
    <w:tbl>
      <w:tblPr>
        <w:tblStyle w:val="Table"/>
        <w:tblW w:type="pct" w:w="5000"/>
        <w:tblLayout w:type="fixed"/>
        <w:tblLook w:firstRow="1" w:lastRow="0" w:firstColumn="0" w:lastColumn="0" w:noHBand="0" w:noVBand="0" w:val="0020"/>
        <w:tblCaption w:val="Prevalence PRCC"/>
      </w:tblPr>
      <w:tblGrid>
        <w:gridCol w:w="247"/>
        <w:gridCol w:w="2557"/>
        <w:gridCol w:w="907"/>
        <w:gridCol w:w="907"/>
        <w:gridCol w:w="907"/>
        <w:gridCol w:w="1237"/>
        <w:gridCol w:w="330"/>
        <w:gridCol w:w="825"/>
      </w:tblGrid>
      <w:tr>
        <w:trPr>
          <w:tblHeader w:val="on"/>
        </w:trPr>
        <w:tc>
          <w:tcPr/>
          <w:p>
            <w:pPr>
              <w:pStyle w:val="Compact"/>
            </w:pPr>
          </w:p>
        </w:tc>
        <w:tc>
          <w:tcPr/>
          <w:p>
            <w:pPr>
              <w:pStyle w:val="Compact"/>
              <w:jc w:val="left"/>
            </w:pPr>
            <w:r>
              <w:t xml:space="preserve">var</w:t>
            </w:r>
          </w:p>
        </w:tc>
        <w:tc>
          <w:tcPr/>
          <w:p>
            <w:pPr>
              <w:pStyle w:val="Compact"/>
              <w:jc w:val="right"/>
            </w:pPr>
            <w:r>
              <w:t xml:space="preserve">est</w:t>
            </w:r>
          </w:p>
        </w:tc>
        <w:tc>
          <w:tcPr/>
          <w:p>
            <w:pPr>
              <w:pStyle w:val="Compact"/>
              <w:jc w:val="right"/>
            </w:pPr>
            <w:r>
              <w:t xml:space="preserve">lower</w:t>
            </w:r>
          </w:p>
        </w:tc>
        <w:tc>
          <w:tcPr/>
          <w:p>
            <w:pPr>
              <w:pStyle w:val="Compact"/>
              <w:jc w:val="right"/>
            </w:pPr>
            <w:r>
              <w:t xml:space="preserve">upper</w:t>
            </w:r>
          </w:p>
        </w:tc>
        <w:tc>
          <w:tcPr/>
          <w:p>
            <w:pPr>
              <w:pStyle w:val="Compact"/>
              <w:jc w:val="right"/>
            </w:pPr>
            <w:r>
              <w:t xml:space="preserve">test.statistic</w:t>
            </w:r>
          </w:p>
        </w:tc>
        <w:tc>
          <w:tcPr/>
          <w:p>
            <w:pPr>
              <w:pStyle w:val="Compact"/>
              <w:jc w:val="right"/>
            </w:pPr>
            <w:r>
              <w:t xml:space="preserve">df</w:t>
            </w:r>
          </w:p>
        </w:tc>
        <w:tc>
          <w:tcPr/>
          <w:p>
            <w:pPr>
              <w:pStyle w:val="Compact"/>
              <w:jc w:val="right"/>
            </w:pPr>
            <w:r>
              <w:t xml:space="preserve">p.value</w:t>
            </w:r>
          </w:p>
        </w:tc>
      </w:tr>
      <w:tr>
        <w:tc>
          <w:tcPr/>
          <w:p>
            <w:pPr>
              <w:pStyle w:val="Compact"/>
              <w:jc w:val="left"/>
            </w:pPr>
            <w:r>
              <w:t xml:space="preserve">1</w:t>
            </w:r>
          </w:p>
        </w:tc>
        <w:tc>
          <w:tcPr/>
          <w:p>
            <w:pPr>
              <w:pStyle w:val="Compact"/>
              <w:jc w:val="left"/>
            </w:pPr>
            <w:r>
              <w:t xml:space="preserve">propHighActivity</w:t>
            </w:r>
          </w:p>
        </w:tc>
        <w:tc>
          <w:tcPr/>
          <w:p>
            <w:pPr>
              <w:pStyle w:val="Compact"/>
              <w:jc w:val="right"/>
            </w:pPr>
            <w:r>
              <w:t xml:space="preserve">0.5357756</w:t>
            </w:r>
          </w:p>
        </w:tc>
        <w:tc>
          <w:tcPr/>
          <w:p>
            <w:pPr>
              <w:pStyle w:val="Compact"/>
              <w:jc w:val="right"/>
            </w:pPr>
            <w:r>
              <w:t xml:space="preserve">0.4663113</w:t>
            </w:r>
          </w:p>
        </w:tc>
        <w:tc>
          <w:tcPr/>
          <w:p>
            <w:pPr>
              <w:pStyle w:val="Compact"/>
              <w:jc w:val="right"/>
            </w:pPr>
            <w:r>
              <w:t xml:space="preserve">0.6052399</w:t>
            </w:r>
          </w:p>
        </w:tc>
        <w:tc>
          <w:tcPr/>
          <w:p>
            <w:pPr>
              <w:pStyle w:val="Compact"/>
              <w:jc w:val="right"/>
            </w:pPr>
            <w:r>
              <w:t xml:space="preserve">15.1492958</w:t>
            </w:r>
          </w:p>
        </w:tc>
        <w:tc>
          <w:tcPr/>
          <w:p>
            <w:pPr>
              <w:pStyle w:val="Compact"/>
              <w:jc w:val="right"/>
            </w:pPr>
            <w:r>
              <w:t xml:space="preserve">570</w:t>
            </w:r>
          </w:p>
        </w:tc>
        <w:tc>
          <w:tcPr/>
          <w:p>
            <w:pPr>
              <w:pStyle w:val="Compact"/>
              <w:jc w:val="right"/>
            </w:pPr>
            <w:r>
              <w:t xml:space="preserve">0.0000000</w:t>
            </w:r>
          </w:p>
        </w:tc>
      </w:tr>
      <w:tr>
        <w:tc>
          <w:tcPr/>
          <w:p>
            <w:pPr>
              <w:pStyle w:val="Compact"/>
              <w:jc w:val="left"/>
            </w:pPr>
            <w:r>
              <w:t xml:space="preserve">10</w:t>
            </w:r>
          </w:p>
        </w:tc>
        <w:tc>
          <w:tcPr/>
          <w:p>
            <w:pPr>
              <w:pStyle w:val="Compact"/>
              <w:jc w:val="left"/>
            </w:pPr>
            <w:r>
              <w:t xml:space="preserve">activityGroupTransmissionRatio</w:t>
            </w:r>
          </w:p>
        </w:tc>
        <w:tc>
          <w:tcPr/>
          <w:p>
            <w:pPr>
              <w:pStyle w:val="Compact"/>
              <w:jc w:val="right"/>
            </w:pPr>
            <w:r>
              <w:t xml:space="preserve">0.3149386</w:t>
            </w:r>
          </w:p>
        </w:tc>
        <w:tc>
          <w:tcPr/>
          <w:p>
            <w:pPr>
              <w:pStyle w:val="Compact"/>
              <w:jc w:val="right"/>
            </w:pPr>
            <w:r>
              <w:t xml:space="preserve">0.2368565</w:t>
            </w:r>
          </w:p>
        </w:tc>
        <w:tc>
          <w:tcPr/>
          <w:p>
            <w:pPr>
              <w:pStyle w:val="Compact"/>
              <w:jc w:val="right"/>
            </w:pPr>
            <w:r>
              <w:t xml:space="preserve">0.3930207</w:t>
            </w:r>
          </w:p>
        </w:tc>
        <w:tc>
          <w:tcPr/>
          <w:p>
            <w:pPr>
              <w:pStyle w:val="Compact"/>
              <w:jc w:val="right"/>
            </w:pPr>
            <w:r>
              <w:t xml:space="preserve">7.9222004</w:t>
            </w:r>
          </w:p>
        </w:tc>
        <w:tc>
          <w:tcPr/>
          <w:p>
            <w:pPr>
              <w:pStyle w:val="Compact"/>
              <w:jc w:val="right"/>
            </w:pPr>
            <w:r>
              <w:t xml:space="preserve">570</w:t>
            </w:r>
          </w:p>
        </w:tc>
        <w:tc>
          <w:tcPr/>
          <w:p>
            <w:pPr>
              <w:pStyle w:val="Compact"/>
              <w:jc w:val="right"/>
            </w:pPr>
            <w:r>
              <w:t xml:space="preserve">0.0000000</w:t>
            </w:r>
          </w:p>
        </w:tc>
      </w:tr>
      <w:tr>
        <w:tc>
          <w:tcPr/>
          <w:p>
            <w:pPr>
              <w:pStyle w:val="Compact"/>
              <w:jc w:val="left"/>
            </w:pPr>
            <w:r>
              <w:t xml:space="preserve">4</w:t>
            </w:r>
          </w:p>
        </w:tc>
        <w:tc>
          <w:tcPr/>
          <w:p>
            <w:pPr>
              <w:pStyle w:val="Compact"/>
              <w:jc w:val="left"/>
            </w:pPr>
            <w:r>
              <w:t xml:space="preserve">ProbSymptomaticMSM</w:t>
            </w:r>
          </w:p>
        </w:tc>
        <w:tc>
          <w:tcPr/>
          <w:p>
            <w:pPr>
              <w:pStyle w:val="Compact"/>
              <w:jc w:val="right"/>
            </w:pPr>
            <w:r>
              <w:t xml:space="preserve">-0.3129983</w:t>
            </w:r>
          </w:p>
        </w:tc>
        <w:tc>
          <w:tcPr/>
          <w:p>
            <w:pPr>
              <w:pStyle w:val="Compact"/>
              <w:jc w:val="right"/>
            </w:pPr>
            <w:r>
              <w:t xml:space="preserve">-0.3911332</w:t>
            </w:r>
          </w:p>
        </w:tc>
        <w:tc>
          <w:tcPr/>
          <w:p>
            <w:pPr>
              <w:pStyle w:val="Compact"/>
              <w:jc w:val="right"/>
            </w:pPr>
            <w:r>
              <w:t xml:space="preserve">-0.2348635</w:t>
            </w:r>
          </w:p>
        </w:tc>
        <w:tc>
          <w:tcPr/>
          <w:p>
            <w:pPr>
              <w:pStyle w:val="Compact"/>
              <w:jc w:val="right"/>
            </w:pPr>
            <w:r>
              <w:t xml:space="preserve">-7.8680749</w:t>
            </w:r>
          </w:p>
        </w:tc>
        <w:tc>
          <w:tcPr/>
          <w:p>
            <w:pPr>
              <w:pStyle w:val="Compact"/>
              <w:jc w:val="right"/>
            </w:pPr>
            <w:r>
              <w:t xml:space="preserve">570</w:t>
            </w:r>
          </w:p>
        </w:tc>
        <w:tc>
          <w:tcPr/>
          <w:p>
            <w:pPr>
              <w:pStyle w:val="Compact"/>
              <w:jc w:val="right"/>
            </w:pPr>
            <w:r>
              <w:t xml:space="preserve">0.0000000</w:t>
            </w:r>
          </w:p>
        </w:tc>
      </w:tr>
      <w:tr>
        <w:tc>
          <w:tcPr/>
          <w:p>
            <w:pPr>
              <w:pStyle w:val="Compact"/>
              <w:jc w:val="left"/>
            </w:pPr>
            <w:r>
              <w:t xml:space="preserve">8</w:t>
            </w:r>
          </w:p>
        </w:tc>
        <w:tc>
          <w:tcPr/>
          <w:p>
            <w:pPr>
              <w:pStyle w:val="Compact"/>
              <w:jc w:val="left"/>
            </w:pPr>
            <w:r>
              <w:t xml:space="preserve">Assortativity</w:t>
            </w:r>
          </w:p>
        </w:tc>
        <w:tc>
          <w:tcPr/>
          <w:p>
            <w:pPr>
              <w:pStyle w:val="Compact"/>
              <w:jc w:val="right"/>
            </w:pPr>
            <w:r>
              <w:t xml:space="preserve">-0.2802949</w:t>
            </w:r>
          </w:p>
        </w:tc>
        <w:tc>
          <w:tcPr/>
          <w:p>
            <w:pPr>
              <w:pStyle w:val="Compact"/>
              <w:jc w:val="right"/>
            </w:pPr>
            <w:r>
              <w:t xml:space="preserve">-0.3592656</w:t>
            </w:r>
          </w:p>
        </w:tc>
        <w:tc>
          <w:tcPr/>
          <w:p>
            <w:pPr>
              <w:pStyle w:val="Compact"/>
              <w:jc w:val="right"/>
            </w:pPr>
            <w:r>
              <w:t xml:space="preserve">-0.2013242</w:t>
            </w:r>
          </w:p>
        </w:tc>
        <w:tc>
          <w:tcPr/>
          <w:p>
            <w:pPr>
              <w:pStyle w:val="Compact"/>
              <w:jc w:val="right"/>
            </w:pPr>
            <w:r>
              <w:t xml:space="preserve">-6.9714058</w:t>
            </w:r>
          </w:p>
        </w:tc>
        <w:tc>
          <w:tcPr/>
          <w:p>
            <w:pPr>
              <w:pStyle w:val="Compact"/>
              <w:jc w:val="right"/>
            </w:pPr>
            <w:r>
              <w:t xml:space="preserve">570</w:t>
            </w:r>
          </w:p>
        </w:tc>
        <w:tc>
          <w:tcPr/>
          <w:p>
            <w:pPr>
              <w:pStyle w:val="Compact"/>
              <w:jc w:val="right"/>
            </w:pPr>
            <w:r>
              <w:t xml:space="preserve">0.0000000</w:t>
            </w:r>
          </w:p>
        </w:tc>
      </w:tr>
      <w:tr>
        <w:tc>
          <w:tcPr/>
          <w:p>
            <w:pPr>
              <w:pStyle w:val="Compact"/>
              <w:jc w:val="left"/>
            </w:pPr>
            <w:r>
              <w:t xml:space="preserve">3</w:t>
            </w:r>
          </w:p>
        </w:tc>
        <w:tc>
          <w:tcPr/>
          <w:p>
            <w:pPr>
              <w:pStyle w:val="Compact"/>
              <w:jc w:val="left"/>
            </w:pPr>
            <w:r>
              <w:t xml:space="preserve">NaturalRecoveryTime</w:t>
            </w:r>
          </w:p>
        </w:tc>
        <w:tc>
          <w:tcPr/>
          <w:p>
            <w:pPr>
              <w:pStyle w:val="Compact"/>
              <w:jc w:val="right"/>
            </w:pPr>
            <w:r>
              <w:t xml:space="preserve">0.2438874</w:t>
            </w:r>
          </w:p>
        </w:tc>
        <w:tc>
          <w:tcPr/>
          <w:p>
            <w:pPr>
              <w:pStyle w:val="Compact"/>
              <w:jc w:val="right"/>
            </w:pPr>
            <w:r>
              <w:t xml:space="preserve">0.1641031</w:t>
            </w:r>
          </w:p>
        </w:tc>
        <w:tc>
          <w:tcPr/>
          <w:p>
            <w:pPr>
              <w:pStyle w:val="Compact"/>
              <w:jc w:val="right"/>
            </w:pPr>
            <w:r>
              <w:t xml:space="preserve">0.3236717</w:t>
            </w:r>
          </w:p>
        </w:tc>
        <w:tc>
          <w:tcPr/>
          <w:p>
            <w:pPr>
              <w:pStyle w:val="Compact"/>
              <w:jc w:val="right"/>
            </w:pPr>
            <w:r>
              <w:t xml:space="preserve">6.0040326</w:t>
            </w:r>
          </w:p>
        </w:tc>
        <w:tc>
          <w:tcPr/>
          <w:p>
            <w:pPr>
              <w:pStyle w:val="Compact"/>
              <w:jc w:val="right"/>
            </w:pPr>
            <w:r>
              <w:t xml:space="preserve">570</w:t>
            </w:r>
          </w:p>
        </w:tc>
        <w:tc>
          <w:tcPr/>
          <w:p>
            <w:pPr>
              <w:pStyle w:val="Compact"/>
              <w:jc w:val="right"/>
            </w:pPr>
            <w:r>
              <w:t xml:space="preserve">0.0000000</w:t>
            </w:r>
          </w:p>
        </w:tc>
      </w:tr>
      <w:tr>
        <w:tc>
          <w:tcPr/>
          <w:p>
            <w:pPr>
              <w:pStyle w:val="Compact"/>
              <w:jc w:val="left"/>
            </w:pPr>
            <w:r>
              <w:t xml:space="preserve">7</w:t>
            </w:r>
          </w:p>
        </w:tc>
        <w:tc>
          <w:tcPr/>
          <w:p>
            <w:pPr>
              <w:pStyle w:val="Compact"/>
              <w:jc w:val="left"/>
            </w:pPr>
            <w:r>
              <w:t xml:space="preserve">DelayToRetreatmentMSM</w:t>
            </w:r>
          </w:p>
        </w:tc>
        <w:tc>
          <w:tcPr/>
          <w:p>
            <w:pPr>
              <w:pStyle w:val="Compact"/>
              <w:jc w:val="right"/>
            </w:pPr>
            <w:r>
              <w:t xml:space="preserve">0.2061534</w:t>
            </w:r>
          </w:p>
        </w:tc>
        <w:tc>
          <w:tcPr/>
          <w:p>
            <w:pPr>
              <w:pStyle w:val="Compact"/>
              <w:jc w:val="right"/>
            </w:pPr>
            <w:r>
              <w:t xml:space="preserve">0.1256520</w:t>
            </w:r>
          </w:p>
        </w:tc>
        <w:tc>
          <w:tcPr/>
          <w:p>
            <w:pPr>
              <w:pStyle w:val="Compact"/>
              <w:jc w:val="right"/>
            </w:pPr>
            <w:r>
              <w:t xml:space="preserve">0.2866548</w:t>
            </w:r>
          </w:p>
        </w:tc>
        <w:tc>
          <w:tcPr/>
          <w:p>
            <w:pPr>
              <w:pStyle w:val="Compact"/>
              <w:jc w:val="right"/>
            </w:pPr>
            <w:r>
              <w:t xml:space="preserve">5.0298884</w:t>
            </w:r>
          </w:p>
        </w:tc>
        <w:tc>
          <w:tcPr/>
          <w:p>
            <w:pPr>
              <w:pStyle w:val="Compact"/>
              <w:jc w:val="right"/>
            </w:pPr>
            <w:r>
              <w:t xml:space="preserve">570</w:t>
            </w:r>
          </w:p>
        </w:tc>
        <w:tc>
          <w:tcPr/>
          <w:p>
            <w:pPr>
              <w:pStyle w:val="Compact"/>
              <w:jc w:val="right"/>
            </w:pPr>
            <w:r>
              <w:t xml:space="preserve">0.0000007</w:t>
            </w:r>
          </w:p>
        </w:tc>
      </w:tr>
      <w:tr>
        <w:tc>
          <w:tcPr/>
          <w:p>
            <w:pPr>
              <w:pStyle w:val="Compact"/>
              <w:jc w:val="left"/>
            </w:pPr>
            <w:r>
              <w:t xml:space="preserve">2</w:t>
            </w:r>
          </w:p>
        </w:tc>
        <w:tc>
          <w:tcPr/>
          <w:p>
            <w:pPr>
              <w:pStyle w:val="Compact"/>
              <w:jc w:val="left"/>
            </w:pPr>
            <w:r>
              <w:t xml:space="preserve">TransmissionMSM</w:t>
            </w:r>
          </w:p>
        </w:tc>
        <w:tc>
          <w:tcPr/>
          <w:p>
            <w:pPr>
              <w:pStyle w:val="Compact"/>
              <w:jc w:val="right"/>
            </w:pPr>
            <w:r>
              <w:t xml:space="preserve">0.1775123</w:t>
            </w:r>
          </w:p>
        </w:tc>
        <w:tc>
          <w:tcPr/>
          <w:p>
            <w:pPr>
              <w:pStyle w:val="Compact"/>
              <w:jc w:val="right"/>
            </w:pPr>
            <w:r>
              <w:t xml:space="preserve">0.0965503</w:t>
            </w:r>
          </w:p>
        </w:tc>
        <w:tc>
          <w:tcPr/>
          <w:p>
            <w:pPr>
              <w:pStyle w:val="Compact"/>
              <w:jc w:val="right"/>
            </w:pPr>
            <w:r>
              <w:t xml:space="preserve">0.2584743</w:t>
            </w:r>
          </w:p>
        </w:tc>
        <w:tc>
          <w:tcPr/>
          <w:p>
            <w:pPr>
              <w:pStyle w:val="Compact"/>
              <w:jc w:val="right"/>
            </w:pPr>
            <w:r>
              <w:t xml:space="preserve">4.3064397</w:t>
            </w:r>
          </w:p>
        </w:tc>
        <w:tc>
          <w:tcPr/>
          <w:p>
            <w:pPr>
              <w:pStyle w:val="Compact"/>
              <w:jc w:val="right"/>
            </w:pPr>
            <w:r>
              <w:t xml:space="preserve">570</w:t>
            </w:r>
          </w:p>
        </w:tc>
        <w:tc>
          <w:tcPr/>
          <w:p>
            <w:pPr>
              <w:pStyle w:val="Compact"/>
              <w:jc w:val="right"/>
            </w:pPr>
            <w:r>
              <w:t xml:space="preserve">0.0000195</w:t>
            </w:r>
          </w:p>
        </w:tc>
      </w:tr>
      <w:tr>
        <w:tc>
          <w:tcPr/>
          <w:p>
            <w:pPr>
              <w:pStyle w:val="Compact"/>
              <w:jc w:val="left"/>
            </w:pPr>
            <w:r>
              <w:t xml:space="preserve">12</w:t>
            </w:r>
          </w:p>
        </w:tc>
        <w:tc>
          <w:tcPr/>
          <w:p>
            <w:pPr>
              <w:pStyle w:val="Compact"/>
              <w:jc w:val="left"/>
            </w:pPr>
            <w:r>
              <w:t xml:space="preserve">BeginImportingB</w:t>
            </w:r>
          </w:p>
        </w:tc>
        <w:tc>
          <w:tcPr/>
          <w:p>
            <w:pPr>
              <w:pStyle w:val="Compact"/>
              <w:jc w:val="right"/>
            </w:pPr>
            <w:r>
              <w:t xml:space="preserve">-0.1483064</w:t>
            </w:r>
          </w:p>
        </w:tc>
        <w:tc>
          <w:tcPr/>
          <w:p>
            <w:pPr>
              <w:pStyle w:val="Compact"/>
              <w:jc w:val="right"/>
            </w:pPr>
            <w:r>
              <w:t xml:space="preserve">-0.2296652</w:t>
            </w:r>
          </w:p>
        </w:tc>
        <w:tc>
          <w:tcPr/>
          <w:p>
            <w:pPr>
              <w:pStyle w:val="Compact"/>
              <w:jc w:val="right"/>
            </w:pPr>
            <w:r>
              <w:t xml:space="preserve">-0.0669477</w:t>
            </w:r>
          </w:p>
        </w:tc>
        <w:tc>
          <w:tcPr/>
          <w:p>
            <w:pPr>
              <w:pStyle w:val="Compact"/>
              <w:jc w:val="right"/>
            </w:pPr>
            <w:r>
              <w:t xml:space="preserve">-3.5803614</w:t>
            </w:r>
          </w:p>
        </w:tc>
        <w:tc>
          <w:tcPr/>
          <w:p>
            <w:pPr>
              <w:pStyle w:val="Compact"/>
              <w:jc w:val="right"/>
            </w:pPr>
            <w:r>
              <w:t xml:space="preserve">570</w:t>
            </w:r>
          </w:p>
        </w:tc>
        <w:tc>
          <w:tcPr/>
          <w:p>
            <w:pPr>
              <w:pStyle w:val="Compact"/>
              <w:jc w:val="right"/>
            </w:pPr>
            <w:r>
              <w:t xml:space="preserve">0.0003724</w:t>
            </w:r>
          </w:p>
        </w:tc>
      </w:tr>
      <w:tr>
        <w:tc>
          <w:tcPr/>
          <w:p>
            <w:pPr>
              <w:pStyle w:val="Compact"/>
              <w:jc w:val="left"/>
            </w:pPr>
            <w:r>
              <w:t xml:space="preserve">9</w:t>
            </w:r>
          </w:p>
        </w:tc>
        <w:tc>
          <w:tcPr/>
          <w:p>
            <w:pPr>
              <w:pStyle w:val="Compact"/>
              <w:jc w:val="left"/>
            </w:pPr>
            <w:r>
              <w:t xml:space="preserve">activityGroupTransferProp</w:t>
            </w:r>
          </w:p>
        </w:tc>
        <w:tc>
          <w:tcPr/>
          <w:p>
            <w:pPr>
              <w:pStyle w:val="Compact"/>
              <w:jc w:val="right"/>
            </w:pPr>
            <w:r>
              <w:t xml:space="preserve">0.0901527</w:t>
            </w:r>
          </w:p>
        </w:tc>
        <w:tc>
          <w:tcPr/>
          <w:p>
            <w:pPr>
              <w:pStyle w:val="Compact"/>
              <w:jc w:val="right"/>
            </w:pPr>
            <w:r>
              <w:t xml:space="preserve">0.0082191</w:t>
            </w:r>
          </w:p>
        </w:tc>
        <w:tc>
          <w:tcPr/>
          <w:p>
            <w:pPr>
              <w:pStyle w:val="Compact"/>
              <w:jc w:val="right"/>
            </w:pPr>
            <w:r>
              <w:t xml:space="preserve">0.1720862</w:t>
            </w:r>
          </w:p>
        </w:tc>
        <w:tc>
          <w:tcPr/>
          <w:p>
            <w:pPr>
              <w:pStyle w:val="Compact"/>
              <w:jc w:val="right"/>
            </w:pPr>
            <w:r>
              <w:t xml:space="preserve">2.1611659</w:t>
            </w:r>
          </w:p>
        </w:tc>
        <w:tc>
          <w:tcPr/>
          <w:p>
            <w:pPr>
              <w:pStyle w:val="Compact"/>
              <w:jc w:val="right"/>
            </w:pPr>
            <w:r>
              <w:t xml:space="preserve">570</w:t>
            </w:r>
          </w:p>
        </w:tc>
        <w:tc>
          <w:tcPr/>
          <w:p>
            <w:pPr>
              <w:pStyle w:val="Compact"/>
              <w:jc w:val="right"/>
            </w:pPr>
            <w:r>
              <w:t xml:space="preserve">0.0310983</w:t>
            </w:r>
          </w:p>
        </w:tc>
      </w:tr>
      <w:tr>
        <w:tc>
          <w:tcPr/>
          <w:p>
            <w:pPr>
              <w:pStyle w:val="Compact"/>
              <w:jc w:val="left"/>
            </w:pPr>
            <w:r>
              <w:t xml:space="preserve">11</w:t>
            </w:r>
          </w:p>
        </w:tc>
        <w:tc>
          <w:tcPr/>
          <w:p>
            <w:pPr>
              <w:pStyle w:val="Compact"/>
              <w:jc w:val="left"/>
            </w:pPr>
            <w:r>
              <w:t xml:space="preserve">PercentResistantA</w:t>
            </w:r>
          </w:p>
        </w:tc>
        <w:tc>
          <w:tcPr/>
          <w:p>
            <w:pPr>
              <w:pStyle w:val="Compact"/>
              <w:jc w:val="right"/>
            </w:pPr>
            <w:r>
              <w:t xml:space="preserve">0.0870685</w:t>
            </w:r>
          </w:p>
        </w:tc>
        <w:tc>
          <w:tcPr/>
          <w:p>
            <w:pPr>
              <w:pStyle w:val="Compact"/>
              <w:jc w:val="right"/>
            </w:pPr>
            <w:r>
              <w:t xml:space="preserve">0.0051124</w:t>
            </w:r>
          </w:p>
        </w:tc>
        <w:tc>
          <w:tcPr/>
          <w:p>
            <w:pPr>
              <w:pStyle w:val="Compact"/>
              <w:jc w:val="right"/>
            </w:pPr>
            <w:r>
              <w:t xml:space="preserve">0.1690246</w:t>
            </w:r>
          </w:p>
        </w:tc>
        <w:tc>
          <w:tcPr/>
          <w:p>
            <w:pPr>
              <w:pStyle w:val="Compact"/>
              <w:jc w:val="right"/>
            </w:pPr>
            <w:r>
              <w:t xml:space="preserve">2.0866569</w:t>
            </w:r>
          </w:p>
        </w:tc>
        <w:tc>
          <w:tcPr/>
          <w:p>
            <w:pPr>
              <w:pStyle w:val="Compact"/>
              <w:jc w:val="right"/>
            </w:pPr>
            <w:r>
              <w:t xml:space="preserve">570</w:t>
            </w:r>
          </w:p>
        </w:tc>
        <w:tc>
          <w:tcPr/>
          <w:p>
            <w:pPr>
              <w:pStyle w:val="Compact"/>
              <w:jc w:val="right"/>
            </w:pPr>
            <w:r>
              <w:t xml:space="preserve">0.0373630</w:t>
            </w:r>
          </w:p>
        </w:tc>
      </w:tr>
      <w:tr>
        <w:tc>
          <w:tcPr/>
          <w:p>
            <w:pPr>
              <w:pStyle w:val="Compact"/>
              <w:jc w:val="left"/>
            </w:pPr>
            <w:r>
              <w:t xml:space="preserve">18</w:t>
            </w:r>
          </w:p>
        </w:tc>
        <w:tc>
          <w:tcPr/>
          <w:p>
            <w:pPr>
              <w:pStyle w:val="Compact"/>
              <w:jc w:val="left"/>
            </w:pPr>
            <w:r>
              <w:t xml:space="preserve">CareCost</w:t>
            </w:r>
          </w:p>
        </w:tc>
        <w:tc>
          <w:tcPr/>
          <w:p>
            <w:pPr>
              <w:pStyle w:val="Compact"/>
              <w:jc w:val="right"/>
            </w:pPr>
            <w:r>
              <w:t xml:space="preserve">-0.0833466</w:t>
            </w:r>
          </w:p>
        </w:tc>
        <w:tc>
          <w:tcPr/>
          <w:p>
            <w:pPr>
              <w:pStyle w:val="Compact"/>
              <w:jc w:val="right"/>
            </w:pPr>
            <w:r>
              <w:t xml:space="preserve">-0.1653289</w:t>
            </w:r>
          </w:p>
        </w:tc>
        <w:tc>
          <w:tcPr/>
          <w:p>
            <w:pPr>
              <w:pStyle w:val="Compact"/>
              <w:jc w:val="right"/>
            </w:pPr>
            <w:r>
              <w:t xml:space="preserve">-0.0013643</w:t>
            </w:r>
          </w:p>
        </w:tc>
        <w:tc>
          <w:tcPr/>
          <w:p>
            <w:pPr>
              <w:pStyle w:val="Compact"/>
              <w:jc w:val="right"/>
            </w:pPr>
            <w:r>
              <w:t xml:space="preserve">-1.9968196</w:t>
            </w:r>
          </w:p>
        </w:tc>
        <w:tc>
          <w:tcPr/>
          <w:p>
            <w:pPr>
              <w:pStyle w:val="Compact"/>
              <w:jc w:val="right"/>
            </w:pPr>
            <w:r>
              <w:t xml:space="preserve">570</w:t>
            </w:r>
          </w:p>
        </w:tc>
        <w:tc>
          <w:tcPr/>
          <w:p>
            <w:pPr>
              <w:pStyle w:val="Compact"/>
              <w:jc w:val="right"/>
            </w:pPr>
            <w:r>
              <w:t xml:space="preserve">0.0463198</w:t>
            </w:r>
          </w:p>
        </w:tc>
      </w:tr>
      <w:tr>
        <w:tc>
          <w:tcPr/>
          <w:p>
            <w:pPr>
              <w:pStyle w:val="Compact"/>
              <w:jc w:val="left"/>
            </w:pPr>
            <w:r>
              <w:t xml:space="preserve">14</w:t>
            </w:r>
          </w:p>
        </w:tc>
        <w:tc>
          <w:tcPr/>
          <w:p>
            <w:pPr>
              <w:pStyle w:val="Compact"/>
              <w:jc w:val="left"/>
            </w:pPr>
            <w:r>
              <w:t xml:space="preserve">ProbDevelopResistanceAExponent</w:t>
            </w:r>
          </w:p>
        </w:tc>
        <w:tc>
          <w:tcPr/>
          <w:p>
            <w:pPr>
              <w:pStyle w:val="Compact"/>
              <w:jc w:val="right"/>
            </w:pPr>
            <w:r>
              <w:t xml:space="preserve">0.0785145</w:t>
            </w:r>
          </w:p>
        </w:tc>
        <w:tc>
          <w:tcPr/>
          <w:p>
            <w:pPr>
              <w:pStyle w:val="Compact"/>
              <w:jc w:val="right"/>
            </w:pPr>
            <w:r>
              <w:t xml:space="preserve">-0.0035000</w:t>
            </w:r>
          </w:p>
        </w:tc>
        <w:tc>
          <w:tcPr/>
          <w:p>
            <w:pPr>
              <w:pStyle w:val="Compact"/>
              <w:jc w:val="right"/>
            </w:pPr>
            <w:r>
              <w:t xml:space="preserve">0.1605291</w:t>
            </w:r>
          </w:p>
        </w:tc>
        <w:tc>
          <w:tcPr/>
          <w:p>
            <w:pPr>
              <w:pStyle w:val="Compact"/>
              <w:jc w:val="right"/>
            </w:pPr>
            <w:r>
              <w:t xml:space="preserve">1.8803135</w:t>
            </w:r>
          </w:p>
        </w:tc>
        <w:tc>
          <w:tcPr/>
          <w:p>
            <w:pPr>
              <w:pStyle w:val="Compact"/>
              <w:jc w:val="right"/>
            </w:pPr>
            <w:r>
              <w:t xml:space="preserve">570</w:t>
            </w:r>
          </w:p>
        </w:tc>
        <w:tc>
          <w:tcPr/>
          <w:p>
            <w:pPr>
              <w:pStyle w:val="Compact"/>
              <w:jc w:val="right"/>
            </w:pPr>
            <w:r>
              <w:t xml:space="preserve">0.0605750</w:t>
            </w:r>
          </w:p>
        </w:tc>
      </w:tr>
      <w:tr>
        <w:tc>
          <w:tcPr/>
          <w:p>
            <w:pPr>
              <w:pStyle w:val="Compact"/>
              <w:jc w:val="left"/>
            </w:pPr>
            <w:r>
              <w:t xml:space="preserve">20</w:t>
            </w:r>
          </w:p>
        </w:tc>
        <w:tc>
          <w:tcPr/>
          <w:p>
            <w:pPr>
              <w:pStyle w:val="Compact"/>
              <w:jc w:val="left"/>
            </w:pPr>
            <w:r>
              <w:t xml:space="preserve">StrainTestCost</w:t>
            </w:r>
          </w:p>
        </w:tc>
        <w:tc>
          <w:tcPr/>
          <w:p>
            <w:pPr>
              <w:pStyle w:val="Compact"/>
              <w:jc w:val="right"/>
            </w:pPr>
            <w:r>
              <w:t xml:space="preserve">0.0783632</w:t>
            </w:r>
          </w:p>
        </w:tc>
        <w:tc>
          <w:tcPr/>
          <w:p>
            <w:pPr>
              <w:pStyle w:val="Compact"/>
              <w:jc w:val="right"/>
            </w:pPr>
            <w:r>
              <w:t xml:space="preserve">-0.0036524</w:t>
            </w:r>
          </w:p>
        </w:tc>
        <w:tc>
          <w:tcPr/>
          <w:p>
            <w:pPr>
              <w:pStyle w:val="Compact"/>
              <w:jc w:val="right"/>
            </w:pPr>
            <w:r>
              <w:t xml:space="preserve">0.1603787</w:t>
            </w:r>
          </w:p>
        </w:tc>
        <w:tc>
          <w:tcPr/>
          <w:p>
            <w:pPr>
              <w:pStyle w:val="Compact"/>
              <w:jc w:val="right"/>
            </w:pPr>
            <w:r>
              <w:t xml:space="preserve">1.8766662</w:t>
            </w:r>
          </w:p>
        </w:tc>
        <w:tc>
          <w:tcPr/>
          <w:p>
            <w:pPr>
              <w:pStyle w:val="Compact"/>
              <w:jc w:val="right"/>
            </w:pPr>
            <w:r>
              <w:t xml:space="preserve">570</w:t>
            </w:r>
          </w:p>
        </w:tc>
        <w:tc>
          <w:tcPr/>
          <w:p>
            <w:pPr>
              <w:pStyle w:val="Compact"/>
              <w:jc w:val="right"/>
            </w:pPr>
            <w:r>
              <w:t xml:space="preserve">0.0610745</w:t>
            </w:r>
          </w:p>
        </w:tc>
      </w:tr>
      <w:tr>
        <w:tc>
          <w:tcPr/>
          <w:p>
            <w:pPr>
              <w:pStyle w:val="Compact"/>
              <w:jc w:val="left"/>
            </w:pPr>
            <w:r>
              <w:t xml:space="preserve">15</w:t>
            </w:r>
          </w:p>
        </w:tc>
        <w:tc>
          <w:tcPr/>
          <w:p>
            <w:pPr>
              <w:pStyle w:val="Compact"/>
              <w:jc w:val="left"/>
            </w:pPr>
            <w:r>
              <w:t xml:space="preserve">ProbDevelopResistanceBExponent</w:t>
            </w:r>
          </w:p>
        </w:tc>
        <w:tc>
          <w:tcPr/>
          <w:p>
            <w:pPr>
              <w:pStyle w:val="Compact"/>
              <w:jc w:val="right"/>
            </w:pPr>
            <w:r>
              <w:t xml:space="preserve">-0.0765313</w:t>
            </w:r>
          </w:p>
        </w:tc>
        <w:tc>
          <w:tcPr/>
          <w:p>
            <w:pPr>
              <w:pStyle w:val="Compact"/>
              <w:jc w:val="right"/>
            </w:pPr>
            <w:r>
              <w:t xml:space="preserve">-0.1585585</w:t>
            </w:r>
          </w:p>
        </w:tc>
        <w:tc>
          <w:tcPr/>
          <w:p>
            <w:pPr>
              <w:pStyle w:val="Compact"/>
              <w:jc w:val="right"/>
            </w:pPr>
            <w:r>
              <w:t xml:space="preserve">0.0054960</w:t>
            </w:r>
          </w:p>
        </w:tc>
        <w:tc>
          <w:tcPr/>
          <w:p>
            <w:pPr>
              <w:pStyle w:val="Compact"/>
              <w:jc w:val="right"/>
            </w:pPr>
            <w:r>
              <w:t xml:space="preserve">-1.8325333</w:t>
            </w:r>
          </w:p>
        </w:tc>
        <w:tc>
          <w:tcPr/>
          <w:p>
            <w:pPr>
              <w:pStyle w:val="Compact"/>
              <w:jc w:val="right"/>
            </w:pPr>
            <w:r>
              <w:t xml:space="preserve">570</w:t>
            </w:r>
          </w:p>
        </w:tc>
        <w:tc>
          <w:tcPr/>
          <w:p>
            <w:pPr>
              <w:pStyle w:val="Compact"/>
              <w:jc w:val="right"/>
            </w:pPr>
            <w:r>
              <w:t xml:space="preserve">0.0673935</w:t>
            </w:r>
          </w:p>
        </w:tc>
      </w:tr>
      <w:tr>
        <w:tc>
          <w:tcPr/>
          <w:p>
            <w:pPr>
              <w:pStyle w:val="Compact"/>
              <w:jc w:val="left"/>
            </w:pPr>
            <w:r>
              <w:t xml:space="preserve">6</w:t>
            </w:r>
          </w:p>
        </w:tc>
        <w:tc>
          <w:tcPr/>
          <w:p>
            <w:pPr>
              <w:pStyle w:val="Compact"/>
              <w:jc w:val="left"/>
            </w:pPr>
            <w:r>
              <w:t xml:space="preserve">DelayToSeekCareMSM</w:t>
            </w:r>
          </w:p>
        </w:tc>
        <w:tc>
          <w:tcPr/>
          <w:p>
            <w:pPr>
              <w:pStyle w:val="Compact"/>
              <w:jc w:val="right"/>
            </w:pPr>
            <w:r>
              <w:t xml:space="preserve">0.0725909</w:t>
            </w:r>
          </w:p>
        </w:tc>
        <w:tc>
          <w:tcPr/>
          <w:p>
            <w:pPr>
              <w:pStyle w:val="Compact"/>
              <w:jc w:val="right"/>
            </w:pPr>
            <w:r>
              <w:t xml:space="preserve">-0.0094606</w:t>
            </w:r>
          </w:p>
        </w:tc>
        <w:tc>
          <w:tcPr/>
          <w:p>
            <w:pPr>
              <w:pStyle w:val="Compact"/>
              <w:jc w:val="right"/>
            </w:pPr>
            <w:r>
              <w:t xml:space="preserve">0.1546424</w:t>
            </w:r>
          </w:p>
        </w:tc>
        <w:tc>
          <w:tcPr/>
          <w:p>
            <w:pPr>
              <w:pStyle w:val="Compact"/>
              <w:jc w:val="right"/>
            </w:pPr>
            <w:r>
              <w:t xml:space="preserve">1.7376676</w:t>
            </w:r>
          </w:p>
        </w:tc>
        <w:tc>
          <w:tcPr/>
          <w:p>
            <w:pPr>
              <w:pStyle w:val="Compact"/>
              <w:jc w:val="right"/>
            </w:pPr>
            <w:r>
              <w:t xml:space="preserve">570</w:t>
            </w:r>
          </w:p>
        </w:tc>
        <w:tc>
          <w:tcPr/>
          <w:p>
            <w:pPr>
              <w:pStyle w:val="Compact"/>
              <w:jc w:val="right"/>
            </w:pPr>
            <w:r>
              <w:t xml:space="preserve">0.0828095</w:t>
            </w:r>
          </w:p>
        </w:tc>
      </w:tr>
      <w:tr>
        <w:tc>
          <w:tcPr/>
          <w:p>
            <w:pPr>
              <w:pStyle w:val="Compact"/>
              <w:jc w:val="left"/>
            </w:pPr>
            <w:r>
              <w:t xml:space="preserve">24</w:t>
            </w:r>
          </w:p>
        </w:tc>
        <w:tc>
          <w:tcPr/>
          <w:p>
            <w:pPr>
              <w:pStyle w:val="Compact"/>
              <w:jc w:val="left"/>
            </w:pPr>
            <w:r>
              <w:t xml:space="preserve">DrugETreatmentCost</w:t>
            </w:r>
          </w:p>
        </w:tc>
        <w:tc>
          <w:tcPr/>
          <w:p>
            <w:pPr>
              <w:pStyle w:val="Compact"/>
              <w:jc w:val="right"/>
            </w:pPr>
            <w:r>
              <w:t xml:space="preserve">-0.0695908</w:t>
            </w:r>
          </w:p>
        </w:tc>
        <w:tc>
          <w:tcPr/>
          <w:p>
            <w:pPr>
              <w:pStyle w:val="Compact"/>
              <w:jc w:val="right"/>
            </w:pPr>
            <w:r>
              <w:t xml:space="preserve">-0.1516599</w:t>
            </w:r>
          </w:p>
        </w:tc>
        <w:tc>
          <w:tcPr/>
          <w:p>
            <w:pPr>
              <w:pStyle w:val="Compact"/>
              <w:jc w:val="right"/>
            </w:pPr>
            <w:r>
              <w:t xml:space="preserve">0.0124783</w:t>
            </w:r>
          </w:p>
        </w:tc>
        <w:tc>
          <w:tcPr/>
          <w:p>
            <w:pPr>
              <w:pStyle w:val="Compact"/>
              <w:jc w:val="right"/>
            </w:pPr>
            <w:r>
              <w:t xml:space="preserve">-1.6654963</w:t>
            </w:r>
          </w:p>
        </w:tc>
        <w:tc>
          <w:tcPr/>
          <w:p>
            <w:pPr>
              <w:pStyle w:val="Compact"/>
              <w:jc w:val="right"/>
            </w:pPr>
            <w:r>
              <w:t xml:space="preserve">570</w:t>
            </w:r>
          </w:p>
        </w:tc>
        <w:tc>
          <w:tcPr/>
          <w:p>
            <w:pPr>
              <w:pStyle w:val="Compact"/>
              <w:jc w:val="right"/>
            </w:pPr>
            <w:r>
              <w:t xml:space="preserve">0.0963632</w:t>
            </w:r>
          </w:p>
        </w:tc>
      </w:tr>
      <w:tr>
        <w:tc>
          <w:tcPr/>
          <w:p>
            <w:pPr>
              <w:pStyle w:val="Compact"/>
              <w:jc w:val="left"/>
            </w:pPr>
            <w:r>
              <w:t xml:space="preserve">13</w:t>
            </w:r>
          </w:p>
        </w:tc>
        <w:tc>
          <w:tcPr/>
          <w:p>
            <w:pPr>
              <w:pStyle w:val="Compact"/>
              <w:jc w:val="left"/>
            </w:pPr>
            <w:r>
              <w:t xml:space="preserve">ImportingBInterval</w:t>
            </w:r>
          </w:p>
        </w:tc>
        <w:tc>
          <w:tcPr/>
          <w:p>
            <w:pPr>
              <w:pStyle w:val="Compact"/>
              <w:jc w:val="right"/>
            </w:pPr>
            <w:r>
              <w:t xml:space="preserve">-0.0607922</w:t>
            </w:r>
          </w:p>
        </w:tc>
        <w:tc>
          <w:tcPr/>
          <w:p>
            <w:pPr>
              <w:pStyle w:val="Compact"/>
              <w:jc w:val="right"/>
            </w:pPr>
            <w:r>
              <w:t xml:space="preserve">-0.1429086</w:t>
            </w:r>
          </w:p>
        </w:tc>
        <w:tc>
          <w:tcPr/>
          <w:p>
            <w:pPr>
              <w:pStyle w:val="Compact"/>
              <w:jc w:val="right"/>
            </w:pPr>
            <w:r>
              <w:t xml:space="preserve">0.0213241</w:t>
            </w:r>
          </w:p>
        </w:tc>
        <w:tc>
          <w:tcPr/>
          <w:p>
            <w:pPr>
              <w:pStyle w:val="Compact"/>
              <w:jc w:val="right"/>
            </w:pPr>
            <w:r>
              <w:t xml:space="preserve">-1.4540845</w:t>
            </w:r>
          </w:p>
        </w:tc>
        <w:tc>
          <w:tcPr/>
          <w:p>
            <w:pPr>
              <w:pStyle w:val="Compact"/>
              <w:jc w:val="right"/>
            </w:pPr>
            <w:r>
              <w:t xml:space="preserve">570</w:t>
            </w:r>
          </w:p>
        </w:tc>
        <w:tc>
          <w:tcPr/>
          <w:p>
            <w:pPr>
              <w:pStyle w:val="Compact"/>
              <w:jc w:val="right"/>
            </w:pPr>
            <w:r>
              <w:t xml:space="preserve">0.1464733</w:t>
            </w:r>
          </w:p>
        </w:tc>
      </w:tr>
      <w:tr>
        <w:tc>
          <w:tcPr/>
          <w:p>
            <w:pPr>
              <w:pStyle w:val="Compact"/>
              <w:jc w:val="left"/>
            </w:pPr>
            <w:r>
              <w:t xml:space="preserve">17</w:t>
            </w:r>
          </w:p>
        </w:tc>
        <w:tc>
          <w:tcPr/>
          <w:p>
            <w:pPr>
              <w:pStyle w:val="Compact"/>
              <w:jc w:val="left"/>
            </w:pPr>
            <w:r>
              <w:t xml:space="preserve">DSTspecificity</w:t>
            </w:r>
          </w:p>
        </w:tc>
        <w:tc>
          <w:tcPr/>
          <w:p>
            <w:pPr>
              <w:pStyle w:val="Compact"/>
              <w:jc w:val="right"/>
            </w:pPr>
            <w:r>
              <w:t xml:space="preserve">-0.0506974</w:t>
            </w:r>
          </w:p>
        </w:tc>
        <w:tc>
          <w:tcPr/>
          <w:p>
            <w:pPr>
              <w:pStyle w:val="Compact"/>
              <w:jc w:val="right"/>
            </w:pPr>
            <w:r>
              <w:t xml:space="preserve">-0.1328602</w:t>
            </w:r>
          </w:p>
        </w:tc>
        <w:tc>
          <w:tcPr/>
          <w:p>
            <w:pPr>
              <w:pStyle w:val="Compact"/>
              <w:jc w:val="right"/>
            </w:pPr>
            <w:r>
              <w:t xml:space="preserve">0.0314653</w:t>
            </w:r>
          </w:p>
        </w:tc>
        <w:tc>
          <w:tcPr/>
          <w:p>
            <w:pPr>
              <w:pStyle w:val="Compact"/>
              <w:jc w:val="right"/>
            </w:pPr>
            <w:r>
              <w:t xml:space="preserve">-1.2119434</w:t>
            </w:r>
          </w:p>
        </w:tc>
        <w:tc>
          <w:tcPr/>
          <w:p>
            <w:pPr>
              <w:pStyle w:val="Compact"/>
              <w:jc w:val="right"/>
            </w:pPr>
            <w:r>
              <w:t xml:space="preserve">570</w:t>
            </w:r>
          </w:p>
        </w:tc>
        <w:tc>
          <w:tcPr/>
          <w:p>
            <w:pPr>
              <w:pStyle w:val="Compact"/>
              <w:jc w:val="right"/>
            </w:pPr>
            <w:r>
              <w:t xml:space="preserve">0.2260362</w:t>
            </w:r>
          </w:p>
        </w:tc>
      </w:tr>
      <w:tr>
        <w:tc>
          <w:tcPr/>
          <w:p>
            <w:pPr>
              <w:pStyle w:val="Compact"/>
              <w:jc w:val="left"/>
            </w:pPr>
            <w:r>
              <w:t xml:space="preserve">21</w:t>
            </w:r>
          </w:p>
        </w:tc>
        <w:tc>
          <w:tcPr/>
          <w:p>
            <w:pPr>
              <w:pStyle w:val="Compact"/>
              <w:jc w:val="left"/>
            </w:pPr>
            <w:r>
              <w:t xml:space="preserve">DrugATreatmentCost</w:t>
            </w:r>
          </w:p>
        </w:tc>
        <w:tc>
          <w:tcPr/>
          <w:p>
            <w:pPr>
              <w:pStyle w:val="Compact"/>
              <w:jc w:val="right"/>
            </w:pPr>
            <w:r>
              <w:t xml:space="preserve">-0.0347169</w:t>
            </w:r>
          </w:p>
        </w:tc>
        <w:tc>
          <w:tcPr/>
          <w:p>
            <w:pPr>
              <w:pStyle w:val="Compact"/>
              <w:jc w:val="right"/>
            </w:pPr>
            <w:r>
              <w:t xml:space="preserve">-0.1169358</w:t>
            </w:r>
          </w:p>
        </w:tc>
        <w:tc>
          <w:tcPr/>
          <w:p>
            <w:pPr>
              <w:pStyle w:val="Compact"/>
              <w:jc w:val="right"/>
            </w:pPr>
            <w:r>
              <w:t xml:space="preserve">0.0475021</w:t>
            </w:r>
          </w:p>
        </w:tc>
        <w:tc>
          <w:tcPr/>
          <w:p>
            <w:pPr>
              <w:pStyle w:val="Compact"/>
              <w:jc w:val="right"/>
            </w:pPr>
            <w:r>
              <w:t xml:space="preserve">-0.8293537</w:t>
            </w:r>
          </w:p>
        </w:tc>
        <w:tc>
          <w:tcPr/>
          <w:p>
            <w:pPr>
              <w:pStyle w:val="Compact"/>
              <w:jc w:val="right"/>
            </w:pPr>
            <w:r>
              <w:t xml:space="preserve">570</w:t>
            </w:r>
          </w:p>
        </w:tc>
        <w:tc>
          <w:tcPr/>
          <w:p>
            <w:pPr>
              <w:pStyle w:val="Compact"/>
              <w:jc w:val="right"/>
            </w:pPr>
            <w:r>
              <w:t xml:space="preserve">0.4072515</w:t>
            </w:r>
          </w:p>
        </w:tc>
      </w:tr>
      <w:tr>
        <w:tc>
          <w:tcPr/>
          <w:p>
            <w:pPr>
              <w:pStyle w:val="Compact"/>
              <w:jc w:val="left"/>
            </w:pPr>
            <w:r>
              <w:t xml:space="preserve">5</w:t>
            </w:r>
          </w:p>
        </w:tc>
        <w:tc>
          <w:tcPr/>
          <w:p>
            <w:pPr>
              <w:pStyle w:val="Compact"/>
              <w:jc w:val="left"/>
            </w:pPr>
            <w:r>
              <w:t xml:space="preserve">ScreenIntervalMeanMSM</w:t>
            </w:r>
          </w:p>
        </w:tc>
        <w:tc>
          <w:tcPr/>
          <w:p>
            <w:pPr>
              <w:pStyle w:val="Compact"/>
              <w:jc w:val="right"/>
            </w:pPr>
            <w:r>
              <w:t xml:space="preserve">0.0261195</w:t>
            </w:r>
          </w:p>
        </w:tc>
        <w:tc>
          <w:tcPr/>
          <w:p>
            <w:pPr>
              <w:pStyle w:val="Compact"/>
              <w:jc w:val="right"/>
            </w:pPr>
            <w:r>
              <w:t xml:space="preserve">-0.0561210</w:t>
            </w:r>
          </w:p>
        </w:tc>
        <w:tc>
          <w:tcPr/>
          <w:p>
            <w:pPr>
              <w:pStyle w:val="Compact"/>
              <w:jc w:val="right"/>
            </w:pPr>
            <w:r>
              <w:t xml:space="preserve">0.1083600</w:t>
            </w:r>
          </w:p>
        </w:tc>
        <w:tc>
          <w:tcPr/>
          <w:p>
            <w:pPr>
              <w:pStyle w:val="Compact"/>
              <w:jc w:val="right"/>
            </w:pPr>
            <w:r>
              <w:t xml:space="preserve">0.6238076</w:t>
            </w:r>
          </w:p>
        </w:tc>
        <w:tc>
          <w:tcPr/>
          <w:p>
            <w:pPr>
              <w:pStyle w:val="Compact"/>
              <w:jc w:val="right"/>
            </w:pPr>
            <w:r>
              <w:t xml:space="preserve">570</w:t>
            </w:r>
          </w:p>
        </w:tc>
        <w:tc>
          <w:tcPr/>
          <w:p>
            <w:pPr>
              <w:pStyle w:val="Compact"/>
              <w:jc w:val="right"/>
            </w:pPr>
            <w:r>
              <w:t xml:space="preserve">0.5330035</w:t>
            </w:r>
          </w:p>
        </w:tc>
      </w:tr>
      <w:tr>
        <w:tc>
          <w:tcPr/>
          <w:p>
            <w:pPr>
              <w:pStyle w:val="Compact"/>
              <w:jc w:val="left"/>
            </w:pPr>
            <w:r>
              <w:t xml:space="preserve">23</w:t>
            </w:r>
          </w:p>
        </w:tc>
        <w:tc>
          <w:tcPr/>
          <w:p>
            <w:pPr>
              <w:pStyle w:val="Compact"/>
              <w:jc w:val="left"/>
            </w:pPr>
            <w:r>
              <w:t xml:space="preserve">DrugXTreatmentCost</w:t>
            </w:r>
          </w:p>
        </w:tc>
        <w:tc>
          <w:tcPr/>
          <w:p>
            <w:pPr>
              <w:pStyle w:val="Compact"/>
              <w:jc w:val="right"/>
            </w:pPr>
            <w:r>
              <w:t xml:space="preserve">-0.0252961</w:t>
            </w:r>
          </w:p>
        </w:tc>
        <w:tc>
          <w:tcPr/>
          <w:p>
            <w:pPr>
              <w:pStyle w:val="Compact"/>
              <w:jc w:val="right"/>
            </w:pPr>
            <w:r>
              <w:t xml:space="preserve">-0.1075383</w:t>
            </w:r>
          </w:p>
        </w:tc>
        <w:tc>
          <w:tcPr/>
          <w:p>
            <w:pPr>
              <w:pStyle w:val="Compact"/>
              <w:jc w:val="right"/>
            </w:pPr>
            <w:r>
              <w:t xml:space="preserve">0.0569461</w:t>
            </w:r>
          </w:p>
        </w:tc>
        <w:tc>
          <w:tcPr/>
          <w:p>
            <w:pPr>
              <w:pStyle w:val="Compact"/>
              <w:jc w:val="right"/>
            </w:pPr>
            <w:r>
              <w:t xml:space="preserve">-0.6041301</w:t>
            </w:r>
          </w:p>
        </w:tc>
        <w:tc>
          <w:tcPr/>
          <w:p>
            <w:pPr>
              <w:pStyle w:val="Compact"/>
              <w:jc w:val="right"/>
            </w:pPr>
            <w:r>
              <w:t xml:space="preserve">570</w:t>
            </w:r>
          </w:p>
        </w:tc>
        <w:tc>
          <w:tcPr/>
          <w:p>
            <w:pPr>
              <w:pStyle w:val="Compact"/>
              <w:jc w:val="right"/>
            </w:pPr>
            <w:r>
              <w:t xml:space="preserve">0.5459975</w:t>
            </w:r>
          </w:p>
        </w:tc>
      </w:tr>
      <w:tr>
        <w:tc>
          <w:tcPr/>
          <w:p>
            <w:pPr>
              <w:pStyle w:val="Compact"/>
              <w:jc w:val="left"/>
            </w:pPr>
            <w:r>
              <w:t xml:space="preserve">22</w:t>
            </w:r>
          </w:p>
        </w:tc>
        <w:tc>
          <w:tcPr/>
          <w:p>
            <w:pPr>
              <w:pStyle w:val="Compact"/>
              <w:jc w:val="left"/>
            </w:pPr>
            <w:r>
              <w:t xml:space="preserve">DrugBTreatmentCost</w:t>
            </w:r>
          </w:p>
        </w:tc>
        <w:tc>
          <w:tcPr/>
          <w:p>
            <w:pPr>
              <w:pStyle w:val="Compact"/>
              <w:jc w:val="right"/>
            </w:pPr>
            <w:r>
              <w:t xml:space="preserve">-0.0052945</w:t>
            </w:r>
          </w:p>
        </w:tc>
        <w:tc>
          <w:tcPr/>
          <w:p>
            <w:pPr>
              <w:pStyle w:val="Compact"/>
              <w:jc w:val="right"/>
            </w:pPr>
            <w:r>
              <w:t xml:space="preserve">-0.0875619</w:t>
            </w:r>
          </w:p>
        </w:tc>
        <w:tc>
          <w:tcPr/>
          <w:p>
            <w:pPr>
              <w:pStyle w:val="Compact"/>
              <w:jc w:val="right"/>
            </w:pPr>
            <w:r>
              <w:t xml:space="preserve">0.0769728</w:t>
            </w:r>
          </w:p>
        </w:tc>
        <w:tc>
          <w:tcPr/>
          <w:p>
            <w:pPr>
              <w:pStyle w:val="Compact"/>
              <w:jc w:val="right"/>
            </w:pPr>
            <w:r>
              <w:t xml:space="preserve">-0.1264074</w:t>
            </w:r>
          </w:p>
        </w:tc>
        <w:tc>
          <w:tcPr/>
          <w:p>
            <w:pPr>
              <w:pStyle w:val="Compact"/>
              <w:jc w:val="right"/>
            </w:pPr>
            <w:r>
              <w:t xml:space="preserve">570</w:t>
            </w:r>
          </w:p>
        </w:tc>
        <w:tc>
          <w:tcPr/>
          <w:p>
            <w:pPr>
              <w:pStyle w:val="Compact"/>
              <w:jc w:val="right"/>
            </w:pPr>
            <w:r>
              <w:t xml:space="preserve">0.8994540</w:t>
            </w:r>
          </w:p>
        </w:tc>
      </w:tr>
      <w:tr>
        <w:tc>
          <w:tcPr/>
          <w:p>
            <w:pPr>
              <w:pStyle w:val="Compact"/>
              <w:jc w:val="left"/>
            </w:pPr>
            <w:r>
              <w:t xml:space="preserve">19</w:t>
            </w:r>
          </w:p>
        </w:tc>
        <w:tc>
          <w:tcPr/>
          <w:p>
            <w:pPr>
              <w:pStyle w:val="Compact"/>
              <w:jc w:val="left"/>
            </w:pPr>
            <w:r>
              <w:t xml:space="preserve">TestCost</w:t>
            </w:r>
          </w:p>
        </w:tc>
        <w:tc>
          <w:tcPr/>
          <w:p>
            <w:pPr>
              <w:pStyle w:val="Compact"/>
              <w:jc w:val="right"/>
            </w:pPr>
            <w:r>
              <w:t xml:space="preserve">0.0030007</w:t>
            </w:r>
          </w:p>
        </w:tc>
        <w:tc>
          <w:tcPr/>
          <w:p>
            <w:pPr>
              <w:pStyle w:val="Compact"/>
              <w:jc w:val="right"/>
            </w:pPr>
            <w:r>
              <w:t xml:space="preserve">-0.0792675</w:t>
            </w:r>
          </w:p>
        </w:tc>
        <w:tc>
          <w:tcPr/>
          <w:p>
            <w:pPr>
              <w:pStyle w:val="Compact"/>
              <w:jc w:val="right"/>
            </w:pPr>
            <w:r>
              <w:t xml:space="preserve">0.0852689</w:t>
            </w:r>
          </w:p>
        </w:tc>
        <w:tc>
          <w:tcPr/>
          <w:p>
            <w:pPr>
              <w:pStyle w:val="Compact"/>
              <w:jc w:val="right"/>
            </w:pPr>
            <w:r>
              <w:t xml:space="preserve">0.0716408</w:t>
            </w:r>
          </w:p>
        </w:tc>
        <w:tc>
          <w:tcPr/>
          <w:p>
            <w:pPr>
              <w:pStyle w:val="Compact"/>
              <w:jc w:val="right"/>
            </w:pPr>
            <w:r>
              <w:t xml:space="preserve">570</w:t>
            </w:r>
          </w:p>
        </w:tc>
        <w:tc>
          <w:tcPr/>
          <w:p>
            <w:pPr>
              <w:pStyle w:val="Compact"/>
              <w:jc w:val="right"/>
            </w:pPr>
            <w:r>
              <w:t xml:space="preserve">0.9429129</w:t>
            </w:r>
          </w:p>
        </w:tc>
      </w:tr>
      <w:tr>
        <w:tc>
          <w:tcPr/>
          <w:p>
            <w:pPr>
              <w:pStyle w:val="Compact"/>
              <w:jc w:val="left"/>
            </w:pPr>
            <w:r>
              <w:t xml:space="preserve">16</w:t>
            </w:r>
          </w:p>
        </w:tc>
        <w:tc>
          <w:tcPr/>
          <w:p>
            <w:pPr>
              <w:pStyle w:val="Compact"/>
              <w:jc w:val="left"/>
            </w:pPr>
            <w:r>
              <w:t xml:space="preserve">DSTsensitivity</w:t>
            </w:r>
          </w:p>
        </w:tc>
        <w:tc>
          <w:tcPr/>
          <w:p>
            <w:pPr>
              <w:pStyle w:val="Compact"/>
              <w:jc w:val="right"/>
            </w:pPr>
            <w:r>
              <w:t xml:space="preserve">0.0008336</w:t>
            </w:r>
          </w:p>
        </w:tc>
        <w:tc>
          <w:tcPr/>
          <w:p>
            <w:pPr>
              <w:pStyle w:val="Compact"/>
              <w:jc w:val="right"/>
            </w:pPr>
            <w:r>
              <w:t xml:space="preserve">-0.0814349</w:t>
            </w:r>
          </w:p>
        </w:tc>
        <w:tc>
          <w:tcPr/>
          <w:p>
            <w:pPr>
              <w:pStyle w:val="Compact"/>
              <w:jc w:val="right"/>
            </w:pPr>
            <w:r>
              <w:t xml:space="preserve">0.0831021</w:t>
            </w:r>
          </w:p>
        </w:tc>
        <w:tc>
          <w:tcPr/>
          <w:p>
            <w:pPr>
              <w:pStyle w:val="Compact"/>
              <w:jc w:val="right"/>
            </w:pPr>
            <w:r>
              <w:t xml:space="preserve">0.0199017</w:t>
            </w:r>
          </w:p>
        </w:tc>
        <w:tc>
          <w:tcPr/>
          <w:p>
            <w:pPr>
              <w:pStyle w:val="Compact"/>
              <w:jc w:val="right"/>
            </w:pPr>
            <w:r>
              <w:t xml:space="preserve">570</w:t>
            </w:r>
          </w:p>
        </w:tc>
        <w:tc>
          <w:tcPr/>
          <w:p>
            <w:pPr>
              <w:pStyle w:val="Compact"/>
              <w:jc w:val="right"/>
            </w:pPr>
            <w:r>
              <w:t xml:space="preserve">0.9841288</w:t>
            </w:r>
          </w:p>
        </w:tc>
      </w:tr>
    </w:tbl>
    <w:p/>
    <w:p>
      <w:pPr>
        <w:pStyle w:val="TableCaption"/>
      </w:pPr>
      <w:r>
        <w:t xml:space="preserve">Incidence PRCC</w:t>
      </w:r>
    </w:p>
    <w:tbl>
      <w:tblPr>
        <w:tblStyle w:val="Table"/>
        <w:tblW w:type="pct" w:w="5000"/>
        <w:tblLayout w:type="fixed"/>
        <w:tblLook w:firstRow="1" w:lastRow="0" w:firstColumn="0" w:lastColumn="0" w:noHBand="0" w:noVBand="0" w:val="0020"/>
        <w:tblCaption w:val="Incidence PRCC"/>
      </w:tblPr>
      <w:tblGrid>
        <w:gridCol w:w="247"/>
        <w:gridCol w:w="2557"/>
        <w:gridCol w:w="907"/>
        <w:gridCol w:w="907"/>
        <w:gridCol w:w="907"/>
        <w:gridCol w:w="1237"/>
        <w:gridCol w:w="330"/>
        <w:gridCol w:w="825"/>
      </w:tblGrid>
      <w:tr>
        <w:trPr>
          <w:tblHeader w:val="on"/>
        </w:trPr>
        <w:tc>
          <w:tcPr/>
          <w:p>
            <w:pPr>
              <w:pStyle w:val="Compact"/>
            </w:pPr>
          </w:p>
        </w:tc>
        <w:tc>
          <w:tcPr/>
          <w:p>
            <w:pPr>
              <w:pStyle w:val="Compact"/>
              <w:jc w:val="left"/>
            </w:pPr>
            <w:r>
              <w:t xml:space="preserve">var</w:t>
            </w:r>
          </w:p>
        </w:tc>
        <w:tc>
          <w:tcPr/>
          <w:p>
            <w:pPr>
              <w:pStyle w:val="Compact"/>
              <w:jc w:val="right"/>
            </w:pPr>
            <w:r>
              <w:t xml:space="preserve">est</w:t>
            </w:r>
          </w:p>
        </w:tc>
        <w:tc>
          <w:tcPr/>
          <w:p>
            <w:pPr>
              <w:pStyle w:val="Compact"/>
              <w:jc w:val="right"/>
            </w:pPr>
            <w:r>
              <w:t xml:space="preserve">lower</w:t>
            </w:r>
          </w:p>
        </w:tc>
        <w:tc>
          <w:tcPr/>
          <w:p>
            <w:pPr>
              <w:pStyle w:val="Compact"/>
              <w:jc w:val="right"/>
            </w:pPr>
            <w:r>
              <w:t xml:space="preserve">upper</w:t>
            </w:r>
          </w:p>
        </w:tc>
        <w:tc>
          <w:tcPr/>
          <w:p>
            <w:pPr>
              <w:pStyle w:val="Compact"/>
              <w:jc w:val="right"/>
            </w:pPr>
            <w:r>
              <w:t xml:space="preserve">test.statistic</w:t>
            </w:r>
          </w:p>
        </w:tc>
        <w:tc>
          <w:tcPr/>
          <w:p>
            <w:pPr>
              <w:pStyle w:val="Compact"/>
              <w:jc w:val="right"/>
            </w:pPr>
            <w:r>
              <w:t xml:space="preserve">df</w:t>
            </w:r>
          </w:p>
        </w:tc>
        <w:tc>
          <w:tcPr/>
          <w:p>
            <w:pPr>
              <w:pStyle w:val="Compact"/>
              <w:jc w:val="right"/>
            </w:pPr>
            <w:r>
              <w:t xml:space="preserve">p.value</w:t>
            </w:r>
          </w:p>
        </w:tc>
      </w:tr>
      <w:tr>
        <w:tc>
          <w:tcPr/>
          <w:p>
            <w:pPr>
              <w:pStyle w:val="Compact"/>
              <w:jc w:val="left"/>
            </w:pPr>
            <w:r>
              <w:t xml:space="preserve">1</w:t>
            </w:r>
          </w:p>
        </w:tc>
        <w:tc>
          <w:tcPr/>
          <w:p>
            <w:pPr>
              <w:pStyle w:val="Compact"/>
              <w:jc w:val="left"/>
            </w:pPr>
            <w:r>
              <w:t xml:space="preserve">propHighActivity</w:t>
            </w:r>
          </w:p>
        </w:tc>
        <w:tc>
          <w:tcPr/>
          <w:p>
            <w:pPr>
              <w:pStyle w:val="Compact"/>
              <w:jc w:val="right"/>
            </w:pPr>
            <w:r>
              <w:t xml:space="preserve">0.4809367</w:t>
            </w:r>
          </w:p>
        </w:tc>
        <w:tc>
          <w:tcPr/>
          <w:p>
            <w:pPr>
              <w:pStyle w:val="Compact"/>
              <w:jc w:val="right"/>
            </w:pPr>
            <w:r>
              <w:t xml:space="preserve">0.4088073</w:t>
            </w:r>
          </w:p>
        </w:tc>
        <w:tc>
          <w:tcPr/>
          <w:p>
            <w:pPr>
              <w:pStyle w:val="Compact"/>
              <w:jc w:val="right"/>
            </w:pPr>
            <w:r>
              <w:t xml:space="preserve">0.5530661</w:t>
            </w:r>
          </w:p>
        </w:tc>
        <w:tc>
          <w:tcPr/>
          <w:p>
            <w:pPr>
              <w:pStyle w:val="Compact"/>
              <w:jc w:val="right"/>
            </w:pPr>
            <w:r>
              <w:t xml:space="preserve">13.0962494</w:t>
            </w:r>
          </w:p>
        </w:tc>
        <w:tc>
          <w:tcPr/>
          <w:p>
            <w:pPr>
              <w:pStyle w:val="Compact"/>
              <w:jc w:val="right"/>
            </w:pPr>
            <w:r>
              <w:t xml:space="preserve">570</w:t>
            </w:r>
          </w:p>
        </w:tc>
        <w:tc>
          <w:tcPr/>
          <w:p>
            <w:pPr>
              <w:pStyle w:val="Compact"/>
              <w:jc w:val="right"/>
            </w:pPr>
            <w:r>
              <w:t xml:space="preserve">0.0000000</w:t>
            </w:r>
          </w:p>
        </w:tc>
      </w:tr>
      <w:tr>
        <w:tc>
          <w:tcPr/>
          <w:p>
            <w:pPr>
              <w:pStyle w:val="Compact"/>
              <w:jc w:val="left"/>
            </w:pPr>
            <w:r>
              <w:t xml:space="preserve">10</w:t>
            </w:r>
          </w:p>
        </w:tc>
        <w:tc>
          <w:tcPr/>
          <w:p>
            <w:pPr>
              <w:pStyle w:val="Compact"/>
              <w:jc w:val="left"/>
            </w:pPr>
            <w:r>
              <w:t xml:space="preserve">activityGroupTransmissionRatio</w:t>
            </w:r>
          </w:p>
        </w:tc>
        <w:tc>
          <w:tcPr/>
          <w:p>
            <w:pPr>
              <w:pStyle w:val="Compact"/>
              <w:jc w:val="right"/>
            </w:pPr>
            <w:r>
              <w:t xml:space="preserve">0.2969482</w:t>
            </w:r>
          </w:p>
        </w:tc>
        <w:tc>
          <w:tcPr/>
          <w:p>
            <w:pPr>
              <w:pStyle w:val="Compact"/>
              <w:jc w:val="right"/>
            </w:pPr>
            <w:r>
              <w:t xml:space="preserve">0.2183905</w:t>
            </w:r>
          </w:p>
        </w:tc>
        <w:tc>
          <w:tcPr/>
          <w:p>
            <w:pPr>
              <w:pStyle w:val="Compact"/>
              <w:jc w:val="right"/>
            </w:pPr>
            <w:r>
              <w:t xml:space="preserve">0.3755059</w:t>
            </w:r>
          </w:p>
        </w:tc>
        <w:tc>
          <w:tcPr/>
          <w:p>
            <w:pPr>
              <w:pStyle w:val="Compact"/>
              <w:jc w:val="right"/>
            </w:pPr>
            <w:r>
              <w:t xml:space="preserve">7.4244305</w:t>
            </w:r>
          </w:p>
        </w:tc>
        <w:tc>
          <w:tcPr/>
          <w:p>
            <w:pPr>
              <w:pStyle w:val="Compact"/>
              <w:jc w:val="right"/>
            </w:pPr>
            <w:r>
              <w:t xml:space="preserve">570</w:t>
            </w:r>
          </w:p>
        </w:tc>
        <w:tc>
          <w:tcPr/>
          <w:p>
            <w:pPr>
              <w:pStyle w:val="Compact"/>
              <w:jc w:val="right"/>
            </w:pPr>
            <w:r>
              <w:t xml:space="preserve">0.0000000</w:t>
            </w:r>
          </w:p>
        </w:tc>
      </w:tr>
      <w:tr>
        <w:tc>
          <w:tcPr/>
          <w:p>
            <w:pPr>
              <w:pStyle w:val="Compact"/>
              <w:jc w:val="left"/>
            </w:pPr>
            <w:r>
              <w:t xml:space="preserve">2</w:t>
            </w:r>
          </w:p>
        </w:tc>
        <w:tc>
          <w:tcPr/>
          <w:p>
            <w:pPr>
              <w:pStyle w:val="Compact"/>
              <w:jc w:val="left"/>
            </w:pPr>
            <w:r>
              <w:t xml:space="preserve">TransmissionMSM</w:t>
            </w:r>
          </w:p>
        </w:tc>
        <w:tc>
          <w:tcPr/>
          <w:p>
            <w:pPr>
              <w:pStyle w:val="Compact"/>
              <w:jc w:val="right"/>
            </w:pPr>
            <w:r>
              <w:t xml:space="preserve">0.2615189</w:t>
            </w:r>
          </w:p>
        </w:tc>
        <w:tc>
          <w:tcPr/>
          <w:p>
            <w:pPr>
              <w:pStyle w:val="Compact"/>
              <w:jc w:val="right"/>
            </w:pPr>
            <w:r>
              <w:t xml:space="preserve">0.1821134</w:t>
            </w:r>
          </w:p>
        </w:tc>
        <w:tc>
          <w:tcPr/>
          <w:p>
            <w:pPr>
              <w:pStyle w:val="Compact"/>
              <w:jc w:val="right"/>
            </w:pPr>
            <w:r>
              <w:t xml:space="preserve">0.3409243</w:t>
            </w:r>
          </w:p>
        </w:tc>
        <w:tc>
          <w:tcPr/>
          <w:p>
            <w:pPr>
              <w:pStyle w:val="Compact"/>
              <w:jc w:val="right"/>
            </w:pPr>
            <w:r>
              <w:t xml:space="preserve">6.4688026</w:t>
            </w:r>
          </w:p>
        </w:tc>
        <w:tc>
          <w:tcPr/>
          <w:p>
            <w:pPr>
              <w:pStyle w:val="Compact"/>
              <w:jc w:val="right"/>
            </w:pPr>
            <w:r>
              <w:t xml:space="preserve">570</w:t>
            </w:r>
          </w:p>
        </w:tc>
        <w:tc>
          <w:tcPr/>
          <w:p>
            <w:pPr>
              <w:pStyle w:val="Compact"/>
              <w:jc w:val="right"/>
            </w:pPr>
            <w:r>
              <w:t xml:space="preserve">0.0000000</w:t>
            </w:r>
          </w:p>
        </w:tc>
      </w:tr>
      <w:tr>
        <w:tc>
          <w:tcPr/>
          <w:p>
            <w:pPr>
              <w:pStyle w:val="Compact"/>
              <w:jc w:val="left"/>
            </w:pPr>
            <w:r>
              <w:t xml:space="preserve">7</w:t>
            </w:r>
          </w:p>
        </w:tc>
        <w:tc>
          <w:tcPr/>
          <w:p>
            <w:pPr>
              <w:pStyle w:val="Compact"/>
              <w:jc w:val="left"/>
            </w:pPr>
            <w:r>
              <w:t xml:space="preserve">DelayToRetreatmentMSM</w:t>
            </w:r>
          </w:p>
        </w:tc>
        <w:tc>
          <w:tcPr/>
          <w:p>
            <w:pPr>
              <w:pStyle w:val="Compact"/>
              <w:jc w:val="right"/>
            </w:pPr>
            <w:r>
              <w:t xml:space="preserve">0.2453743</w:t>
            </w:r>
          </w:p>
        </w:tc>
        <w:tc>
          <w:tcPr/>
          <w:p>
            <w:pPr>
              <w:pStyle w:val="Compact"/>
              <w:jc w:val="right"/>
            </w:pPr>
            <w:r>
              <w:t xml:space="preserve">0.1656209</w:t>
            </w:r>
          </w:p>
        </w:tc>
        <w:tc>
          <w:tcPr/>
          <w:p>
            <w:pPr>
              <w:pStyle w:val="Compact"/>
              <w:jc w:val="right"/>
            </w:pPr>
            <w:r>
              <w:t xml:space="preserve">0.3251278</w:t>
            </w:r>
          </w:p>
        </w:tc>
        <w:tc>
          <w:tcPr/>
          <w:p>
            <w:pPr>
              <w:pStyle w:val="Compact"/>
              <w:jc w:val="right"/>
            </w:pPr>
            <w:r>
              <w:t xml:space="preserve">6.0429750</w:t>
            </w:r>
          </w:p>
        </w:tc>
        <w:tc>
          <w:tcPr/>
          <w:p>
            <w:pPr>
              <w:pStyle w:val="Compact"/>
              <w:jc w:val="right"/>
            </w:pPr>
            <w:r>
              <w:t xml:space="preserve">570</w:t>
            </w:r>
          </w:p>
        </w:tc>
        <w:tc>
          <w:tcPr/>
          <w:p>
            <w:pPr>
              <w:pStyle w:val="Compact"/>
              <w:jc w:val="right"/>
            </w:pPr>
            <w:r>
              <w:t xml:space="preserve">0.0000000</w:t>
            </w:r>
          </w:p>
        </w:tc>
      </w:tr>
      <w:tr>
        <w:tc>
          <w:tcPr/>
          <w:p>
            <w:pPr>
              <w:pStyle w:val="Compact"/>
              <w:jc w:val="left"/>
            </w:pPr>
            <w:r>
              <w:t xml:space="preserve">4</w:t>
            </w:r>
          </w:p>
        </w:tc>
        <w:tc>
          <w:tcPr/>
          <w:p>
            <w:pPr>
              <w:pStyle w:val="Compact"/>
              <w:jc w:val="left"/>
            </w:pPr>
            <w:r>
              <w:t xml:space="preserve">ProbSymptomaticMSM</w:t>
            </w:r>
          </w:p>
        </w:tc>
        <w:tc>
          <w:tcPr/>
          <w:p>
            <w:pPr>
              <w:pStyle w:val="Compact"/>
              <w:jc w:val="right"/>
            </w:pPr>
            <w:r>
              <w:t xml:space="preserve">-0.2309012</w:t>
            </w:r>
          </w:p>
        </w:tc>
        <w:tc>
          <w:tcPr/>
          <w:p>
            <w:pPr>
              <w:pStyle w:val="Compact"/>
              <w:jc w:val="right"/>
            </w:pPr>
            <w:r>
              <w:t xml:space="preserve">-0.3109466</w:t>
            </w:r>
          </w:p>
        </w:tc>
        <w:tc>
          <w:tcPr/>
          <w:p>
            <w:pPr>
              <w:pStyle w:val="Compact"/>
              <w:jc w:val="right"/>
            </w:pPr>
            <w:r>
              <w:t xml:space="preserve">-0.1508558</w:t>
            </w:r>
          </w:p>
        </w:tc>
        <w:tc>
          <w:tcPr/>
          <w:p>
            <w:pPr>
              <w:pStyle w:val="Compact"/>
              <w:jc w:val="right"/>
            </w:pPr>
            <w:r>
              <w:t xml:space="preserve">-5.6657961</w:t>
            </w:r>
          </w:p>
        </w:tc>
        <w:tc>
          <w:tcPr/>
          <w:p>
            <w:pPr>
              <w:pStyle w:val="Compact"/>
              <w:jc w:val="right"/>
            </w:pPr>
            <w:r>
              <w:t xml:space="preserve">570</w:t>
            </w:r>
          </w:p>
        </w:tc>
        <w:tc>
          <w:tcPr/>
          <w:p>
            <w:pPr>
              <w:pStyle w:val="Compact"/>
              <w:jc w:val="right"/>
            </w:pPr>
            <w:r>
              <w:t xml:space="preserve">0.0000000</w:t>
            </w:r>
          </w:p>
        </w:tc>
      </w:tr>
      <w:tr>
        <w:tc>
          <w:tcPr/>
          <w:p>
            <w:pPr>
              <w:pStyle w:val="Compact"/>
              <w:jc w:val="left"/>
            </w:pPr>
            <w:r>
              <w:t xml:space="preserve">12</w:t>
            </w:r>
          </w:p>
        </w:tc>
        <w:tc>
          <w:tcPr/>
          <w:p>
            <w:pPr>
              <w:pStyle w:val="Compact"/>
              <w:jc w:val="left"/>
            </w:pPr>
            <w:r>
              <w:t xml:space="preserve">BeginImportingB</w:t>
            </w:r>
          </w:p>
        </w:tc>
        <w:tc>
          <w:tcPr/>
          <w:p>
            <w:pPr>
              <w:pStyle w:val="Compact"/>
              <w:jc w:val="right"/>
            </w:pPr>
            <w:r>
              <w:t xml:space="preserve">-0.1447547</w:t>
            </w:r>
          </w:p>
        </w:tc>
        <w:tc>
          <w:tcPr/>
          <w:p>
            <w:pPr>
              <w:pStyle w:val="Compact"/>
              <w:jc w:val="right"/>
            </w:pPr>
            <w:r>
              <w:t xml:space="preserve">-0.2261567</w:t>
            </w:r>
          </w:p>
        </w:tc>
        <w:tc>
          <w:tcPr/>
          <w:p>
            <w:pPr>
              <w:pStyle w:val="Compact"/>
              <w:jc w:val="right"/>
            </w:pPr>
            <w:r>
              <w:t xml:space="preserve">-0.0633526</w:t>
            </w:r>
          </w:p>
        </w:tc>
        <w:tc>
          <w:tcPr/>
          <w:p>
            <w:pPr>
              <w:pStyle w:val="Compact"/>
              <w:jc w:val="right"/>
            </w:pPr>
            <w:r>
              <w:t xml:space="preserve">-3.4927580</w:t>
            </w:r>
          </w:p>
        </w:tc>
        <w:tc>
          <w:tcPr/>
          <w:p>
            <w:pPr>
              <w:pStyle w:val="Compact"/>
              <w:jc w:val="right"/>
            </w:pPr>
            <w:r>
              <w:t xml:space="preserve">570</w:t>
            </w:r>
          </w:p>
        </w:tc>
        <w:tc>
          <w:tcPr/>
          <w:p>
            <w:pPr>
              <w:pStyle w:val="Compact"/>
              <w:jc w:val="right"/>
            </w:pPr>
            <w:r>
              <w:t xml:space="preserve">0.0005151</w:t>
            </w:r>
          </w:p>
        </w:tc>
      </w:tr>
      <w:tr>
        <w:tc>
          <w:tcPr/>
          <w:p>
            <w:pPr>
              <w:pStyle w:val="Compact"/>
              <w:jc w:val="left"/>
            </w:pPr>
            <w:r>
              <w:t xml:space="preserve">14</w:t>
            </w:r>
          </w:p>
        </w:tc>
        <w:tc>
          <w:tcPr/>
          <w:p>
            <w:pPr>
              <w:pStyle w:val="Compact"/>
              <w:jc w:val="left"/>
            </w:pPr>
            <w:r>
              <w:t xml:space="preserve">ProbDevelopResistanceAExponent</w:t>
            </w:r>
          </w:p>
        </w:tc>
        <w:tc>
          <w:tcPr/>
          <w:p>
            <w:pPr>
              <w:pStyle w:val="Compact"/>
              <w:jc w:val="right"/>
            </w:pPr>
            <w:r>
              <w:t xml:space="preserve">0.1311130</w:t>
            </w:r>
          </w:p>
        </w:tc>
        <w:tc>
          <w:tcPr/>
          <w:p>
            <w:pPr>
              <w:pStyle w:val="Compact"/>
              <w:jc w:val="right"/>
            </w:pPr>
            <w:r>
              <w:t xml:space="preserve">0.0495546</w:t>
            </w:r>
          </w:p>
        </w:tc>
        <w:tc>
          <w:tcPr/>
          <w:p>
            <w:pPr>
              <w:pStyle w:val="Compact"/>
              <w:jc w:val="right"/>
            </w:pPr>
            <w:r>
              <w:t xml:space="preserve">0.2126713</w:t>
            </w:r>
          </w:p>
        </w:tc>
        <w:tc>
          <w:tcPr/>
          <w:p>
            <w:pPr>
              <w:pStyle w:val="Compact"/>
              <w:jc w:val="right"/>
            </w:pPr>
            <w:r>
              <w:t xml:space="preserve">3.1575368</w:t>
            </w:r>
          </w:p>
        </w:tc>
        <w:tc>
          <w:tcPr/>
          <w:p>
            <w:pPr>
              <w:pStyle w:val="Compact"/>
              <w:jc w:val="right"/>
            </w:pPr>
            <w:r>
              <w:t xml:space="preserve">570</w:t>
            </w:r>
          </w:p>
        </w:tc>
        <w:tc>
          <w:tcPr/>
          <w:p>
            <w:pPr>
              <w:pStyle w:val="Compact"/>
              <w:jc w:val="right"/>
            </w:pPr>
            <w:r>
              <w:t xml:space="preserve">0.0016752</w:t>
            </w:r>
          </w:p>
        </w:tc>
      </w:tr>
      <w:tr>
        <w:tc>
          <w:tcPr/>
          <w:p>
            <w:pPr>
              <w:pStyle w:val="Compact"/>
              <w:jc w:val="left"/>
            </w:pPr>
            <w:r>
              <w:t xml:space="preserve">20</w:t>
            </w:r>
          </w:p>
        </w:tc>
        <w:tc>
          <w:tcPr/>
          <w:p>
            <w:pPr>
              <w:pStyle w:val="Compact"/>
              <w:jc w:val="left"/>
            </w:pPr>
            <w:r>
              <w:t xml:space="preserve">StrainTestCost</w:t>
            </w:r>
          </w:p>
        </w:tc>
        <w:tc>
          <w:tcPr/>
          <w:p>
            <w:pPr>
              <w:pStyle w:val="Compact"/>
              <w:jc w:val="right"/>
            </w:pPr>
            <w:r>
              <w:t xml:space="preserve">0.1043037</w:t>
            </w:r>
          </w:p>
        </w:tc>
        <w:tc>
          <w:tcPr/>
          <w:p>
            <w:pPr>
              <w:pStyle w:val="Compact"/>
              <w:jc w:val="right"/>
            </w:pPr>
            <w:r>
              <w:t xml:space="preserve">0.0224839</w:t>
            </w:r>
          </w:p>
        </w:tc>
        <w:tc>
          <w:tcPr/>
          <w:p>
            <w:pPr>
              <w:pStyle w:val="Compact"/>
              <w:jc w:val="right"/>
            </w:pPr>
            <w:r>
              <w:t xml:space="preserve">0.1861235</w:t>
            </w:r>
          </w:p>
        </w:tc>
        <w:tc>
          <w:tcPr/>
          <w:p>
            <w:pPr>
              <w:pStyle w:val="Compact"/>
              <w:jc w:val="right"/>
            </w:pPr>
            <w:r>
              <w:t xml:space="preserve">2.5038739</w:t>
            </w:r>
          </w:p>
        </w:tc>
        <w:tc>
          <w:tcPr/>
          <w:p>
            <w:pPr>
              <w:pStyle w:val="Compact"/>
              <w:jc w:val="right"/>
            </w:pPr>
            <w:r>
              <w:t xml:space="preserve">570</w:t>
            </w:r>
          </w:p>
        </w:tc>
        <w:tc>
          <w:tcPr/>
          <w:p>
            <w:pPr>
              <w:pStyle w:val="Compact"/>
              <w:jc w:val="right"/>
            </w:pPr>
            <w:r>
              <w:t xml:space="preserve">0.0125625</w:t>
            </w:r>
          </w:p>
        </w:tc>
      </w:tr>
      <w:tr>
        <w:tc>
          <w:tcPr/>
          <w:p>
            <w:pPr>
              <w:pStyle w:val="Compact"/>
              <w:jc w:val="left"/>
            </w:pPr>
            <w:r>
              <w:t xml:space="preserve">13</w:t>
            </w:r>
          </w:p>
        </w:tc>
        <w:tc>
          <w:tcPr/>
          <w:p>
            <w:pPr>
              <w:pStyle w:val="Compact"/>
              <w:jc w:val="left"/>
            </w:pPr>
            <w:r>
              <w:t xml:space="preserve">ImportingBInterval</w:t>
            </w:r>
          </w:p>
        </w:tc>
        <w:tc>
          <w:tcPr/>
          <w:p>
            <w:pPr>
              <w:pStyle w:val="Compact"/>
              <w:jc w:val="right"/>
            </w:pPr>
            <w:r>
              <w:t xml:space="preserve">-0.0990749</w:t>
            </w:r>
          </w:p>
        </w:tc>
        <w:tc>
          <w:tcPr/>
          <w:p>
            <w:pPr>
              <w:pStyle w:val="Compact"/>
              <w:jc w:val="right"/>
            </w:pPr>
            <w:r>
              <w:t xml:space="preserve">-0.1809387</w:t>
            </w:r>
          </w:p>
        </w:tc>
        <w:tc>
          <w:tcPr/>
          <w:p>
            <w:pPr>
              <w:pStyle w:val="Compact"/>
              <w:jc w:val="right"/>
            </w:pPr>
            <w:r>
              <w:t xml:space="preserve">-0.0172111</w:t>
            </w:r>
          </w:p>
        </w:tc>
        <w:tc>
          <w:tcPr/>
          <w:p>
            <w:pPr>
              <w:pStyle w:val="Compact"/>
              <w:jc w:val="right"/>
            </w:pPr>
            <w:r>
              <w:t xml:space="preserve">-2.3770768</w:t>
            </w:r>
          </w:p>
        </w:tc>
        <w:tc>
          <w:tcPr/>
          <w:p>
            <w:pPr>
              <w:pStyle w:val="Compact"/>
              <w:jc w:val="right"/>
            </w:pPr>
            <w:r>
              <w:t xml:space="preserve">570</w:t>
            </w:r>
          </w:p>
        </w:tc>
        <w:tc>
          <w:tcPr/>
          <w:p>
            <w:pPr>
              <w:pStyle w:val="Compact"/>
              <w:jc w:val="right"/>
            </w:pPr>
            <w:r>
              <w:t xml:space="preserve">0.0177795</w:t>
            </w:r>
          </w:p>
        </w:tc>
      </w:tr>
      <w:tr>
        <w:tc>
          <w:tcPr/>
          <w:p>
            <w:pPr>
              <w:pStyle w:val="Compact"/>
              <w:jc w:val="left"/>
            </w:pPr>
            <w:r>
              <w:t xml:space="preserve">3</w:t>
            </w:r>
          </w:p>
        </w:tc>
        <w:tc>
          <w:tcPr/>
          <w:p>
            <w:pPr>
              <w:pStyle w:val="Compact"/>
              <w:jc w:val="left"/>
            </w:pPr>
            <w:r>
              <w:t xml:space="preserve">NaturalRecoveryTime</w:t>
            </w:r>
          </w:p>
        </w:tc>
        <w:tc>
          <w:tcPr/>
          <w:p>
            <w:pPr>
              <w:pStyle w:val="Compact"/>
              <w:jc w:val="right"/>
            </w:pPr>
            <w:r>
              <w:t xml:space="preserve">0.0914356</w:t>
            </w:r>
          </w:p>
        </w:tc>
        <w:tc>
          <w:tcPr/>
          <w:p>
            <w:pPr>
              <w:pStyle w:val="Compact"/>
              <w:jc w:val="right"/>
            </w:pPr>
            <w:r>
              <w:t xml:space="preserve">0.0095117</w:t>
            </w:r>
          </w:p>
        </w:tc>
        <w:tc>
          <w:tcPr/>
          <w:p>
            <w:pPr>
              <w:pStyle w:val="Compact"/>
              <w:jc w:val="right"/>
            </w:pPr>
            <w:r>
              <w:t xml:space="preserve">0.1733596</w:t>
            </w:r>
          </w:p>
        </w:tc>
        <w:tc>
          <w:tcPr/>
          <w:p>
            <w:pPr>
              <w:pStyle w:val="Compact"/>
              <w:jc w:val="right"/>
            </w:pPr>
            <w:r>
              <w:t xml:space="preserve">2.1921788</w:t>
            </w:r>
          </w:p>
        </w:tc>
        <w:tc>
          <w:tcPr/>
          <w:p>
            <w:pPr>
              <w:pStyle w:val="Compact"/>
              <w:jc w:val="right"/>
            </w:pPr>
            <w:r>
              <w:t xml:space="preserve">570</w:t>
            </w:r>
          </w:p>
        </w:tc>
        <w:tc>
          <w:tcPr/>
          <w:p>
            <w:pPr>
              <w:pStyle w:val="Compact"/>
              <w:jc w:val="right"/>
            </w:pPr>
            <w:r>
              <w:t xml:space="preserve">0.0287702</w:t>
            </w:r>
          </w:p>
        </w:tc>
      </w:tr>
      <w:tr>
        <w:tc>
          <w:tcPr/>
          <w:p>
            <w:pPr>
              <w:pStyle w:val="Compact"/>
              <w:jc w:val="left"/>
            </w:pPr>
            <w:r>
              <w:t xml:space="preserve">5</w:t>
            </w:r>
          </w:p>
        </w:tc>
        <w:tc>
          <w:tcPr/>
          <w:p>
            <w:pPr>
              <w:pStyle w:val="Compact"/>
              <w:jc w:val="left"/>
            </w:pPr>
            <w:r>
              <w:t xml:space="preserve">ScreenIntervalMeanMSM</w:t>
            </w:r>
          </w:p>
        </w:tc>
        <w:tc>
          <w:tcPr/>
          <w:p>
            <w:pPr>
              <w:pStyle w:val="Compact"/>
              <w:jc w:val="right"/>
            </w:pPr>
            <w:r>
              <w:t xml:space="preserve">-0.0793574</w:t>
            </w:r>
          </w:p>
        </w:tc>
        <w:tc>
          <w:tcPr/>
          <w:p>
            <w:pPr>
              <w:pStyle w:val="Compact"/>
              <w:jc w:val="right"/>
            </w:pPr>
            <w:r>
              <w:t xml:space="preserve">-0.1613664</w:t>
            </w:r>
          </w:p>
        </w:tc>
        <w:tc>
          <w:tcPr/>
          <w:p>
            <w:pPr>
              <w:pStyle w:val="Compact"/>
              <w:jc w:val="right"/>
            </w:pPr>
            <w:r>
              <w:t xml:space="preserve">0.0026517</w:t>
            </w:r>
          </w:p>
        </w:tc>
        <w:tc>
          <w:tcPr/>
          <w:p>
            <w:pPr>
              <w:pStyle w:val="Compact"/>
              <w:jc w:val="right"/>
            </w:pPr>
            <w:r>
              <w:t xml:space="preserve">-1.9006251</w:t>
            </w:r>
          </w:p>
        </w:tc>
        <w:tc>
          <w:tcPr/>
          <w:p>
            <w:pPr>
              <w:pStyle w:val="Compact"/>
              <w:jc w:val="right"/>
            </w:pPr>
            <w:r>
              <w:t xml:space="preserve">570</w:t>
            </w:r>
          </w:p>
        </w:tc>
        <w:tc>
          <w:tcPr/>
          <w:p>
            <w:pPr>
              <w:pStyle w:val="Compact"/>
              <w:jc w:val="right"/>
            </w:pPr>
            <w:r>
              <w:t xml:space="preserve">0.0578553</w:t>
            </w:r>
          </w:p>
        </w:tc>
      </w:tr>
      <w:tr>
        <w:tc>
          <w:tcPr/>
          <w:p>
            <w:pPr>
              <w:pStyle w:val="Compact"/>
              <w:jc w:val="left"/>
            </w:pPr>
            <w:r>
              <w:t xml:space="preserve">8</w:t>
            </w:r>
          </w:p>
        </w:tc>
        <w:tc>
          <w:tcPr/>
          <w:p>
            <w:pPr>
              <w:pStyle w:val="Compact"/>
              <w:jc w:val="left"/>
            </w:pPr>
            <w:r>
              <w:t xml:space="preserve">Assortativity</w:t>
            </w:r>
          </w:p>
        </w:tc>
        <w:tc>
          <w:tcPr/>
          <w:p>
            <w:pPr>
              <w:pStyle w:val="Compact"/>
              <w:jc w:val="right"/>
            </w:pPr>
            <w:r>
              <w:t xml:space="preserve">-0.0754966</w:t>
            </w:r>
          </w:p>
        </w:tc>
        <w:tc>
          <w:tcPr/>
          <w:p>
            <w:pPr>
              <w:pStyle w:val="Compact"/>
              <w:jc w:val="right"/>
            </w:pPr>
            <w:r>
              <w:t xml:space="preserve">-0.1575304</w:t>
            </w:r>
          </w:p>
        </w:tc>
        <w:tc>
          <w:tcPr/>
          <w:p>
            <w:pPr>
              <w:pStyle w:val="Compact"/>
              <w:jc w:val="right"/>
            </w:pPr>
            <w:r>
              <w:t xml:space="preserve">0.0065371</w:t>
            </w:r>
          </w:p>
        </w:tc>
        <w:tc>
          <w:tcPr/>
          <w:p>
            <w:pPr>
              <w:pStyle w:val="Compact"/>
              <w:jc w:val="right"/>
            </w:pPr>
            <w:r>
              <w:t xml:space="preserve">-1.8076165</w:t>
            </w:r>
          </w:p>
        </w:tc>
        <w:tc>
          <w:tcPr/>
          <w:p>
            <w:pPr>
              <w:pStyle w:val="Compact"/>
              <w:jc w:val="right"/>
            </w:pPr>
            <w:r>
              <w:t xml:space="preserve">570</w:t>
            </w:r>
          </w:p>
        </w:tc>
        <w:tc>
          <w:tcPr/>
          <w:p>
            <w:pPr>
              <w:pStyle w:val="Compact"/>
              <w:jc w:val="right"/>
            </w:pPr>
            <w:r>
              <w:t xml:space="preserve">0.0711932</w:t>
            </w:r>
          </w:p>
        </w:tc>
      </w:tr>
      <w:tr>
        <w:tc>
          <w:tcPr/>
          <w:p>
            <w:pPr>
              <w:pStyle w:val="Compact"/>
              <w:jc w:val="left"/>
            </w:pPr>
            <w:r>
              <w:t xml:space="preserve">16</w:t>
            </w:r>
          </w:p>
        </w:tc>
        <w:tc>
          <w:tcPr/>
          <w:p>
            <w:pPr>
              <w:pStyle w:val="Compact"/>
              <w:jc w:val="left"/>
            </w:pPr>
            <w:r>
              <w:t xml:space="preserve">DSTsensitivity</w:t>
            </w:r>
          </w:p>
        </w:tc>
        <w:tc>
          <w:tcPr/>
          <w:p>
            <w:pPr>
              <w:pStyle w:val="Compact"/>
              <w:jc w:val="right"/>
            </w:pPr>
            <w:r>
              <w:t xml:space="preserve">0.0678843</w:t>
            </w:r>
          </w:p>
        </w:tc>
        <w:tc>
          <w:tcPr/>
          <w:p>
            <w:pPr>
              <w:pStyle w:val="Compact"/>
              <w:jc w:val="right"/>
            </w:pPr>
            <w:r>
              <w:t xml:space="preserve">-0.0141944</w:t>
            </w:r>
          </w:p>
        </w:tc>
        <w:tc>
          <w:tcPr/>
          <w:p>
            <w:pPr>
              <w:pStyle w:val="Compact"/>
              <w:jc w:val="right"/>
            </w:pPr>
            <w:r>
              <w:t xml:space="preserve">0.1499631</w:t>
            </w:r>
          </w:p>
        </w:tc>
        <w:tc>
          <w:tcPr/>
          <w:p>
            <w:pPr>
              <w:pStyle w:val="Compact"/>
              <w:jc w:val="right"/>
            </w:pPr>
            <w:r>
              <w:t xml:space="preserve">1.6244636</w:t>
            </w:r>
          </w:p>
        </w:tc>
        <w:tc>
          <w:tcPr/>
          <w:p>
            <w:pPr>
              <w:pStyle w:val="Compact"/>
              <w:jc w:val="right"/>
            </w:pPr>
            <w:r>
              <w:t xml:space="preserve">570</w:t>
            </w:r>
          </w:p>
        </w:tc>
        <w:tc>
          <w:tcPr/>
          <w:p>
            <w:pPr>
              <w:pStyle w:val="Compact"/>
              <w:jc w:val="right"/>
            </w:pPr>
            <w:r>
              <w:t xml:space="preserve">0.1048297</w:t>
            </w:r>
          </w:p>
        </w:tc>
      </w:tr>
      <w:tr>
        <w:tc>
          <w:tcPr/>
          <w:p>
            <w:pPr>
              <w:pStyle w:val="Compact"/>
              <w:jc w:val="left"/>
            </w:pPr>
            <w:r>
              <w:t xml:space="preserve">11</w:t>
            </w:r>
          </w:p>
        </w:tc>
        <w:tc>
          <w:tcPr/>
          <w:p>
            <w:pPr>
              <w:pStyle w:val="Compact"/>
              <w:jc w:val="left"/>
            </w:pPr>
            <w:r>
              <w:t xml:space="preserve">PercentResistantA</w:t>
            </w:r>
          </w:p>
        </w:tc>
        <w:tc>
          <w:tcPr/>
          <w:p>
            <w:pPr>
              <w:pStyle w:val="Compact"/>
              <w:jc w:val="right"/>
            </w:pPr>
            <w:r>
              <w:t xml:space="preserve">0.0676720</w:t>
            </w:r>
          </w:p>
        </w:tc>
        <w:tc>
          <w:tcPr/>
          <w:p>
            <w:pPr>
              <w:pStyle w:val="Compact"/>
              <w:jc w:val="right"/>
            </w:pPr>
            <w:r>
              <w:t xml:space="preserve">-0.0144079</w:t>
            </w:r>
          </w:p>
        </w:tc>
        <w:tc>
          <w:tcPr/>
          <w:p>
            <w:pPr>
              <w:pStyle w:val="Compact"/>
              <w:jc w:val="right"/>
            </w:pPr>
            <w:r>
              <w:t xml:space="preserve">0.1497520</w:t>
            </w:r>
          </w:p>
        </w:tc>
        <w:tc>
          <w:tcPr/>
          <w:p>
            <w:pPr>
              <w:pStyle w:val="Compact"/>
              <w:jc w:val="right"/>
            </w:pPr>
            <w:r>
              <w:t xml:space="preserve">1.6193596</w:t>
            </w:r>
          </w:p>
        </w:tc>
        <w:tc>
          <w:tcPr/>
          <w:p>
            <w:pPr>
              <w:pStyle w:val="Compact"/>
              <w:jc w:val="right"/>
            </w:pPr>
            <w:r>
              <w:t xml:space="preserve">570</w:t>
            </w:r>
          </w:p>
        </w:tc>
        <w:tc>
          <w:tcPr/>
          <w:p>
            <w:pPr>
              <w:pStyle w:val="Compact"/>
              <w:jc w:val="right"/>
            </w:pPr>
            <w:r>
              <w:t xml:space="preserve">0.1059230</w:t>
            </w:r>
          </w:p>
        </w:tc>
      </w:tr>
      <w:tr>
        <w:tc>
          <w:tcPr/>
          <w:p>
            <w:pPr>
              <w:pStyle w:val="Compact"/>
              <w:jc w:val="left"/>
            </w:pPr>
            <w:r>
              <w:t xml:space="preserve">18</w:t>
            </w:r>
          </w:p>
        </w:tc>
        <w:tc>
          <w:tcPr/>
          <w:p>
            <w:pPr>
              <w:pStyle w:val="Compact"/>
              <w:jc w:val="left"/>
            </w:pPr>
            <w:r>
              <w:t xml:space="preserve">CareCost</w:t>
            </w:r>
          </w:p>
        </w:tc>
        <w:tc>
          <w:tcPr/>
          <w:p>
            <w:pPr>
              <w:pStyle w:val="Compact"/>
              <w:jc w:val="right"/>
            </w:pPr>
            <w:r>
              <w:t xml:space="preserve">-0.0621816</w:t>
            </w:r>
          </w:p>
        </w:tc>
        <w:tc>
          <w:tcPr/>
          <w:p>
            <w:pPr>
              <w:pStyle w:val="Compact"/>
              <w:jc w:val="right"/>
            </w:pPr>
            <w:r>
              <w:t xml:space="preserve">-0.1442909</w:t>
            </w:r>
          </w:p>
        </w:tc>
        <w:tc>
          <w:tcPr/>
          <w:p>
            <w:pPr>
              <w:pStyle w:val="Compact"/>
              <w:jc w:val="right"/>
            </w:pPr>
            <w:r>
              <w:t xml:space="preserve">0.0199278</w:t>
            </w:r>
          </w:p>
        </w:tc>
        <w:tc>
          <w:tcPr/>
          <w:p>
            <w:pPr>
              <w:pStyle w:val="Compact"/>
              <w:jc w:val="right"/>
            </w:pPr>
            <w:r>
              <w:t xml:space="preserve">-1.4874428</w:t>
            </w:r>
          </w:p>
        </w:tc>
        <w:tc>
          <w:tcPr/>
          <w:p>
            <w:pPr>
              <w:pStyle w:val="Compact"/>
              <w:jc w:val="right"/>
            </w:pPr>
            <w:r>
              <w:t xml:space="preserve">570</w:t>
            </w:r>
          </w:p>
        </w:tc>
        <w:tc>
          <w:tcPr/>
          <w:p>
            <w:pPr>
              <w:pStyle w:val="Compact"/>
              <w:jc w:val="right"/>
            </w:pPr>
            <w:r>
              <w:t xml:space="preserve">0.1374509</w:t>
            </w:r>
          </w:p>
        </w:tc>
      </w:tr>
      <w:tr>
        <w:tc>
          <w:tcPr/>
          <w:p>
            <w:pPr>
              <w:pStyle w:val="Compact"/>
              <w:jc w:val="left"/>
            </w:pPr>
            <w:r>
              <w:t xml:space="preserve">9</w:t>
            </w:r>
          </w:p>
        </w:tc>
        <w:tc>
          <w:tcPr/>
          <w:p>
            <w:pPr>
              <w:pStyle w:val="Compact"/>
              <w:jc w:val="left"/>
            </w:pPr>
            <w:r>
              <w:t xml:space="preserve">activityGroupTransferProp</w:t>
            </w:r>
          </w:p>
        </w:tc>
        <w:tc>
          <w:tcPr/>
          <w:p>
            <w:pPr>
              <w:pStyle w:val="Compact"/>
              <w:jc w:val="right"/>
            </w:pPr>
            <w:r>
              <w:t xml:space="preserve">-0.0616475</w:t>
            </w:r>
          </w:p>
        </w:tc>
        <w:tc>
          <w:tcPr/>
          <w:p>
            <w:pPr>
              <w:pStyle w:val="Compact"/>
              <w:jc w:val="right"/>
            </w:pPr>
            <w:r>
              <w:t xml:space="preserve">-0.1437596</w:t>
            </w:r>
          </w:p>
        </w:tc>
        <w:tc>
          <w:tcPr/>
          <w:p>
            <w:pPr>
              <w:pStyle w:val="Compact"/>
              <w:jc w:val="right"/>
            </w:pPr>
            <w:r>
              <w:t xml:space="preserve">0.0204646</w:t>
            </w:r>
          </w:p>
        </w:tc>
        <w:tc>
          <w:tcPr/>
          <w:p>
            <w:pPr>
              <w:pStyle w:val="Compact"/>
              <w:jc w:val="right"/>
            </w:pPr>
            <w:r>
              <w:t xml:space="preserve">-1.4746188</w:t>
            </w:r>
          </w:p>
        </w:tc>
        <w:tc>
          <w:tcPr/>
          <w:p>
            <w:pPr>
              <w:pStyle w:val="Compact"/>
              <w:jc w:val="right"/>
            </w:pPr>
            <w:r>
              <w:t xml:space="preserve">570</w:t>
            </w:r>
          </w:p>
        </w:tc>
        <w:tc>
          <w:tcPr/>
          <w:p>
            <w:pPr>
              <w:pStyle w:val="Compact"/>
              <w:jc w:val="right"/>
            </w:pPr>
            <w:r>
              <w:t xml:space="preserve">0.1408671</w:t>
            </w:r>
          </w:p>
        </w:tc>
      </w:tr>
      <w:tr>
        <w:tc>
          <w:tcPr/>
          <w:p>
            <w:pPr>
              <w:pStyle w:val="Compact"/>
              <w:jc w:val="left"/>
            </w:pPr>
            <w:r>
              <w:t xml:space="preserve">21</w:t>
            </w:r>
          </w:p>
        </w:tc>
        <w:tc>
          <w:tcPr/>
          <w:p>
            <w:pPr>
              <w:pStyle w:val="Compact"/>
              <w:jc w:val="left"/>
            </w:pPr>
            <w:r>
              <w:t xml:space="preserve">DrugATreatmentCost</w:t>
            </w:r>
          </w:p>
        </w:tc>
        <w:tc>
          <w:tcPr/>
          <w:p>
            <w:pPr>
              <w:pStyle w:val="Compact"/>
              <w:jc w:val="right"/>
            </w:pPr>
            <w:r>
              <w:t xml:space="preserve">-0.0591692</w:t>
            </w:r>
          </w:p>
        </w:tc>
        <w:tc>
          <w:tcPr/>
          <w:p>
            <w:pPr>
              <w:pStyle w:val="Compact"/>
              <w:jc w:val="right"/>
            </w:pPr>
            <w:r>
              <w:t xml:space="preserve">-0.1412936</w:t>
            </w:r>
          </w:p>
        </w:tc>
        <w:tc>
          <w:tcPr/>
          <w:p>
            <w:pPr>
              <w:pStyle w:val="Compact"/>
              <w:jc w:val="right"/>
            </w:pPr>
            <w:r>
              <w:t xml:space="preserve">0.0229552</w:t>
            </w:r>
          </w:p>
        </w:tc>
        <w:tc>
          <w:tcPr/>
          <w:p>
            <w:pPr>
              <w:pStyle w:val="Compact"/>
              <w:jc w:val="right"/>
            </w:pPr>
            <w:r>
              <w:t xml:space="preserve">-1.4151255</w:t>
            </w:r>
          </w:p>
        </w:tc>
        <w:tc>
          <w:tcPr/>
          <w:p>
            <w:pPr>
              <w:pStyle w:val="Compact"/>
              <w:jc w:val="right"/>
            </w:pPr>
            <w:r>
              <w:t xml:space="preserve">570</w:t>
            </w:r>
          </w:p>
        </w:tc>
        <w:tc>
          <w:tcPr/>
          <w:p>
            <w:pPr>
              <w:pStyle w:val="Compact"/>
              <w:jc w:val="right"/>
            </w:pPr>
            <w:r>
              <w:t xml:space="preserve">0.1575778</w:t>
            </w:r>
          </w:p>
        </w:tc>
      </w:tr>
      <w:tr>
        <w:tc>
          <w:tcPr/>
          <w:p>
            <w:pPr>
              <w:pStyle w:val="Compact"/>
              <w:jc w:val="left"/>
            </w:pPr>
            <w:r>
              <w:t xml:space="preserve">6</w:t>
            </w:r>
          </w:p>
        </w:tc>
        <w:tc>
          <w:tcPr/>
          <w:p>
            <w:pPr>
              <w:pStyle w:val="Compact"/>
              <w:jc w:val="left"/>
            </w:pPr>
            <w:r>
              <w:t xml:space="preserve">DelayToSeekCareMSM</w:t>
            </w:r>
          </w:p>
        </w:tc>
        <w:tc>
          <w:tcPr/>
          <w:p>
            <w:pPr>
              <w:pStyle w:val="Compact"/>
              <w:jc w:val="right"/>
            </w:pPr>
            <w:r>
              <w:t xml:space="preserve">0.0589416</w:t>
            </w:r>
          </w:p>
        </w:tc>
        <w:tc>
          <w:tcPr/>
          <w:p>
            <w:pPr>
              <w:pStyle w:val="Compact"/>
              <w:jc w:val="right"/>
            </w:pPr>
            <w:r>
              <w:t xml:space="preserve">-0.0231839</w:t>
            </w:r>
          </w:p>
        </w:tc>
        <w:tc>
          <w:tcPr/>
          <w:p>
            <w:pPr>
              <w:pStyle w:val="Compact"/>
              <w:jc w:val="right"/>
            </w:pPr>
            <w:r>
              <w:t xml:space="preserve">0.1410672</w:t>
            </w:r>
          </w:p>
        </w:tc>
        <w:tc>
          <w:tcPr/>
          <w:p>
            <w:pPr>
              <w:pStyle w:val="Compact"/>
              <w:jc w:val="right"/>
            </w:pPr>
            <w:r>
              <w:t xml:space="preserve">1.4096631</w:t>
            </w:r>
          </w:p>
        </w:tc>
        <w:tc>
          <w:tcPr/>
          <w:p>
            <w:pPr>
              <w:pStyle w:val="Compact"/>
              <w:jc w:val="right"/>
            </w:pPr>
            <w:r>
              <w:t xml:space="preserve">570</w:t>
            </w:r>
          </w:p>
        </w:tc>
        <w:tc>
          <w:tcPr/>
          <w:p>
            <w:pPr>
              <w:pStyle w:val="Compact"/>
              <w:jc w:val="right"/>
            </w:pPr>
            <w:r>
              <w:t xml:space="preserve">0.1591846</w:t>
            </w:r>
          </w:p>
        </w:tc>
      </w:tr>
      <w:tr>
        <w:tc>
          <w:tcPr/>
          <w:p>
            <w:pPr>
              <w:pStyle w:val="Compact"/>
              <w:jc w:val="left"/>
            </w:pPr>
            <w:r>
              <w:t xml:space="preserve">17</w:t>
            </w:r>
          </w:p>
        </w:tc>
        <w:tc>
          <w:tcPr/>
          <w:p>
            <w:pPr>
              <w:pStyle w:val="Compact"/>
              <w:jc w:val="left"/>
            </w:pPr>
            <w:r>
              <w:t xml:space="preserve">DSTspecificity</w:t>
            </w:r>
          </w:p>
        </w:tc>
        <w:tc>
          <w:tcPr/>
          <w:p>
            <w:pPr>
              <w:pStyle w:val="Compact"/>
              <w:jc w:val="right"/>
            </w:pPr>
            <w:r>
              <w:t xml:space="preserve">-0.0557577</w:t>
            </w:r>
          </w:p>
        </w:tc>
        <w:tc>
          <w:tcPr/>
          <w:p>
            <w:pPr>
              <w:pStyle w:val="Compact"/>
              <w:jc w:val="right"/>
            </w:pPr>
            <w:r>
              <w:t xml:space="preserve">-0.1378983</w:t>
            </w:r>
          </w:p>
        </w:tc>
        <w:tc>
          <w:tcPr/>
          <w:p>
            <w:pPr>
              <w:pStyle w:val="Compact"/>
              <w:jc w:val="right"/>
            </w:pPr>
            <w:r>
              <w:t xml:space="preserve">0.0263829</w:t>
            </w:r>
          </w:p>
        </w:tc>
        <w:tc>
          <w:tcPr/>
          <w:p>
            <w:pPr>
              <w:pStyle w:val="Compact"/>
              <w:jc w:val="right"/>
            </w:pPr>
            <w:r>
              <w:t xml:space="preserve">-1.3332712</w:t>
            </w:r>
          </w:p>
        </w:tc>
        <w:tc>
          <w:tcPr/>
          <w:p>
            <w:pPr>
              <w:pStyle w:val="Compact"/>
              <w:jc w:val="right"/>
            </w:pPr>
            <w:r>
              <w:t xml:space="preserve">570</w:t>
            </w:r>
          </w:p>
        </w:tc>
        <w:tc>
          <w:tcPr/>
          <w:p>
            <w:pPr>
              <w:pStyle w:val="Compact"/>
              <w:jc w:val="right"/>
            </w:pPr>
            <w:r>
              <w:t xml:space="preserve">0.1829754</w:t>
            </w:r>
          </w:p>
        </w:tc>
      </w:tr>
      <w:tr>
        <w:tc>
          <w:tcPr/>
          <w:p>
            <w:pPr>
              <w:pStyle w:val="Compact"/>
              <w:jc w:val="left"/>
            </w:pPr>
            <w:r>
              <w:t xml:space="preserve">15</w:t>
            </w:r>
          </w:p>
        </w:tc>
        <w:tc>
          <w:tcPr/>
          <w:p>
            <w:pPr>
              <w:pStyle w:val="Compact"/>
              <w:jc w:val="left"/>
            </w:pPr>
            <w:r>
              <w:t xml:space="preserve">ProbDevelopResistanceBExponent</w:t>
            </w:r>
          </w:p>
        </w:tc>
        <w:tc>
          <w:tcPr/>
          <w:p>
            <w:pPr>
              <w:pStyle w:val="Compact"/>
              <w:jc w:val="right"/>
            </w:pPr>
            <w:r>
              <w:t xml:space="preserve">-0.0470475</w:t>
            </w:r>
          </w:p>
        </w:tc>
        <w:tc>
          <w:tcPr/>
          <w:p>
            <w:pPr>
              <w:pStyle w:val="Compact"/>
              <w:jc w:val="right"/>
            </w:pPr>
            <w:r>
              <w:t xml:space="preserve">-0.1292249</w:t>
            </w:r>
          </w:p>
        </w:tc>
        <w:tc>
          <w:tcPr/>
          <w:p>
            <w:pPr>
              <w:pStyle w:val="Compact"/>
              <w:jc w:val="right"/>
            </w:pPr>
            <w:r>
              <w:t xml:space="preserve">0.0351300</w:t>
            </w:r>
          </w:p>
        </w:tc>
        <w:tc>
          <w:tcPr/>
          <w:p>
            <w:pPr>
              <w:pStyle w:val="Compact"/>
              <w:jc w:val="right"/>
            </w:pPr>
            <w:r>
              <w:t xml:space="preserve">-1.1244887</w:t>
            </w:r>
          </w:p>
        </w:tc>
        <w:tc>
          <w:tcPr/>
          <w:p>
            <w:pPr>
              <w:pStyle w:val="Compact"/>
              <w:jc w:val="right"/>
            </w:pPr>
            <w:r>
              <w:t xml:space="preserve">570</w:t>
            </w:r>
          </w:p>
        </w:tc>
        <w:tc>
          <w:tcPr/>
          <w:p>
            <w:pPr>
              <w:pStyle w:val="Compact"/>
              <w:jc w:val="right"/>
            </w:pPr>
            <w:r>
              <w:t xml:space="preserve">0.2612791</w:t>
            </w:r>
          </w:p>
        </w:tc>
      </w:tr>
      <w:tr>
        <w:tc>
          <w:tcPr/>
          <w:p>
            <w:pPr>
              <w:pStyle w:val="Compact"/>
              <w:jc w:val="left"/>
            </w:pPr>
            <w:r>
              <w:t xml:space="preserve">24</w:t>
            </w:r>
          </w:p>
        </w:tc>
        <w:tc>
          <w:tcPr/>
          <w:p>
            <w:pPr>
              <w:pStyle w:val="Compact"/>
              <w:jc w:val="left"/>
            </w:pPr>
            <w:r>
              <w:t xml:space="preserve">DrugETreatmentCost</w:t>
            </w:r>
          </w:p>
        </w:tc>
        <w:tc>
          <w:tcPr/>
          <w:p>
            <w:pPr>
              <w:pStyle w:val="Compact"/>
              <w:jc w:val="right"/>
            </w:pPr>
            <w:r>
              <w:t xml:space="preserve">-0.0469512</w:t>
            </w:r>
          </w:p>
        </w:tc>
        <w:tc>
          <w:tcPr/>
          <w:p>
            <w:pPr>
              <w:pStyle w:val="Compact"/>
              <w:jc w:val="right"/>
            </w:pPr>
            <w:r>
              <w:t xml:space="preserve">-0.1291290</w:t>
            </w:r>
          </w:p>
        </w:tc>
        <w:tc>
          <w:tcPr/>
          <w:p>
            <w:pPr>
              <w:pStyle w:val="Compact"/>
              <w:jc w:val="right"/>
            </w:pPr>
            <w:r>
              <w:t xml:space="preserve">0.0352266</w:t>
            </w:r>
          </w:p>
        </w:tc>
        <w:tc>
          <w:tcPr/>
          <w:p>
            <w:pPr>
              <w:pStyle w:val="Compact"/>
              <w:jc w:val="right"/>
            </w:pPr>
            <w:r>
              <w:t xml:space="preserve">-1.1221819</w:t>
            </w:r>
          </w:p>
        </w:tc>
        <w:tc>
          <w:tcPr/>
          <w:p>
            <w:pPr>
              <w:pStyle w:val="Compact"/>
              <w:jc w:val="right"/>
            </w:pPr>
            <w:r>
              <w:t xml:space="preserve">570</w:t>
            </w:r>
          </w:p>
        </w:tc>
        <w:tc>
          <w:tcPr/>
          <w:p>
            <w:pPr>
              <w:pStyle w:val="Compact"/>
              <w:jc w:val="right"/>
            </w:pPr>
            <w:r>
              <w:t xml:space="preserve">0.2622576</w:t>
            </w:r>
          </w:p>
        </w:tc>
      </w:tr>
      <w:tr>
        <w:tc>
          <w:tcPr/>
          <w:p>
            <w:pPr>
              <w:pStyle w:val="Compact"/>
              <w:jc w:val="left"/>
            </w:pPr>
            <w:r>
              <w:t xml:space="preserve">23</w:t>
            </w:r>
          </w:p>
        </w:tc>
        <w:tc>
          <w:tcPr/>
          <w:p>
            <w:pPr>
              <w:pStyle w:val="Compact"/>
              <w:jc w:val="left"/>
            </w:pPr>
            <w:r>
              <w:t xml:space="preserve">DrugXTreatmentCost</w:t>
            </w:r>
          </w:p>
        </w:tc>
        <w:tc>
          <w:tcPr/>
          <w:p>
            <w:pPr>
              <w:pStyle w:val="Compact"/>
              <w:jc w:val="right"/>
            </w:pPr>
            <w:r>
              <w:t xml:space="preserve">-0.0139949</w:t>
            </w:r>
          </w:p>
        </w:tc>
        <w:tc>
          <w:tcPr/>
          <w:p>
            <w:pPr>
              <w:pStyle w:val="Compact"/>
              <w:jc w:val="right"/>
            </w:pPr>
            <w:r>
              <w:t xml:space="preserve">-0.0962554</w:t>
            </w:r>
          </w:p>
        </w:tc>
        <w:tc>
          <w:tcPr/>
          <w:p>
            <w:pPr>
              <w:pStyle w:val="Compact"/>
              <w:jc w:val="right"/>
            </w:pPr>
            <w:r>
              <w:t xml:space="preserve">0.0682656</w:t>
            </w:r>
          </w:p>
        </w:tc>
        <w:tc>
          <w:tcPr/>
          <w:p>
            <w:pPr>
              <w:pStyle w:val="Compact"/>
              <w:jc w:val="right"/>
            </w:pPr>
            <w:r>
              <w:t xml:space="preserve">-0.3341563</w:t>
            </w:r>
          </w:p>
        </w:tc>
        <w:tc>
          <w:tcPr/>
          <w:p>
            <w:pPr>
              <w:pStyle w:val="Compact"/>
              <w:jc w:val="right"/>
            </w:pPr>
            <w:r>
              <w:t xml:space="preserve">570</w:t>
            </w:r>
          </w:p>
        </w:tc>
        <w:tc>
          <w:tcPr/>
          <w:p>
            <w:pPr>
              <w:pStyle w:val="Compact"/>
              <w:jc w:val="right"/>
            </w:pPr>
            <w:r>
              <w:t xml:space="preserve">0.7383845</w:t>
            </w:r>
          </w:p>
        </w:tc>
      </w:tr>
      <w:tr>
        <w:tc>
          <w:tcPr/>
          <w:p>
            <w:pPr>
              <w:pStyle w:val="Compact"/>
              <w:jc w:val="left"/>
            </w:pPr>
            <w:r>
              <w:t xml:space="preserve">19</w:t>
            </w:r>
          </w:p>
        </w:tc>
        <w:tc>
          <w:tcPr/>
          <w:p>
            <w:pPr>
              <w:pStyle w:val="Compact"/>
              <w:jc w:val="left"/>
            </w:pPr>
            <w:r>
              <w:t xml:space="preserve">TestCost</w:t>
            </w:r>
          </w:p>
        </w:tc>
        <w:tc>
          <w:tcPr/>
          <w:p>
            <w:pPr>
              <w:pStyle w:val="Compact"/>
              <w:jc w:val="right"/>
            </w:pPr>
            <w:r>
              <w:t xml:space="preserve">0.0054775</w:t>
            </w:r>
          </w:p>
        </w:tc>
        <w:tc>
          <w:tcPr/>
          <w:p>
            <w:pPr>
              <w:pStyle w:val="Compact"/>
              <w:jc w:val="right"/>
            </w:pPr>
            <w:r>
              <w:t xml:space="preserve">-0.0767899</w:t>
            </w:r>
          </w:p>
        </w:tc>
        <w:tc>
          <w:tcPr/>
          <w:p>
            <w:pPr>
              <w:pStyle w:val="Compact"/>
              <w:jc w:val="right"/>
            </w:pPr>
            <w:r>
              <w:t xml:space="preserve">0.0877448</w:t>
            </w:r>
          </w:p>
        </w:tc>
        <w:tc>
          <w:tcPr/>
          <w:p>
            <w:pPr>
              <w:pStyle w:val="Compact"/>
              <w:jc w:val="right"/>
            </w:pPr>
            <w:r>
              <w:t xml:space="preserve">0.1307744</w:t>
            </w:r>
          </w:p>
        </w:tc>
        <w:tc>
          <w:tcPr/>
          <w:p>
            <w:pPr>
              <w:pStyle w:val="Compact"/>
              <w:jc w:val="right"/>
            </w:pPr>
            <w:r>
              <w:t xml:space="preserve">570</w:t>
            </w:r>
          </w:p>
        </w:tc>
        <w:tc>
          <w:tcPr/>
          <w:p>
            <w:pPr>
              <w:pStyle w:val="Compact"/>
              <w:jc w:val="right"/>
            </w:pPr>
            <w:r>
              <w:t xml:space="preserve">0.8959999</w:t>
            </w:r>
          </w:p>
        </w:tc>
      </w:tr>
      <w:tr>
        <w:tc>
          <w:tcPr/>
          <w:p>
            <w:pPr>
              <w:pStyle w:val="Compact"/>
              <w:jc w:val="left"/>
            </w:pPr>
            <w:r>
              <w:t xml:space="preserve">22</w:t>
            </w:r>
          </w:p>
        </w:tc>
        <w:tc>
          <w:tcPr/>
          <w:p>
            <w:pPr>
              <w:pStyle w:val="Compact"/>
              <w:jc w:val="left"/>
            </w:pPr>
            <w:r>
              <w:t xml:space="preserve">DrugBTreatmentCost</w:t>
            </w:r>
          </w:p>
        </w:tc>
        <w:tc>
          <w:tcPr/>
          <w:p>
            <w:pPr>
              <w:pStyle w:val="Compact"/>
              <w:jc w:val="right"/>
            </w:pPr>
            <w:r>
              <w:t xml:space="preserve">0.0019779</w:t>
            </w:r>
          </w:p>
        </w:tc>
        <w:tc>
          <w:tcPr/>
          <w:p>
            <w:pPr>
              <w:pStyle w:val="Compact"/>
              <w:jc w:val="right"/>
            </w:pPr>
            <w:r>
              <w:t xml:space="preserve">-0.0802904</w:t>
            </w:r>
          </w:p>
        </w:tc>
        <w:tc>
          <w:tcPr/>
          <w:p>
            <w:pPr>
              <w:pStyle w:val="Compact"/>
              <w:jc w:val="right"/>
            </w:pPr>
            <w:r>
              <w:t xml:space="preserve">0.0842463</w:t>
            </w:r>
          </w:p>
        </w:tc>
        <w:tc>
          <w:tcPr/>
          <w:p>
            <w:pPr>
              <w:pStyle w:val="Compact"/>
              <w:jc w:val="right"/>
            </w:pPr>
            <w:r>
              <w:t xml:space="preserve">0.0472228</w:t>
            </w:r>
          </w:p>
        </w:tc>
        <w:tc>
          <w:tcPr/>
          <w:p>
            <w:pPr>
              <w:pStyle w:val="Compact"/>
              <w:jc w:val="right"/>
            </w:pPr>
            <w:r>
              <w:t xml:space="preserve">570</w:t>
            </w:r>
          </w:p>
        </w:tc>
        <w:tc>
          <w:tcPr/>
          <w:p>
            <w:pPr>
              <w:pStyle w:val="Compact"/>
              <w:jc w:val="right"/>
            </w:pPr>
            <w:r>
              <w:t xml:space="preserve">0.9623522</w:t>
            </w:r>
          </w:p>
        </w:tc>
      </w:tr>
    </w:tbl>
    <w:p/>
    <w:p>
      <w:pPr>
        <w:pStyle w:val="TableCaption"/>
      </w:pPr>
      <w:r>
        <w:t xml:space="preserve">Symptomatic Proportion PRCC</w:t>
      </w:r>
    </w:p>
    <w:tbl>
      <w:tblPr>
        <w:tblStyle w:val="Table"/>
        <w:tblW w:type="pct" w:w="5000"/>
        <w:tblLayout w:type="fixed"/>
        <w:tblLook w:firstRow="1" w:lastRow="0" w:firstColumn="0" w:lastColumn="0" w:noHBand="0" w:noVBand="0" w:val="0020"/>
        <w:tblCaption w:val="Symptomatic Proportion PRCC"/>
      </w:tblPr>
      <w:tblGrid>
        <w:gridCol w:w="247"/>
        <w:gridCol w:w="2557"/>
        <w:gridCol w:w="907"/>
        <w:gridCol w:w="907"/>
        <w:gridCol w:w="907"/>
        <w:gridCol w:w="1237"/>
        <w:gridCol w:w="330"/>
        <w:gridCol w:w="825"/>
      </w:tblGrid>
      <w:tr>
        <w:trPr>
          <w:tblHeader w:val="on"/>
        </w:trPr>
        <w:tc>
          <w:tcPr/>
          <w:p>
            <w:pPr>
              <w:pStyle w:val="Compact"/>
            </w:pPr>
          </w:p>
        </w:tc>
        <w:tc>
          <w:tcPr/>
          <w:p>
            <w:pPr>
              <w:pStyle w:val="Compact"/>
              <w:jc w:val="left"/>
            </w:pPr>
            <w:r>
              <w:t xml:space="preserve">var</w:t>
            </w:r>
          </w:p>
        </w:tc>
        <w:tc>
          <w:tcPr/>
          <w:p>
            <w:pPr>
              <w:pStyle w:val="Compact"/>
              <w:jc w:val="right"/>
            </w:pPr>
            <w:r>
              <w:t xml:space="preserve">est</w:t>
            </w:r>
          </w:p>
        </w:tc>
        <w:tc>
          <w:tcPr/>
          <w:p>
            <w:pPr>
              <w:pStyle w:val="Compact"/>
              <w:jc w:val="right"/>
            </w:pPr>
            <w:r>
              <w:t xml:space="preserve">lower</w:t>
            </w:r>
          </w:p>
        </w:tc>
        <w:tc>
          <w:tcPr/>
          <w:p>
            <w:pPr>
              <w:pStyle w:val="Compact"/>
              <w:jc w:val="right"/>
            </w:pPr>
            <w:r>
              <w:t xml:space="preserve">upper</w:t>
            </w:r>
          </w:p>
        </w:tc>
        <w:tc>
          <w:tcPr/>
          <w:p>
            <w:pPr>
              <w:pStyle w:val="Compact"/>
              <w:jc w:val="right"/>
            </w:pPr>
            <w:r>
              <w:t xml:space="preserve">test.statistic</w:t>
            </w:r>
          </w:p>
        </w:tc>
        <w:tc>
          <w:tcPr/>
          <w:p>
            <w:pPr>
              <w:pStyle w:val="Compact"/>
              <w:jc w:val="right"/>
            </w:pPr>
            <w:r>
              <w:t xml:space="preserve">df</w:t>
            </w:r>
          </w:p>
        </w:tc>
        <w:tc>
          <w:tcPr/>
          <w:p>
            <w:pPr>
              <w:pStyle w:val="Compact"/>
              <w:jc w:val="right"/>
            </w:pPr>
            <w:r>
              <w:t xml:space="preserve">p.value</w:t>
            </w:r>
          </w:p>
        </w:tc>
      </w:tr>
      <w:tr>
        <w:tc>
          <w:tcPr/>
          <w:p>
            <w:pPr>
              <w:pStyle w:val="Compact"/>
              <w:jc w:val="left"/>
            </w:pPr>
            <w:r>
              <w:t xml:space="preserve">4</w:t>
            </w:r>
          </w:p>
        </w:tc>
        <w:tc>
          <w:tcPr/>
          <w:p>
            <w:pPr>
              <w:pStyle w:val="Compact"/>
              <w:jc w:val="left"/>
            </w:pPr>
            <w:r>
              <w:t xml:space="preserve">ProbSymptomaticMSM</w:t>
            </w:r>
          </w:p>
        </w:tc>
        <w:tc>
          <w:tcPr/>
          <w:p>
            <w:pPr>
              <w:pStyle w:val="Compact"/>
              <w:jc w:val="right"/>
            </w:pPr>
            <w:r>
              <w:t xml:space="preserve">0.7811887</w:t>
            </w:r>
          </w:p>
        </w:tc>
        <w:tc>
          <w:tcPr/>
          <w:p>
            <w:pPr>
              <w:pStyle w:val="Compact"/>
              <w:jc w:val="right"/>
            </w:pPr>
            <w:r>
              <w:t xml:space="preserve">0.7298288</w:t>
            </w:r>
          </w:p>
        </w:tc>
        <w:tc>
          <w:tcPr/>
          <w:p>
            <w:pPr>
              <w:pStyle w:val="Compact"/>
              <w:jc w:val="right"/>
            </w:pPr>
            <w:r>
              <w:t xml:space="preserve">0.8325485</w:t>
            </w:r>
          </w:p>
        </w:tc>
        <w:tc>
          <w:tcPr/>
          <w:p>
            <w:pPr>
              <w:pStyle w:val="Compact"/>
              <w:jc w:val="right"/>
            </w:pPr>
            <w:r>
              <w:t xml:space="preserve">29.8746953</w:t>
            </w:r>
          </w:p>
        </w:tc>
        <w:tc>
          <w:tcPr/>
          <w:p>
            <w:pPr>
              <w:pStyle w:val="Compact"/>
              <w:jc w:val="right"/>
            </w:pPr>
            <w:r>
              <w:t xml:space="preserve">570</w:t>
            </w:r>
          </w:p>
        </w:tc>
        <w:tc>
          <w:tcPr/>
          <w:p>
            <w:pPr>
              <w:pStyle w:val="Compact"/>
              <w:jc w:val="right"/>
            </w:pPr>
            <w:r>
              <w:t xml:space="preserve">0.0000000</w:t>
            </w:r>
          </w:p>
        </w:tc>
      </w:tr>
      <w:tr>
        <w:tc>
          <w:tcPr/>
          <w:p>
            <w:pPr>
              <w:pStyle w:val="Compact"/>
              <w:jc w:val="left"/>
            </w:pPr>
            <w:r>
              <w:t xml:space="preserve">7</w:t>
            </w:r>
          </w:p>
        </w:tc>
        <w:tc>
          <w:tcPr/>
          <w:p>
            <w:pPr>
              <w:pStyle w:val="Compact"/>
              <w:jc w:val="left"/>
            </w:pPr>
            <w:r>
              <w:t xml:space="preserve">DelayToRetreatmentMSM</w:t>
            </w:r>
          </w:p>
        </w:tc>
        <w:tc>
          <w:tcPr/>
          <w:p>
            <w:pPr>
              <w:pStyle w:val="Compact"/>
              <w:jc w:val="right"/>
            </w:pPr>
            <w:r>
              <w:t xml:space="preserve">0.3266165</w:t>
            </w:r>
          </w:p>
        </w:tc>
        <w:tc>
          <w:tcPr/>
          <w:p>
            <w:pPr>
              <w:pStyle w:val="Compact"/>
              <w:jc w:val="right"/>
            </w:pPr>
            <w:r>
              <w:t xml:space="preserve">0.2488598</w:t>
            </w:r>
          </w:p>
        </w:tc>
        <w:tc>
          <w:tcPr/>
          <w:p>
            <w:pPr>
              <w:pStyle w:val="Compact"/>
              <w:jc w:val="right"/>
            </w:pPr>
            <w:r>
              <w:t xml:space="preserve">0.4043732</w:t>
            </w:r>
          </w:p>
        </w:tc>
        <w:tc>
          <w:tcPr/>
          <w:p>
            <w:pPr>
              <w:pStyle w:val="Compact"/>
              <w:jc w:val="right"/>
            </w:pPr>
            <w:r>
              <w:t xml:space="preserve">8.2503361</w:t>
            </w:r>
          </w:p>
        </w:tc>
        <w:tc>
          <w:tcPr/>
          <w:p>
            <w:pPr>
              <w:pStyle w:val="Compact"/>
              <w:jc w:val="right"/>
            </w:pPr>
            <w:r>
              <w:t xml:space="preserve">570</w:t>
            </w:r>
          </w:p>
        </w:tc>
        <w:tc>
          <w:tcPr/>
          <w:p>
            <w:pPr>
              <w:pStyle w:val="Compact"/>
              <w:jc w:val="right"/>
            </w:pPr>
            <w:r>
              <w:t xml:space="preserve">0.0000000</w:t>
            </w:r>
          </w:p>
        </w:tc>
      </w:tr>
      <w:tr>
        <w:tc>
          <w:tcPr/>
          <w:p>
            <w:pPr>
              <w:pStyle w:val="Compact"/>
              <w:jc w:val="left"/>
            </w:pPr>
            <w:r>
              <w:t xml:space="preserve">6</w:t>
            </w:r>
          </w:p>
        </w:tc>
        <w:tc>
          <w:tcPr/>
          <w:p>
            <w:pPr>
              <w:pStyle w:val="Compact"/>
              <w:jc w:val="left"/>
            </w:pPr>
            <w:r>
              <w:t xml:space="preserve">DelayToSeekCareMSM</w:t>
            </w:r>
          </w:p>
        </w:tc>
        <w:tc>
          <w:tcPr/>
          <w:p>
            <w:pPr>
              <w:pStyle w:val="Compact"/>
              <w:jc w:val="right"/>
            </w:pPr>
            <w:r>
              <w:t xml:space="preserve">0.3124208</w:t>
            </w:r>
          </w:p>
        </w:tc>
        <w:tc>
          <w:tcPr/>
          <w:p>
            <w:pPr>
              <w:pStyle w:val="Compact"/>
              <w:jc w:val="right"/>
            </w:pPr>
            <w:r>
              <w:t xml:space="preserve">0.2342703</w:t>
            </w:r>
          </w:p>
        </w:tc>
        <w:tc>
          <w:tcPr/>
          <w:p>
            <w:pPr>
              <w:pStyle w:val="Compact"/>
              <w:jc w:val="right"/>
            </w:pPr>
            <w:r>
              <w:t xml:space="preserve">0.3905713</w:t>
            </w:r>
          </w:p>
        </w:tc>
        <w:tc>
          <w:tcPr/>
          <w:p>
            <w:pPr>
              <w:pStyle w:val="Compact"/>
              <w:jc w:val="right"/>
            </w:pPr>
            <w:r>
              <w:t xml:space="preserve">7.8519850</w:t>
            </w:r>
          </w:p>
        </w:tc>
        <w:tc>
          <w:tcPr/>
          <w:p>
            <w:pPr>
              <w:pStyle w:val="Compact"/>
              <w:jc w:val="right"/>
            </w:pPr>
            <w:r>
              <w:t xml:space="preserve">570</w:t>
            </w:r>
          </w:p>
        </w:tc>
        <w:tc>
          <w:tcPr/>
          <w:p>
            <w:pPr>
              <w:pStyle w:val="Compact"/>
              <w:jc w:val="right"/>
            </w:pPr>
            <w:r>
              <w:t xml:space="preserve">0.0000000</w:t>
            </w:r>
          </w:p>
        </w:tc>
      </w:tr>
      <w:tr>
        <w:tc>
          <w:tcPr/>
          <w:p>
            <w:pPr>
              <w:pStyle w:val="Compact"/>
              <w:jc w:val="left"/>
            </w:pPr>
            <w:r>
              <w:t xml:space="preserve">11</w:t>
            </w:r>
          </w:p>
        </w:tc>
        <w:tc>
          <w:tcPr/>
          <w:p>
            <w:pPr>
              <w:pStyle w:val="Compact"/>
              <w:jc w:val="left"/>
            </w:pPr>
            <w:r>
              <w:t xml:space="preserve">PercentResistantA</w:t>
            </w:r>
          </w:p>
        </w:tc>
        <w:tc>
          <w:tcPr/>
          <w:p>
            <w:pPr>
              <w:pStyle w:val="Compact"/>
              <w:jc w:val="right"/>
            </w:pPr>
            <w:r>
              <w:t xml:space="preserve">0.1905308</w:t>
            </w:r>
          </w:p>
        </w:tc>
        <w:tc>
          <w:tcPr/>
          <w:p>
            <w:pPr>
              <w:pStyle w:val="Compact"/>
              <w:jc w:val="right"/>
            </w:pPr>
            <w:r>
              <w:t xml:space="preserve">0.1097694</w:t>
            </w:r>
          </w:p>
        </w:tc>
        <w:tc>
          <w:tcPr/>
          <w:p>
            <w:pPr>
              <w:pStyle w:val="Compact"/>
              <w:jc w:val="right"/>
            </w:pPr>
            <w:r>
              <w:t xml:space="preserve">0.2712923</w:t>
            </w:r>
          </w:p>
        </w:tc>
        <w:tc>
          <w:tcPr/>
          <w:p>
            <w:pPr>
              <w:pStyle w:val="Compact"/>
              <w:jc w:val="right"/>
            </w:pPr>
            <w:r>
              <w:t xml:space="preserve">4.6337461</w:t>
            </w:r>
          </w:p>
        </w:tc>
        <w:tc>
          <w:tcPr/>
          <w:p>
            <w:pPr>
              <w:pStyle w:val="Compact"/>
              <w:jc w:val="right"/>
            </w:pPr>
            <w:r>
              <w:t xml:space="preserve">570</w:t>
            </w:r>
          </w:p>
        </w:tc>
        <w:tc>
          <w:tcPr/>
          <w:p>
            <w:pPr>
              <w:pStyle w:val="Compact"/>
              <w:jc w:val="right"/>
            </w:pPr>
            <w:r>
              <w:t xml:space="preserve">0.0000045</w:t>
            </w:r>
          </w:p>
        </w:tc>
      </w:tr>
      <w:tr>
        <w:tc>
          <w:tcPr/>
          <w:p>
            <w:pPr>
              <w:pStyle w:val="Compact"/>
              <w:jc w:val="left"/>
            </w:pPr>
            <w:r>
              <w:t xml:space="preserve">3</w:t>
            </w:r>
          </w:p>
        </w:tc>
        <w:tc>
          <w:tcPr/>
          <w:p>
            <w:pPr>
              <w:pStyle w:val="Compact"/>
              <w:jc w:val="left"/>
            </w:pPr>
            <w:r>
              <w:t xml:space="preserve">NaturalRecoveryTime</w:t>
            </w:r>
          </w:p>
        </w:tc>
        <w:tc>
          <w:tcPr/>
          <w:p>
            <w:pPr>
              <w:pStyle w:val="Compact"/>
              <w:jc w:val="right"/>
            </w:pPr>
            <w:r>
              <w:t xml:space="preserve">-0.1812274</w:t>
            </w:r>
          </w:p>
        </w:tc>
        <w:tc>
          <w:tcPr/>
          <w:p>
            <w:pPr>
              <w:pStyle w:val="Compact"/>
              <w:jc w:val="right"/>
            </w:pPr>
            <w:r>
              <w:t xml:space="preserve">-0.2621337</w:t>
            </w:r>
          </w:p>
        </w:tc>
        <w:tc>
          <w:tcPr/>
          <w:p>
            <w:pPr>
              <w:pStyle w:val="Compact"/>
              <w:jc w:val="right"/>
            </w:pPr>
            <w:r>
              <w:t xml:space="preserve">-0.1003211</w:t>
            </w:r>
          </w:p>
        </w:tc>
        <w:tc>
          <w:tcPr/>
          <w:p>
            <w:pPr>
              <w:pStyle w:val="Compact"/>
              <w:jc w:val="right"/>
            </w:pPr>
            <w:r>
              <w:t xml:space="preserve">-4.3995971</w:t>
            </w:r>
          </w:p>
        </w:tc>
        <w:tc>
          <w:tcPr/>
          <w:p>
            <w:pPr>
              <w:pStyle w:val="Compact"/>
              <w:jc w:val="right"/>
            </w:pPr>
            <w:r>
              <w:t xml:space="preserve">570</w:t>
            </w:r>
          </w:p>
        </w:tc>
        <w:tc>
          <w:tcPr/>
          <w:p>
            <w:pPr>
              <w:pStyle w:val="Compact"/>
              <w:jc w:val="right"/>
            </w:pPr>
            <w:r>
              <w:t xml:space="preserve">0.0000129</w:t>
            </w:r>
          </w:p>
        </w:tc>
      </w:tr>
      <w:tr>
        <w:tc>
          <w:tcPr/>
          <w:p>
            <w:pPr>
              <w:pStyle w:val="Compact"/>
              <w:jc w:val="left"/>
            </w:pPr>
            <w:r>
              <w:t xml:space="preserve">10</w:t>
            </w:r>
          </w:p>
        </w:tc>
        <w:tc>
          <w:tcPr/>
          <w:p>
            <w:pPr>
              <w:pStyle w:val="Compact"/>
              <w:jc w:val="left"/>
            </w:pPr>
            <w:r>
              <w:t xml:space="preserve">activityGroupTransmissionRatio</w:t>
            </w:r>
          </w:p>
        </w:tc>
        <w:tc>
          <w:tcPr/>
          <w:p>
            <w:pPr>
              <w:pStyle w:val="Compact"/>
              <w:jc w:val="right"/>
            </w:pPr>
            <w:r>
              <w:t xml:space="preserve">0.1454682</w:t>
            </w:r>
          </w:p>
        </w:tc>
        <w:tc>
          <w:tcPr/>
          <w:p>
            <w:pPr>
              <w:pStyle w:val="Compact"/>
              <w:jc w:val="right"/>
            </w:pPr>
            <w:r>
              <w:t xml:space="preserve">0.0640748</w:t>
            </w:r>
          </w:p>
        </w:tc>
        <w:tc>
          <w:tcPr/>
          <w:p>
            <w:pPr>
              <w:pStyle w:val="Compact"/>
              <w:jc w:val="right"/>
            </w:pPr>
            <w:r>
              <w:t xml:space="preserve">0.2268617</w:t>
            </w:r>
          </w:p>
        </w:tc>
        <w:tc>
          <w:tcPr/>
          <w:p>
            <w:pPr>
              <w:pStyle w:val="Compact"/>
              <w:jc w:val="right"/>
            </w:pPr>
            <w:r>
              <w:t xml:space="preserve">3.5103459</w:t>
            </w:r>
          </w:p>
        </w:tc>
        <w:tc>
          <w:tcPr/>
          <w:p>
            <w:pPr>
              <w:pStyle w:val="Compact"/>
              <w:jc w:val="right"/>
            </w:pPr>
            <w:r>
              <w:t xml:space="preserve">570</w:t>
            </w:r>
          </w:p>
        </w:tc>
        <w:tc>
          <w:tcPr/>
          <w:p>
            <w:pPr>
              <w:pStyle w:val="Compact"/>
              <w:jc w:val="right"/>
            </w:pPr>
            <w:r>
              <w:t xml:space="preserve">0.0004829</w:t>
            </w:r>
          </w:p>
        </w:tc>
      </w:tr>
      <w:tr>
        <w:tc>
          <w:tcPr/>
          <w:p>
            <w:pPr>
              <w:pStyle w:val="Compact"/>
              <w:jc w:val="left"/>
            </w:pPr>
            <w:r>
              <w:t xml:space="preserve">14</w:t>
            </w:r>
          </w:p>
        </w:tc>
        <w:tc>
          <w:tcPr/>
          <w:p>
            <w:pPr>
              <w:pStyle w:val="Compact"/>
              <w:jc w:val="left"/>
            </w:pPr>
            <w:r>
              <w:t xml:space="preserve">ProbDevelopResistanceAExponent</w:t>
            </w:r>
          </w:p>
        </w:tc>
        <w:tc>
          <w:tcPr/>
          <w:p>
            <w:pPr>
              <w:pStyle w:val="Compact"/>
              <w:jc w:val="right"/>
            </w:pPr>
            <w:r>
              <w:t xml:space="preserve">0.1410497</w:t>
            </w:r>
          </w:p>
        </w:tc>
        <w:tc>
          <w:tcPr/>
          <w:p>
            <w:pPr>
              <w:pStyle w:val="Compact"/>
              <w:jc w:val="right"/>
            </w:pPr>
            <w:r>
              <w:t xml:space="preserve">0.0596036</w:t>
            </w:r>
          </w:p>
        </w:tc>
        <w:tc>
          <w:tcPr/>
          <w:p>
            <w:pPr>
              <w:pStyle w:val="Compact"/>
              <w:jc w:val="right"/>
            </w:pPr>
            <w:r>
              <w:t xml:space="preserve">0.2224957</w:t>
            </w:r>
          </w:p>
        </w:tc>
        <w:tc>
          <w:tcPr/>
          <w:p>
            <w:pPr>
              <w:pStyle w:val="Compact"/>
              <w:jc w:val="right"/>
            </w:pPr>
            <w:r>
              <w:t xml:space="preserve">3.4015215</w:t>
            </w:r>
          </w:p>
        </w:tc>
        <w:tc>
          <w:tcPr/>
          <w:p>
            <w:pPr>
              <w:pStyle w:val="Compact"/>
              <w:jc w:val="right"/>
            </w:pPr>
            <w:r>
              <w:t xml:space="preserve">570</w:t>
            </w:r>
          </w:p>
        </w:tc>
        <w:tc>
          <w:tcPr/>
          <w:p>
            <w:pPr>
              <w:pStyle w:val="Compact"/>
              <w:jc w:val="right"/>
            </w:pPr>
            <w:r>
              <w:t xml:space="preserve">0.0007171</w:t>
            </w:r>
          </w:p>
        </w:tc>
      </w:tr>
      <w:tr>
        <w:tc>
          <w:tcPr/>
          <w:p>
            <w:pPr>
              <w:pStyle w:val="Compact"/>
              <w:jc w:val="left"/>
            </w:pPr>
            <w:r>
              <w:t xml:space="preserve">5</w:t>
            </w:r>
          </w:p>
        </w:tc>
        <w:tc>
          <w:tcPr/>
          <w:p>
            <w:pPr>
              <w:pStyle w:val="Compact"/>
              <w:jc w:val="left"/>
            </w:pPr>
            <w:r>
              <w:t xml:space="preserve">ScreenIntervalMeanMSM</w:t>
            </w:r>
          </w:p>
        </w:tc>
        <w:tc>
          <w:tcPr/>
          <w:p>
            <w:pPr>
              <w:pStyle w:val="Compact"/>
              <w:jc w:val="right"/>
            </w:pPr>
            <w:r>
              <w:t xml:space="preserve">-0.1333486</w:t>
            </w:r>
          </w:p>
        </w:tc>
        <w:tc>
          <w:tcPr/>
          <w:p>
            <w:pPr>
              <w:pStyle w:val="Compact"/>
              <w:jc w:val="right"/>
            </w:pPr>
            <w:r>
              <w:t xml:space="preserve">-0.2148824</w:t>
            </w:r>
          </w:p>
        </w:tc>
        <w:tc>
          <w:tcPr/>
          <w:p>
            <w:pPr>
              <w:pStyle w:val="Compact"/>
              <w:jc w:val="right"/>
            </w:pPr>
            <w:r>
              <w:t xml:space="preserve">-0.0518148</w:t>
            </w:r>
          </w:p>
        </w:tc>
        <w:tc>
          <w:tcPr/>
          <w:p>
            <w:pPr>
              <w:pStyle w:val="Compact"/>
              <w:jc w:val="right"/>
            </w:pPr>
            <w:r>
              <w:t xml:space="preserve">-3.2123423</w:t>
            </w:r>
          </w:p>
        </w:tc>
        <w:tc>
          <w:tcPr/>
          <w:p>
            <w:pPr>
              <w:pStyle w:val="Compact"/>
              <w:jc w:val="right"/>
            </w:pPr>
            <w:r>
              <w:t xml:space="preserve">570</w:t>
            </w:r>
          </w:p>
        </w:tc>
        <w:tc>
          <w:tcPr/>
          <w:p>
            <w:pPr>
              <w:pStyle w:val="Compact"/>
              <w:jc w:val="right"/>
            </w:pPr>
            <w:r>
              <w:t xml:space="preserve">0.0013908</w:t>
            </w:r>
          </w:p>
        </w:tc>
      </w:tr>
      <w:tr>
        <w:tc>
          <w:tcPr/>
          <w:p>
            <w:pPr>
              <w:pStyle w:val="Compact"/>
              <w:jc w:val="left"/>
            </w:pPr>
            <w:r>
              <w:t xml:space="preserve">13</w:t>
            </w:r>
          </w:p>
        </w:tc>
        <w:tc>
          <w:tcPr/>
          <w:p>
            <w:pPr>
              <w:pStyle w:val="Compact"/>
              <w:jc w:val="left"/>
            </w:pPr>
            <w:r>
              <w:t xml:space="preserve">ImportingBInterval</w:t>
            </w:r>
          </w:p>
        </w:tc>
        <w:tc>
          <w:tcPr/>
          <w:p>
            <w:pPr>
              <w:pStyle w:val="Compact"/>
              <w:jc w:val="right"/>
            </w:pPr>
            <w:r>
              <w:t xml:space="preserve">-0.1269567</w:t>
            </w:r>
          </w:p>
        </w:tc>
        <w:tc>
          <w:tcPr/>
          <w:p>
            <w:pPr>
              <w:pStyle w:val="Compact"/>
              <w:jc w:val="right"/>
            </w:pPr>
            <w:r>
              <w:t xml:space="preserve">-0.2085596</w:t>
            </w:r>
          </w:p>
        </w:tc>
        <w:tc>
          <w:tcPr/>
          <w:p>
            <w:pPr>
              <w:pStyle w:val="Compact"/>
              <w:jc w:val="right"/>
            </w:pPr>
            <w:r>
              <w:t xml:space="preserve">-0.0453539</w:t>
            </w:r>
          </w:p>
        </w:tc>
        <w:tc>
          <w:tcPr/>
          <w:p>
            <w:pPr>
              <w:pStyle w:val="Compact"/>
              <w:jc w:val="right"/>
            </w:pPr>
            <w:r>
              <w:t xml:space="preserve">-3.0557772</w:t>
            </w:r>
          </w:p>
        </w:tc>
        <w:tc>
          <w:tcPr/>
          <w:p>
            <w:pPr>
              <w:pStyle w:val="Compact"/>
              <w:jc w:val="right"/>
            </w:pPr>
            <w:r>
              <w:t xml:space="preserve">570</w:t>
            </w:r>
          </w:p>
        </w:tc>
        <w:tc>
          <w:tcPr/>
          <w:p>
            <w:pPr>
              <w:pStyle w:val="Compact"/>
              <w:jc w:val="right"/>
            </w:pPr>
            <w:r>
              <w:t xml:space="preserve">0.0023498</w:t>
            </w:r>
          </w:p>
        </w:tc>
      </w:tr>
      <w:tr>
        <w:tc>
          <w:tcPr/>
          <w:p>
            <w:pPr>
              <w:pStyle w:val="Compact"/>
              <w:jc w:val="left"/>
            </w:pPr>
            <w:r>
              <w:t xml:space="preserve">20</w:t>
            </w:r>
          </w:p>
        </w:tc>
        <w:tc>
          <w:tcPr/>
          <w:p>
            <w:pPr>
              <w:pStyle w:val="Compact"/>
              <w:jc w:val="left"/>
            </w:pPr>
            <w:r>
              <w:t xml:space="preserve">StrainTestCost</w:t>
            </w:r>
          </w:p>
        </w:tc>
        <w:tc>
          <w:tcPr/>
          <w:p>
            <w:pPr>
              <w:pStyle w:val="Compact"/>
              <w:jc w:val="right"/>
            </w:pPr>
            <w:r>
              <w:t xml:space="preserve">0.1261459</w:t>
            </w:r>
          </w:p>
        </w:tc>
        <w:tc>
          <w:tcPr/>
          <w:p>
            <w:pPr>
              <w:pStyle w:val="Compact"/>
              <w:jc w:val="right"/>
            </w:pPr>
            <w:r>
              <w:t xml:space="preserve">0.0445345</w:t>
            </w:r>
          </w:p>
        </w:tc>
        <w:tc>
          <w:tcPr/>
          <w:p>
            <w:pPr>
              <w:pStyle w:val="Compact"/>
              <w:jc w:val="right"/>
            </w:pPr>
            <w:r>
              <w:t xml:space="preserve">0.2077572</w:t>
            </w:r>
          </w:p>
        </w:tc>
        <w:tc>
          <w:tcPr/>
          <w:p>
            <w:pPr>
              <w:pStyle w:val="Compact"/>
              <w:jc w:val="right"/>
            </w:pPr>
            <w:r>
              <w:t xml:space="preserve">3.0359435</w:t>
            </w:r>
          </w:p>
        </w:tc>
        <w:tc>
          <w:tcPr/>
          <w:p>
            <w:pPr>
              <w:pStyle w:val="Compact"/>
              <w:jc w:val="right"/>
            </w:pPr>
            <w:r>
              <w:t xml:space="preserve">570</w:t>
            </w:r>
          </w:p>
        </w:tc>
        <w:tc>
          <w:tcPr/>
          <w:p>
            <w:pPr>
              <w:pStyle w:val="Compact"/>
              <w:jc w:val="right"/>
            </w:pPr>
            <w:r>
              <w:t xml:space="preserve">0.0025074</w:t>
            </w:r>
          </w:p>
        </w:tc>
      </w:tr>
      <w:tr>
        <w:tc>
          <w:tcPr/>
          <w:p>
            <w:pPr>
              <w:pStyle w:val="Compact"/>
              <w:jc w:val="left"/>
            </w:pPr>
            <w:r>
              <w:t xml:space="preserve">12</w:t>
            </w:r>
          </w:p>
        </w:tc>
        <w:tc>
          <w:tcPr/>
          <w:p>
            <w:pPr>
              <w:pStyle w:val="Compact"/>
              <w:jc w:val="left"/>
            </w:pPr>
            <w:r>
              <w:t xml:space="preserve">BeginImportingB</w:t>
            </w:r>
          </w:p>
        </w:tc>
        <w:tc>
          <w:tcPr/>
          <w:p>
            <w:pPr>
              <w:pStyle w:val="Compact"/>
              <w:jc w:val="right"/>
            </w:pPr>
            <w:r>
              <w:t xml:space="preserve">-0.1195883</w:t>
            </w:r>
          </w:p>
        </w:tc>
        <w:tc>
          <w:tcPr/>
          <w:p>
            <w:pPr>
              <w:pStyle w:val="Compact"/>
              <w:jc w:val="right"/>
            </w:pPr>
            <w:r>
              <w:t xml:space="preserve">-0.2012665</w:t>
            </w:r>
          </w:p>
        </w:tc>
        <w:tc>
          <w:tcPr/>
          <w:p>
            <w:pPr>
              <w:pStyle w:val="Compact"/>
              <w:jc w:val="right"/>
            </w:pPr>
            <w:r>
              <w:t xml:space="preserve">-0.0379102</w:t>
            </w:r>
          </w:p>
        </w:tc>
        <w:tc>
          <w:tcPr/>
          <w:p>
            <w:pPr>
              <w:pStyle w:val="Compact"/>
              <w:jc w:val="right"/>
            </w:pPr>
            <w:r>
              <w:t xml:space="preserve">-2.8757696</w:t>
            </w:r>
          </w:p>
        </w:tc>
        <w:tc>
          <w:tcPr/>
          <w:p>
            <w:pPr>
              <w:pStyle w:val="Compact"/>
              <w:jc w:val="right"/>
            </w:pPr>
            <w:r>
              <w:t xml:space="preserve">570</w:t>
            </w:r>
          </w:p>
        </w:tc>
        <w:tc>
          <w:tcPr/>
          <w:p>
            <w:pPr>
              <w:pStyle w:val="Compact"/>
              <w:jc w:val="right"/>
            </w:pPr>
            <w:r>
              <w:t xml:space="preserve">0.0041811</w:t>
            </w:r>
          </w:p>
        </w:tc>
      </w:tr>
      <w:tr>
        <w:tc>
          <w:tcPr/>
          <w:p>
            <w:pPr>
              <w:pStyle w:val="Compact"/>
              <w:jc w:val="left"/>
            </w:pPr>
            <w:r>
              <w:t xml:space="preserve">17</w:t>
            </w:r>
          </w:p>
        </w:tc>
        <w:tc>
          <w:tcPr/>
          <w:p>
            <w:pPr>
              <w:pStyle w:val="Compact"/>
              <w:jc w:val="left"/>
            </w:pPr>
            <w:r>
              <w:t xml:space="preserve">DSTspecificity</w:t>
            </w:r>
          </w:p>
        </w:tc>
        <w:tc>
          <w:tcPr/>
          <w:p>
            <w:pPr>
              <w:pStyle w:val="Compact"/>
              <w:jc w:val="right"/>
            </w:pPr>
            <w:r>
              <w:t xml:space="preserve">0.0955145</w:t>
            </w:r>
          </w:p>
        </w:tc>
        <w:tc>
          <w:tcPr/>
          <w:p>
            <w:pPr>
              <w:pStyle w:val="Compact"/>
              <w:jc w:val="right"/>
            </w:pPr>
            <w:r>
              <w:t xml:space="preserve">0.0136221</w:t>
            </w:r>
          </w:p>
        </w:tc>
        <w:tc>
          <w:tcPr/>
          <w:p>
            <w:pPr>
              <w:pStyle w:val="Compact"/>
              <w:jc w:val="right"/>
            </w:pPr>
            <w:r>
              <w:t xml:space="preserve">0.1774070</w:t>
            </w:r>
          </w:p>
        </w:tc>
        <w:tc>
          <w:tcPr/>
          <w:p>
            <w:pPr>
              <w:pStyle w:val="Compact"/>
              <w:jc w:val="right"/>
            </w:pPr>
            <w:r>
              <w:t xml:space="preserve">2.2908523</w:t>
            </w:r>
          </w:p>
        </w:tc>
        <w:tc>
          <w:tcPr/>
          <w:p>
            <w:pPr>
              <w:pStyle w:val="Compact"/>
              <w:jc w:val="right"/>
            </w:pPr>
            <w:r>
              <w:t xml:space="preserve">570</w:t>
            </w:r>
          </w:p>
        </w:tc>
        <w:tc>
          <w:tcPr/>
          <w:p>
            <w:pPr>
              <w:pStyle w:val="Compact"/>
              <w:jc w:val="right"/>
            </w:pPr>
            <w:r>
              <w:t xml:space="preserve">0.0223361</w:t>
            </w:r>
          </w:p>
        </w:tc>
      </w:tr>
      <w:tr>
        <w:tc>
          <w:tcPr/>
          <w:p>
            <w:pPr>
              <w:pStyle w:val="Compact"/>
              <w:jc w:val="left"/>
            </w:pPr>
            <w:r>
              <w:t xml:space="preserve">19</w:t>
            </w:r>
          </w:p>
        </w:tc>
        <w:tc>
          <w:tcPr/>
          <w:p>
            <w:pPr>
              <w:pStyle w:val="Compact"/>
              <w:jc w:val="left"/>
            </w:pPr>
            <w:r>
              <w:t xml:space="preserve">TestCost</w:t>
            </w:r>
          </w:p>
        </w:tc>
        <w:tc>
          <w:tcPr/>
          <w:p>
            <w:pPr>
              <w:pStyle w:val="Compact"/>
              <w:jc w:val="right"/>
            </w:pPr>
            <w:r>
              <w:t xml:space="preserve">0.0791859</w:t>
            </w:r>
          </w:p>
        </w:tc>
        <w:tc>
          <w:tcPr/>
          <w:p>
            <w:pPr>
              <w:pStyle w:val="Compact"/>
              <w:jc w:val="right"/>
            </w:pPr>
            <w:r>
              <w:t xml:space="preserve">-0.0028243</w:t>
            </w:r>
          </w:p>
        </w:tc>
        <w:tc>
          <w:tcPr/>
          <w:p>
            <w:pPr>
              <w:pStyle w:val="Compact"/>
              <w:jc w:val="right"/>
            </w:pPr>
            <w:r>
              <w:t xml:space="preserve">0.1611961</w:t>
            </w:r>
          </w:p>
        </w:tc>
        <w:tc>
          <w:tcPr/>
          <w:p>
            <w:pPr>
              <w:pStyle w:val="Compact"/>
              <w:jc w:val="right"/>
            </w:pPr>
            <w:r>
              <w:t xml:space="preserve">1.8964931</w:t>
            </w:r>
          </w:p>
        </w:tc>
        <w:tc>
          <w:tcPr/>
          <w:p>
            <w:pPr>
              <w:pStyle w:val="Compact"/>
              <w:jc w:val="right"/>
            </w:pPr>
            <w:r>
              <w:t xml:space="preserve">570</w:t>
            </w:r>
          </w:p>
        </w:tc>
        <w:tc>
          <w:tcPr/>
          <w:p>
            <w:pPr>
              <w:pStyle w:val="Compact"/>
              <w:jc w:val="right"/>
            </w:pPr>
            <w:r>
              <w:t xml:space="preserve">0.0584002</w:t>
            </w:r>
          </w:p>
        </w:tc>
      </w:tr>
      <w:tr>
        <w:tc>
          <w:tcPr/>
          <w:p>
            <w:pPr>
              <w:pStyle w:val="Compact"/>
              <w:jc w:val="left"/>
            </w:pPr>
            <w:r>
              <w:t xml:space="preserve">8</w:t>
            </w:r>
          </w:p>
        </w:tc>
        <w:tc>
          <w:tcPr/>
          <w:p>
            <w:pPr>
              <w:pStyle w:val="Compact"/>
              <w:jc w:val="left"/>
            </w:pPr>
            <w:r>
              <w:t xml:space="preserve">Assortativity</w:t>
            </w:r>
          </w:p>
        </w:tc>
        <w:tc>
          <w:tcPr/>
          <w:p>
            <w:pPr>
              <w:pStyle w:val="Compact"/>
              <w:jc w:val="right"/>
            </w:pPr>
            <w:r>
              <w:t xml:space="preserve">-0.0643401</w:t>
            </w:r>
          </w:p>
        </w:tc>
        <w:tc>
          <w:tcPr/>
          <w:p>
            <w:pPr>
              <w:pStyle w:val="Compact"/>
              <w:jc w:val="right"/>
            </w:pPr>
            <w:r>
              <w:t xml:space="preserve">-0.1464381</w:t>
            </w:r>
          </w:p>
        </w:tc>
        <w:tc>
          <w:tcPr/>
          <w:p>
            <w:pPr>
              <w:pStyle w:val="Compact"/>
              <w:jc w:val="right"/>
            </w:pPr>
            <w:r>
              <w:t xml:space="preserve">0.0177580</w:t>
            </w:r>
          </w:p>
        </w:tc>
        <w:tc>
          <w:tcPr/>
          <w:p>
            <w:pPr>
              <w:pStyle w:val="Compact"/>
              <w:jc w:val="right"/>
            </w:pPr>
            <w:r>
              <w:t xml:space="preserve">-1.5392873</w:t>
            </w:r>
          </w:p>
        </w:tc>
        <w:tc>
          <w:tcPr/>
          <w:p>
            <w:pPr>
              <w:pStyle w:val="Compact"/>
              <w:jc w:val="right"/>
            </w:pPr>
            <w:r>
              <w:t xml:space="preserve">570</w:t>
            </w:r>
          </w:p>
        </w:tc>
        <w:tc>
          <w:tcPr/>
          <w:p>
            <w:pPr>
              <w:pStyle w:val="Compact"/>
              <w:jc w:val="right"/>
            </w:pPr>
            <w:r>
              <w:t xml:space="preserve">0.1242891</w:t>
            </w:r>
          </w:p>
        </w:tc>
      </w:tr>
      <w:tr>
        <w:tc>
          <w:tcPr/>
          <w:p>
            <w:pPr>
              <w:pStyle w:val="Compact"/>
              <w:jc w:val="left"/>
            </w:pPr>
            <w:r>
              <w:t xml:space="preserve">23</w:t>
            </w:r>
          </w:p>
        </w:tc>
        <w:tc>
          <w:tcPr/>
          <w:p>
            <w:pPr>
              <w:pStyle w:val="Compact"/>
              <w:jc w:val="left"/>
            </w:pPr>
            <w:r>
              <w:t xml:space="preserve">DrugXTreatmentCost</w:t>
            </w:r>
          </w:p>
        </w:tc>
        <w:tc>
          <w:tcPr/>
          <w:p>
            <w:pPr>
              <w:pStyle w:val="Compact"/>
              <w:jc w:val="right"/>
            </w:pPr>
            <w:r>
              <w:t xml:space="preserve">0.0574627</w:t>
            </w:r>
          </w:p>
        </w:tc>
        <w:tc>
          <w:tcPr/>
          <w:p>
            <w:pPr>
              <w:pStyle w:val="Compact"/>
              <w:jc w:val="right"/>
            </w:pPr>
            <w:r>
              <w:t xml:space="preserve">-0.0246699</w:t>
            </w:r>
          </w:p>
        </w:tc>
        <w:tc>
          <w:tcPr/>
          <w:p>
            <w:pPr>
              <w:pStyle w:val="Compact"/>
              <w:jc w:val="right"/>
            </w:pPr>
            <w:r>
              <w:t xml:space="preserve">0.1395953</w:t>
            </w:r>
          </w:p>
        </w:tc>
        <w:tc>
          <w:tcPr/>
          <w:p>
            <w:pPr>
              <w:pStyle w:val="Compact"/>
              <w:jc w:val="right"/>
            </w:pPr>
            <w:r>
              <w:t xml:space="preserve">1.3741733</w:t>
            </w:r>
          </w:p>
        </w:tc>
        <w:tc>
          <w:tcPr/>
          <w:p>
            <w:pPr>
              <w:pStyle w:val="Compact"/>
              <w:jc w:val="right"/>
            </w:pPr>
            <w:r>
              <w:t xml:space="preserve">570</w:t>
            </w:r>
          </w:p>
        </w:tc>
        <w:tc>
          <w:tcPr/>
          <w:p>
            <w:pPr>
              <w:pStyle w:val="Compact"/>
              <w:jc w:val="right"/>
            </w:pPr>
            <w:r>
              <w:t xml:space="preserve">0.1699280</w:t>
            </w:r>
          </w:p>
        </w:tc>
      </w:tr>
      <w:tr>
        <w:tc>
          <w:tcPr/>
          <w:p>
            <w:pPr>
              <w:pStyle w:val="Compact"/>
              <w:jc w:val="left"/>
            </w:pPr>
            <w:r>
              <w:t xml:space="preserve">9</w:t>
            </w:r>
          </w:p>
        </w:tc>
        <w:tc>
          <w:tcPr/>
          <w:p>
            <w:pPr>
              <w:pStyle w:val="Compact"/>
              <w:jc w:val="left"/>
            </w:pPr>
            <w:r>
              <w:t xml:space="preserve">activityGroupTransferProp</w:t>
            </w:r>
          </w:p>
        </w:tc>
        <w:tc>
          <w:tcPr/>
          <w:p>
            <w:pPr>
              <w:pStyle w:val="Compact"/>
              <w:jc w:val="right"/>
            </w:pPr>
            <w:r>
              <w:t xml:space="preserve">-0.0566391</w:t>
            </w:r>
          </w:p>
        </w:tc>
        <w:tc>
          <w:tcPr/>
          <w:p>
            <w:pPr>
              <w:pStyle w:val="Compact"/>
              <w:jc w:val="right"/>
            </w:pPr>
            <w:r>
              <w:t xml:space="preserve">-0.1387756</w:t>
            </w:r>
          </w:p>
        </w:tc>
        <w:tc>
          <w:tcPr/>
          <w:p>
            <w:pPr>
              <w:pStyle w:val="Compact"/>
              <w:jc w:val="right"/>
            </w:pPr>
            <w:r>
              <w:t xml:space="preserve">0.0254974</w:t>
            </w:r>
          </w:p>
        </w:tc>
        <w:tc>
          <w:tcPr/>
          <w:p>
            <w:pPr>
              <w:pStyle w:val="Compact"/>
              <w:jc w:val="right"/>
            </w:pPr>
            <w:r>
              <w:t xml:space="preserve">-1.3544139</w:t>
            </w:r>
          </w:p>
        </w:tc>
        <w:tc>
          <w:tcPr/>
          <w:p>
            <w:pPr>
              <w:pStyle w:val="Compact"/>
              <w:jc w:val="right"/>
            </w:pPr>
            <w:r>
              <w:t xml:space="preserve">570</w:t>
            </w:r>
          </w:p>
        </w:tc>
        <w:tc>
          <w:tcPr/>
          <w:p>
            <w:pPr>
              <w:pStyle w:val="Compact"/>
              <w:jc w:val="right"/>
            </w:pPr>
            <w:r>
              <w:t xml:space="preserve">0.1761410</w:t>
            </w:r>
          </w:p>
        </w:tc>
      </w:tr>
      <w:tr>
        <w:tc>
          <w:tcPr/>
          <w:p>
            <w:pPr>
              <w:pStyle w:val="Compact"/>
              <w:jc w:val="left"/>
            </w:pPr>
            <w:r>
              <w:t xml:space="preserve">18</w:t>
            </w:r>
          </w:p>
        </w:tc>
        <w:tc>
          <w:tcPr/>
          <w:p>
            <w:pPr>
              <w:pStyle w:val="Compact"/>
              <w:jc w:val="left"/>
            </w:pPr>
            <w:r>
              <w:t xml:space="preserve">CareCost</w:t>
            </w:r>
          </w:p>
        </w:tc>
        <w:tc>
          <w:tcPr/>
          <w:p>
            <w:pPr>
              <w:pStyle w:val="Compact"/>
              <w:jc w:val="right"/>
            </w:pPr>
            <w:r>
              <w:t xml:space="preserve">-0.0520423</w:t>
            </w:r>
          </w:p>
        </w:tc>
        <w:tc>
          <w:tcPr/>
          <w:p>
            <w:pPr>
              <w:pStyle w:val="Compact"/>
              <w:jc w:val="right"/>
            </w:pPr>
            <w:r>
              <w:t xml:space="preserve">-0.1341993</w:t>
            </w:r>
          </w:p>
        </w:tc>
        <w:tc>
          <w:tcPr/>
          <w:p>
            <w:pPr>
              <w:pStyle w:val="Compact"/>
              <w:jc w:val="right"/>
            </w:pPr>
            <w:r>
              <w:t xml:space="preserve">0.0301148</w:t>
            </w:r>
          </w:p>
        </w:tc>
        <w:tc>
          <w:tcPr/>
          <w:p>
            <w:pPr>
              <w:pStyle w:val="Compact"/>
              <w:jc w:val="right"/>
            </w:pPr>
            <w:r>
              <w:t xml:space="preserve">-1.2441782</w:t>
            </w:r>
          </w:p>
        </w:tc>
        <w:tc>
          <w:tcPr/>
          <w:p>
            <w:pPr>
              <w:pStyle w:val="Compact"/>
              <w:jc w:val="right"/>
            </w:pPr>
            <w:r>
              <w:t xml:space="preserve">570</w:t>
            </w:r>
          </w:p>
        </w:tc>
        <w:tc>
          <w:tcPr/>
          <w:p>
            <w:pPr>
              <w:pStyle w:val="Compact"/>
              <w:jc w:val="right"/>
            </w:pPr>
            <w:r>
              <w:t xml:space="preserve">0.2139454</w:t>
            </w:r>
          </w:p>
        </w:tc>
      </w:tr>
      <w:tr>
        <w:tc>
          <w:tcPr/>
          <w:p>
            <w:pPr>
              <w:pStyle w:val="Compact"/>
              <w:jc w:val="left"/>
            </w:pPr>
            <w:r>
              <w:t xml:space="preserve">16</w:t>
            </w:r>
          </w:p>
        </w:tc>
        <w:tc>
          <w:tcPr/>
          <w:p>
            <w:pPr>
              <w:pStyle w:val="Compact"/>
              <w:jc w:val="left"/>
            </w:pPr>
            <w:r>
              <w:t xml:space="preserve">DSTsensitivity</w:t>
            </w:r>
          </w:p>
        </w:tc>
        <w:tc>
          <w:tcPr/>
          <w:p>
            <w:pPr>
              <w:pStyle w:val="Compact"/>
              <w:jc w:val="right"/>
            </w:pPr>
            <w:r>
              <w:t xml:space="preserve">0.0478230</w:t>
            </w:r>
          </w:p>
        </w:tc>
        <w:tc>
          <w:tcPr/>
          <w:p>
            <w:pPr>
              <w:pStyle w:val="Compact"/>
              <w:jc w:val="right"/>
            </w:pPr>
            <w:r>
              <w:t xml:space="preserve">-0.0343514</w:t>
            </w:r>
          </w:p>
        </w:tc>
        <w:tc>
          <w:tcPr/>
          <w:p>
            <w:pPr>
              <w:pStyle w:val="Compact"/>
              <w:jc w:val="right"/>
            </w:pPr>
            <w:r>
              <w:t xml:space="preserve">0.1299974</w:t>
            </w:r>
          </w:p>
        </w:tc>
        <w:tc>
          <w:tcPr/>
          <w:p>
            <w:pPr>
              <w:pStyle w:val="Compact"/>
              <w:jc w:val="right"/>
            </w:pPr>
            <w:r>
              <w:t xml:space="preserve">1.1430671</w:t>
            </w:r>
          </w:p>
        </w:tc>
        <w:tc>
          <w:tcPr/>
          <w:p>
            <w:pPr>
              <w:pStyle w:val="Compact"/>
              <w:jc w:val="right"/>
            </w:pPr>
            <w:r>
              <w:t xml:space="preserve">570</w:t>
            </w:r>
          </w:p>
        </w:tc>
        <w:tc>
          <w:tcPr/>
          <w:p>
            <w:pPr>
              <w:pStyle w:val="Compact"/>
              <w:jc w:val="right"/>
            </w:pPr>
            <w:r>
              <w:t xml:space="preserve">0.2534906</w:t>
            </w:r>
          </w:p>
        </w:tc>
      </w:tr>
      <w:tr>
        <w:tc>
          <w:tcPr/>
          <w:p>
            <w:pPr>
              <w:pStyle w:val="Compact"/>
              <w:jc w:val="left"/>
            </w:pPr>
            <w:r>
              <w:t xml:space="preserve">15</w:t>
            </w:r>
          </w:p>
        </w:tc>
        <w:tc>
          <w:tcPr/>
          <w:p>
            <w:pPr>
              <w:pStyle w:val="Compact"/>
              <w:jc w:val="left"/>
            </w:pPr>
            <w:r>
              <w:t xml:space="preserve">ProbDevelopResistanceBExponent</w:t>
            </w:r>
          </w:p>
        </w:tc>
        <w:tc>
          <w:tcPr/>
          <w:p>
            <w:pPr>
              <w:pStyle w:val="Compact"/>
              <w:jc w:val="right"/>
            </w:pPr>
            <w:r>
              <w:t xml:space="preserve">-0.0466465</w:t>
            </w:r>
          </w:p>
        </w:tc>
        <w:tc>
          <w:tcPr/>
          <w:p>
            <w:pPr>
              <w:pStyle w:val="Compact"/>
              <w:jc w:val="right"/>
            </w:pPr>
            <w:r>
              <w:t xml:space="preserve">-0.1288255</w:t>
            </w:r>
          </w:p>
        </w:tc>
        <w:tc>
          <w:tcPr/>
          <w:p>
            <w:pPr>
              <w:pStyle w:val="Compact"/>
              <w:jc w:val="right"/>
            </w:pPr>
            <w:r>
              <w:t xml:space="preserve">0.0355325</w:t>
            </w:r>
          </w:p>
        </w:tc>
        <w:tc>
          <w:tcPr/>
          <w:p>
            <w:pPr>
              <w:pStyle w:val="Compact"/>
              <w:jc w:val="right"/>
            </w:pPr>
            <w:r>
              <w:t xml:space="preserve">-1.1148844</w:t>
            </w:r>
          </w:p>
        </w:tc>
        <w:tc>
          <w:tcPr/>
          <w:p>
            <w:pPr>
              <w:pStyle w:val="Compact"/>
              <w:jc w:val="right"/>
            </w:pPr>
            <w:r>
              <w:t xml:space="preserve">570</w:t>
            </w:r>
          </w:p>
        </w:tc>
        <w:tc>
          <w:tcPr/>
          <w:p>
            <w:pPr>
              <w:pStyle w:val="Compact"/>
              <w:jc w:val="right"/>
            </w:pPr>
            <w:r>
              <w:t xml:space="preserve">0.2653698</w:t>
            </w:r>
          </w:p>
        </w:tc>
      </w:tr>
      <w:tr>
        <w:tc>
          <w:tcPr/>
          <w:p>
            <w:pPr>
              <w:pStyle w:val="Compact"/>
              <w:jc w:val="left"/>
            </w:pPr>
            <w:r>
              <w:t xml:space="preserve">21</w:t>
            </w:r>
          </w:p>
        </w:tc>
        <w:tc>
          <w:tcPr/>
          <w:p>
            <w:pPr>
              <w:pStyle w:val="Compact"/>
              <w:jc w:val="left"/>
            </w:pPr>
            <w:r>
              <w:t xml:space="preserve">DrugATreatmentCost</w:t>
            </w:r>
          </w:p>
        </w:tc>
        <w:tc>
          <w:tcPr/>
          <w:p>
            <w:pPr>
              <w:pStyle w:val="Compact"/>
              <w:jc w:val="right"/>
            </w:pPr>
            <w:r>
              <w:t xml:space="preserve">-0.0387560</w:t>
            </w:r>
          </w:p>
        </w:tc>
        <w:tc>
          <w:tcPr/>
          <w:p>
            <w:pPr>
              <w:pStyle w:val="Compact"/>
              <w:jc w:val="right"/>
            </w:pPr>
            <w:r>
              <w:t xml:space="preserve">-0.1209627</w:t>
            </w:r>
          </w:p>
        </w:tc>
        <w:tc>
          <w:tcPr/>
          <w:p>
            <w:pPr>
              <w:pStyle w:val="Compact"/>
              <w:jc w:val="right"/>
            </w:pPr>
            <w:r>
              <w:t xml:space="preserve">0.0434507</w:t>
            </w:r>
          </w:p>
        </w:tc>
        <w:tc>
          <w:tcPr/>
          <w:p>
            <w:pPr>
              <w:pStyle w:val="Compact"/>
              <w:jc w:val="right"/>
            </w:pPr>
            <w:r>
              <w:t xml:space="preserve">-0.9259826</w:t>
            </w:r>
          </w:p>
        </w:tc>
        <w:tc>
          <w:tcPr/>
          <w:p>
            <w:pPr>
              <w:pStyle w:val="Compact"/>
              <w:jc w:val="right"/>
            </w:pPr>
            <w:r>
              <w:t xml:space="preserve">570</w:t>
            </w:r>
          </w:p>
        </w:tc>
        <w:tc>
          <w:tcPr/>
          <w:p>
            <w:pPr>
              <w:pStyle w:val="Compact"/>
              <w:jc w:val="right"/>
            </w:pPr>
            <w:r>
              <w:t xml:space="preserve">0.3548469</w:t>
            </w:r>
          </w:p>
        </w:tc>
      </w:tr>
      <w:tr>
        <w:tc>
          <w:tcPr/>
          <w:p>
            <w:pPr>
              <w:pStyle w:val="Compact"/>
              <w:jc w:val="left"/>
            </w:pPr>
            <w:r>
              <w:t xml:space="preserve">22</w:t>
            </w:r>
          </w:p>
        </w:tc>
        <w:tc>
          <w:tcPr/>
          <w:p>
            <w:pPr>
              <w:pStyle w:val="Compact"/>
              <w:jc w:val="left"/>
            </w:pPr>
            <w:r>
              <w:t xml:space="preserve">DrugBTreatmentCost</w:t>
            </w:r>
          </w:p>
        </w:tc>
        <w:tc>
          <w:tcPr/>
          <w:p>
            <w:pPr>
              <w:pStyle w:val="Compact"/>
              <w:jc w:val="right"/>
            </w:pPr>
            <w:r>
              <w:t xml:space="preserve">0.0317459</w:t>
            </w:r>
          </w:p>
        </w:tc>
        <w:tc>
          <w:tcPr/>
          <w:p>
            <w:pPr>
              <w:pStyle w:val="Compact"/>
              <w:jc w:val="right"/>
            </w:pPr>
            <w:r>
              <w:t xml:space="preserve">-0.0504812</w:t>
            </w:r>
          </w:p>
        </w:tc>
        <w:tc>
          <w:tcPr/>
          <w:p>
            <w:pPr>
              <w:pStyle w:val="Compact"/>
              <w:jc w:val="right"/>
            </w:pPr>
            <w:r>
              <w:t xml:space="preserve">0.1139730</w:t>
            </w:r>
          </w:p>
        </w:tc>
        <w:tc>
          <w:tcPr/>
          <w:p>
            <w:pPr>
              <w:pStyle w:val="Compact"/>
              <w:jc w:val="right"/>
            </w:pPr>
            <w:r>
              <w:t xml:space="preserve">0.7583046</w:t>
            </w:r>
          </w:p>
        </w:tc>
        <w:tc>
          <w:tcPr/>
          <w:p>
            <w:pPr>
              <w:pStyle w:val="Compact"/>
              <w:jc w:val="right"/>
            </w:pPr>
            <w:r>
              <w:t xml:space="preserve">570</w:t>
            </w:r>
          </w:p>
        </w:tc>
        <w:tc>
          <w:tcPr/>
          <w:p>
            <w:pPr>
              <w:pStyle w:val="Compact"/>
              <w:jc w:val="right"/>
            </w:pPr>
            <w:r>
              <w:t xml:space="preserve">0.4485821</w:t>
            </w:r>
          </w:p>
        </w:tc>
      </w:tr>
      <w:tr>
        <w:tc>
          <w:tcPr/>
          <w:p>
            <w:pPr>
              <w:pStyle w:val="Compact"/>
              <w:jc w:val="left"/>
            </w:pPr>
            <w:r>
              <w:t xml:space="preserve">1</w:t>
            </w:r>
          </w:p>
        </w:tc>
        <w:tc>
          <w:tcPr/>
          <w:p>
            <w:pPr>
              <w:pStyle w:val="Compact"/>
              <w:jc w:val="left"/>
            </w:pPr>
            <w:r>
              <w:t xml:space="preserve">propHighActivity</w:t>
            </w:r>
          </w:p>
        </w:tc>
        <w:tc>
          <w:tcPr/>
          <w:p>
            <w:pPr>
              <w:pStyle w:val="Compact"/>
              <w:jc w:val="right"/>
            </w:pPr>
            <w:r>
              <w:t xml:space="preserve">-0.0234385</w:t>
            </w:r>
          </w:p>
        </w:tc>
        <w:tc>
          <w:tcPr/>
          <w:p>
            <w:pPr>
              <w:pStyle w:val="Compact"/>
              <w:jc w:val="right"/>
            </w:pPr>
            <w:r>
              <w:t xml:space="preserve">-0.1056844</w:t>
            </w:r>
          </w:p>
        </w:tc>
        <w:tc>
          <w:tcPr/>
          <w:p>
            <w:pPr>
              <w:pStyle w:val="Compact"/>
              <w:jc w:val="right"/>
            </w:pPr>
            <w:r>
              <w:t xml:space="preserve">0.0588074</w:t>
            </w:r>
          </w:p>
        </w:tc>
        <w:tc>
          <w:tcPr/>
          <w:p>
            <w:pPr>
              <w:pStyle w:val="Compact"/>
              <w:jc w:val="right"/>
            </w:pPr>
            <w:r>
              <w:t xml:space="preserve">-0.5597404</w:t>
            </w:r>
          </w:p>
        </w:tc>
        <w:tc>
          <w:tcPr/>
          <w:p>
            <w:pPr>
              <w:pStyle w:val="Compact"/>
              <w:jc w:val="right"/>
            </w:pPr>
            <w:r>
              <w:t xml:space="preserve">570</w:t>
            </w:r>
          </w:p>
        </w:tc>
        <w:tc>
          <w:tcPr/>
          <w:p>
            <w:pPr>
              <w:pStyle w:val="Compact"/>
              <w:jc w:val="right"/>
            </w:pPr>
            <w:r>
              <w:t xml:space="preserve">0.5758764</w:t>
            </w:r>
          </w:p>
        </w:tc>
      </w:tr>
      <w:tr>
        <w:tc>
          <w:tcPr/>
          <w:p>
            <w:pPr>
              <w:pStyle w:val="Compact"/>
              <w:jc w:val="left"/>
            </w:pPr>
            <w:r>
              <w:t xml:space="preserve">24</w:t>
            </w:r>
          </w:p>
        </w:tc>
        <w:tc>
          <w:tcPr/>
          <w:p>
            <w:pPr>
              <w:pStyle w:val="Compact"/>
              <w:jc w:val="left"/>
            </w:pPr>
            <w:r>
              <w:t xml:space="preserve">DrugETreatmentCost</w:t>
            </w:r>
          </w:p>
        </w:tc>
        <w:tc>
          <w:tcPr/>
          <w:p>
            <w:pPr>
              <w:pStyle w:val="Compact"/>
              <w:jc w:val="right"/>
            </w:pPr>
            <w:r>
              <w:t xml:space="preserve">-0.0168251</w:t>
            </w:r>
          </w:p>
        </w:tc>
        <w:tc>
          <w:tcPr/>
          <w:p>
            <w:pPr>
              <w:pStyle w:val="Compact"/>
              <w:jc w:val="right"/>
            </w:pPr>
            <w:r>
              <w:t xml:space="preserve">-0.0990820</w:t>
            </w:r>
          </w:p>
        </w:tc>
        <w:tc>
          <w:tcPr/>
          <w:p>
            <w:pPr>
              <w:pStyle w:val="Compact"/>
              <w:jc w:val="right"/>
            </w:pPr>
            <w:r>
              <w:t xml:space="preserve">0.0654318</w:t>
            </w:r>
          </w:p>
        </w:tc>
        <w:tc>
          <w:tcPr/>
          <w:p>
            <w:pPr>
              <w:pStyle w:val="Compact"/>
              <w:jc w:val="right"/>
            </w:pPr>
            <w:r>
              <w:t xml:space="preserve">-0.4017514</w:t>
            </w:r>
          </w:p>
        </w:tc>
        <w:tc>
          <w:tcPr/>
          <w:p>
            <w:pPr>
              <w:pStyle w:val="Compact"/>
              <w:jc w:val="right"/>
            </w:pPr>
            <w:r>
              <w:t xml:space="preserve">570</w:t>
            </w:r>
          </w:p>
        </w:tc>
        <w:tc>
          <w:tcPr/>
          <w:p>
            <w:pPr>
              <w:pStyle w:val="Compact"/>
              <w:jc w:val="right"/>
            </w:pPr>
            <w:r>
              <w:t xml:space="preserve">0.6880176</w:t>
            </w:r>
          </w:p>
        </w:tc>
      </w:tr>
      <w:tr>
        <w:tc>
          <w:tcPr/>
          <w:p>
            <w:pPr>
              <w:pStyle w:val="Compact"/>
              <w:jc w:val="left"/>
            </w:pPr>
            <w:r>
              <w:t xml:space="preserve">2</w:t>
            </w:r>
          </w:p>
        </w:tc>
        <w:tc>
          <w:tcPr/>
          <w:p>
            <w:pPr>
              <w:pStyle w:val="Compact"/>
              <w:jc w:val="left"/>
            </w:pPr>
            <w:r>
              <w:t xml:space="preserve">TransmissionMSM</w:t>
            </w:r>
          </w:p>
        </w:tc>
        <w:tc>
          <w:tcPr/>
          <w:p>
            <w:pPr>
              <w:pStyle w:val="Compact"/>
              <w:jc w:val="right"/>
            </w:pPr>
            <w:r>
              <w:t xml:space="preserve">-0.0139029</w:t>
            </w:r>
          </w:p>
        </w:tc>
        <w:tc>
          <w:tcPr/>
          <w:p>
            <w:pPr>
              <w:pStyle w:val="Compact"/>
              <w:jc w:val="right"/>
            </w:pPr>
            <w:r>
              <w:t xml:space="preserve">-0.0961635</w:t>
            </w:r>
          </w:p>
        </w:tc>
        <w:tc>
          <w:tcPr/>
          <w:p>
            <w:pPr>
              <w:pStyle w:val="Compact"/>
              <w:jc w:val="right"/>
            </w:pPr>
            <w:r>
              <w:t xml:space="preserve">0.0683577</w:t>
            </w:r>
          </w:p>
        </w:tc>
        <w:tc>
          <w:tcPr/>
          <w:p>
            <w:pPr>
              <w:pStyle w:val="Compact"/>
              <w:jc w:val="right"/>
            </w:pPr>
            <w:r>
              <w:t xml:space="preserve">-0.3319596</w:t>
            </w:r>
          </w:p>
        </w:tc>
        <w:tc>
          <w:tcPr/>
          <w:p>
            <w:pPr>
              <w:pStyle w:val="Compact"/>
              <w:jc w:val="right"/>
            </w:pPr>
            <w:r>
              <w:t xml:space="preserve">570</w:t>
            </w:r>
          </w:p>
        </w:tc>
        <w:tc>
          <w:tcPr/>
          <w:p>
            <w:pPr>
              <w:pStyle w:val="Compact"/>
              <w:jc w:val="right"/>
            </w:pPr>
            <w:r>
              <w:t xml:space="preserve">0.7400418</w:t>
            </w:r>
          </w:p>
        </w:tc>
      </w:tr>
    </w:tbl>
    <w:p/>
    <w:p>
      <w:pPr>
        <w:pStyle w:val="TableCaption"/>
      </w:pPr>
      <w:r>
        <w:t xml:space="preserve">Costs PRCC</w:t>
      </w:r>
    </w:p>
    <w:tbl>
      <w:tblPr>
        <w:tblStyle w:val="Table"/>
        <w:tblW w:type="pct" w:w="5000"/>
        <w:tblLayout w:type="fixed"/>
        <w:tblLook w:firstRow="1" w:lastRow="0" w:firstColumn="0" w:lastColumn="0" w:noHBand="0" w:noVBand="0" w:val="0020"/>
        <w:tblCaption w:val="Costs PRCC"/>
      </w:tblPr>
      <w:tblGrid>
        <w:gridCol w:w="247"/>
        <w:gridCol w:w="2557"/>
        <w:gridCol w:w="907"/>
        <w:gridCol w:w="907"/>
        <w:gridCol w:w="907"/>
        <w:gridCol w:w="1237"/>
        <w:gridCol w:w="330"/>
        <w:gridCol w:w="825"/>
      </w:tblGrid>
      <w:tr>
        <w:trPr>
          <w:tblHeader w:val="on"/>
        </w:trPr>
        <w:tc>
          <w:tcPr/>
          <w:p>
            <w:pPr>
              <w:pStyle w:val="Compact"/>
            </w:pPr>
          </w:p>
        </w:tc>
        <w:tc>
          <w:tcPr/>
          <w:p>
            <w:pPr>
              <w:pStyle w:val="Compact"/>
              <w:jc w:val="left"/>
            </w:pPr>
            <w:r>
              <w:t xml:space="preserve">var</w:t>
            </w:r>
          </w:p>
        </w:tc>
        <w:tc>
          <w:tcPr/>
          <w:p>
            <w:pPr>
              <w:pStyle w:val="Compact"/>
              <w:jc w:val="right"/>
            </w:pPr>
            <w:r>
              <w:t xml:space="preserve">est</w:t>
            </w:r>
          </w:p>
        </w:tc>
        <w:tc>
          <w:tcPr/>
          <w:p>
            <w:pPr>
              <w:pStyle w:val="Compact"/>
              <w:jc w:val="right"/>
            </w:pPr>
            <w:r>
              <w:t xml:space="preserve">lower</w:t>
            </w:r>
          </w:p>
        </w:tc>
        <w:tc>
          <w:tcPr/>
          <w:p>
            <w:pPr>
              <w:pStyle w:val="Compact"/>
              <w:jc w:val="right"/>
            </w:pPr>
            <w:r>
              <w:t xml:space="preserve">upper</w:t>
            </w:r>
          </w:p>
        </w:tc>
        <w:tc>
          <w:tcPr/>
          <w:p>
            <w:pPr>
              <w:pStyle w:val="Compact"/>
              <w:jc w:val="right"/>
            </w:pPr>
            <w:r>
              <w:t xml:space="preserve">test.statistic</w:t>
            </w:r>
          </w:p>
        </w:tc>
        <w:tc>
          <w:tcPr/>
          <w:p>
            <w:pPr>
              <w:pStyle w:val="Compact"/>
              <w:jc w:val="right"/>
            </w:pPr>
            <w:r>
              <w:t xml:space="preserve">df</w:t>
            </w:r>
          </w:p>
        </w:tc>
        <w:tc>
          <w:tcPr/>
          <w:p>
            <w:pPr>
              <w:pStyle w:val="Compact"/>
              <w:jc w:val="right"/>
            </w:pPr>
            <w:r>
              <w:t xml:space="preserve">p.value</w:t>
            </w:r>
          </w:p>
        </w:tc>
      </w:tr>
      <w:tr>
        <w:tc>
          <w:tcPr/>
          <w:p>
            <w:pPr>
              <w:pStyle w:val="Compact"/>
              <w:jc w:val="left"/>
            </w:pPr>
            <w:r>
              <w:t xml:space="preserve">1</w:t>
            </w:r>
          </w:p>
        </w:tc>
        <w:tc>
          <w:tcPr/>
          <w:p>
            <w:pPr>
              <w:pStyle w:val="Compact"/>
              <w:jc w:val="left"/>
            </w:pPr>
            <w:r>
              <w:t xml:space="preserve">propHighActivity</w:t>
            </w:r>
          </w:p>
        </w:tc>
        <w:tc>
          <w:tcPr/>
          <w:p>
            <w:pPr>
              <w:pStyle w:val="Compact"/>
              <w:jc w:val="right"/>
            </w:pPr>
            <w:r>
              <w:t xml:space="preserve">0.3677739</w:t>
            </w:r>
          </w:p>
        </w:tc>
        <w:tc>
          <w:tcPr/>
          <w:p>
            <w:pPr>
              <w:pStyle w:val="Compact"/>
              <w:jc w:val="right"/>
            </w:pPr>
            <w:r>
              <w:t xml:space="preserve">0.2912711</w:t>
            </w:r>
          </w:p>
        </w:tc>
        <w:tc>
          <w:tcPr/>
          <w:p>
            <w:pPr>
              <w:pStyle w:val="Compact"/>
              <w:jc w:val="right"/>
            </w:pPr>
            <w:r>
              <w:t xml:space="preserve">0.4442766</w:t>
            </w:r>
          </w:p>
        </w:tc>
        <w:tc>
          <w:tcPr/>
          <w:p>
            <w:pPr>
              <w:pStyle w:val="Compact"/>
              <w:jc w:val="right"/>
            </w:pPr>
            <w:r>
              <w:t xml:space="preserve">9.4422374</w:t>
            </w:r>
          </w:p>
        </w:tc>
        <w:tc>
          <w:tcPr/>
          <w:p>
            <w:pPr>
              <w:pStyle w:val="Compact"/>
              <w:jc w:val="right"/>
            </w:pPr>
            <w:r>
              <w:t xml:space="preserve">570</w:t>
            </w:r>
          </w:p>
        </w:tc>
        <w:tc>
          <w:tcPr/>
          <w:p>
            <w:pPr>
              <w:pStyle w:val="Compact"/>
              <w:jc w:val="right"/>
            </w:pPr>
            <w:r>
              <w:t xml:space="preserve">0.0000000</w:t>
            </w:r>
          </w:p>
        </w:tc>
      </w:tr>
      <w:tr>
        <w:tc>
          <w:tcPr/>
          <w:p>
            <w:pPr>
              <w:pStyle w:val="Compact"/>
              <w:jc w:val="left"/>
            </w:pPr>
            <w:r>
              <w:t xml:space="preserve">10</w:t>
            </w:r>
          </w:p>
        </w:tc>
        <w:tc>
          <w:tcPr/>
          <w:p>
            <w:pPr>
              <w:pStyle w:val="Compact"/>
              <w:jc w:val="left"/>
            </w:pPr>
            <w:r>
              <w:t xml:space="preserve">activityGroupTransmissionRatio</w:t>
            </w:r>
          </w:p>
        </w:tc>
        <w:tc>
          <w:tcPr/>
          <w:p>
            <w:pPr>
              <w:pStyle w:val="Compact"/>
              <w:jc w:val="right"/>
            </w:pPr>
            <w:r>
              <w:t xml:space="preserve">0.2686963</w:t>
            </w:r>
          </w:p>
        </w:tc>
        <w:tc>
          <w:tcPr/>
          <w:p>
            <w:pPr>
              <w:pStyle w:val="Compact"/>
              <w:jc w:val="right"/>
            </w:pPr>
            <w:r>
              <w:t xml:space="preserve">0.1894532</w:t>
            </w:r>
          </w:p>
        </w:tc>
        <w:tc>
          <w:tcPr/>
          <w:p>
            <w:pPr>
              <w:pStyle w:val="Compact"/>
              <w:jc w:val="right"/>
            </w:pPr>
            <w:r>
              <w:t xml:space="preserve">0.3479394</w:t>
            </w:r>
          </w:p>
        </w:tc>
        <w:tc>
          <w:tcPr/>
          <w:p>
            <w:pPr>
              <w:pStyle w:val="Compact"/>
              <w:jc w:val="right"/>
            </w:pPr>
            <w:r>
              <w:t xml:space="preserve">6.6599572</w:t>
            </w:r>
          </w:p>
        </w:tc>
        <w:tc>
          <w:tcPr/>
          <w:p>
            <w:pPr>
              <w:pStyle w:val="Compact"/>
              <w:jc w:val="right"/>
            </w:pPr>
            <w:r>
              <w:t xml:space="preserve">570</w:t>
            </w:r>
          </w:p>
        </w:tc>
        <w:tc>
          <w:tcPr/>
          <w:p>
            <w:pPr>
              <w:pStyle w:val="Compact"/>
              <w:jc w:val="right"/>
            </w:pPr>
            <w:r>
              <w:t xml:space="preserve">0.0000000</w:t>
            </w:r>
          </w:p>
        </w:tc>
      </w:tr>
      <w:tr>
        <w:tc>
          <w:tcPr/>
          <w:p>
            <w:pPr>
              <w:pStyle w:val="Compact"/>
              <w:jc w:val="left"/>
            </w:pPr>
            <w:r>
              <w:t xml:space="preserve">4</w:t>
            </w:r>
          </w:p>
        </w:tc>
        <w:tc>
          <w:tcPr/>
          <w:p>
            <w:pPr>
              <w:pStyle w:val="Compact"/>
              <w:jc w:val="left"/>
            </w:pPr>
            <w:r>
              <w:t xml:space="preserve">ProbSymptomaticMSM</w:t>
            </w:r>
          </w:p>
        </w:tc>
        <w:tc>
          <w:tcPr/>
          <w:p>
            <w:pPr>
              <w:pStyle w:val="Compact"/>
              <w:jc w:val="right"/>
            </w:pPr>
            <w:r>
              <w:t xml:space="preserve">0.1949305</w:t>
            </w:r>
          </w:p>
        </w:tc>
        <w:tc>
          <w:tcPr/>
          <w:p>
            <w:pPr>
              <w:pStyle w:val="Compact"/>
              <w:jc w:val="right"/>
            </w:pPr>
            <w:r>
              <w:t xml:space="preserve">0.1142402</w:t>
            </w:r>
          </w:p>
        </w:tc>
        <w:tc>
          <w:tcPr/>
          <w:p>
            <w:pPr>
              <w:pStyle w:val="Compact"/>
              <w:jc w:val="right"/>
            </w:pPr>
            <w:r>
              <w:t xml:space="preserve">0.2756209</w:t>
            </w:r>
          </w:p>
        </w:tc>
        <w:tc>
          <w:tcPr/>
          <w:p>
            <w:pPr>
              <w:pStyle w:val="Compact"/>
              <w:jc w:val="right"/>
            </w:pPr>
            <w:r>
              <w:t xml:space="preserve">4.7449245</w:t>
            </w:r>
          </w:p>
        </w:tc>
        <w:tc>
          <w:tcPr/>
          <w:p>
            <w:pPr>
              <w:pStyle w:val="Compact"/>
              <w:jc w:val="right"/>
            </w:pPr>
            <w:r>
              <w:t xml:space="preserve">570</w:t>
            </w:r>
          </w:p>
        </w:tc>
        <w:tc>
          <w:tcPr/>
          <w:p>
            <w:pPr>
              <w:pStyle w:val="Compact"/>
              <w:jc w:val="right"/>
            </w:pPr>
            <w:r>
              <w:t xml:space="preserve">0.0000026</w:t>
            </w:r>
          </w:p>
        </w:tc>
      </w:tr>
      <w:tr>
        <w:tc>
          <w:tcPr/>
          <w:p>
            <w:pPr>
              <w:pStyle w:val="Compact"/>
              <w:jc w:val="left"/>
            </w:pPr>
            <w:r>
              <w:t xml:space="preserve">2</w:t>
            </w:r>
          </w:p>
        </w:tc>
        <w:tc>
          <w:tcPr/>
          <w:p>
            <w:pPr>
              <w:pStyle w:val="Compact"/>
              <w:jc w:val="left"/>
            </w:pPr>
            <w:r>
              <w:t xml:space="preserve">TransmissionMSM</w:t>
            </w:r>
          </w:p>
        </w:tc>
        <w:tc>
          <w:tcPr/>
          <w:p>
            <w:pPr>
              <w:pStyle w:val="Compact"/>
              <w:jc w:val="right"/>
            </w:pPr>
            <w:r>
              <w:t xml:space="preserve">0.1529104</w:t>
            </w:r>
          </w:p>
        </w:tc>
        <w:tc>
          <w:tcPr/>
          <w:p>
            <w:pPr>
              <w:pStyle w:val="Compact"/>
              <w:jc w:val="right"/>
            </w:pPr>
            <w:r>
              <w:t xml:space="preserve">0.0716093</w:t>
            </w:r>
          </w:p>
        </w:tc>
        <w:tc>
          <w:tcPr/>
          <w:p>
            <w:pPr>
              <w:pStyle w:val="Compact"/>
              <w:jc w:val="right"/>
            </w:pPr>
            <w:r>
              <w:t xml:space="preserve">0.2342114</w:t>
            </w:r>
          </w:p>
        </w:tc>
        <w:tc>
          <w:tcPr/>
          <w:p>
            <w:pPr>
              <w:pStyle w:val="Compact"/>
              <w:jc w:val="right"/>
            </w:pPr>
            <w:r>
              <w:t xml:space="preserve">3.6941279</w:t>
            </w:r>
          </w:p>
        </w:tc>
        <w:tc>
          <w:tcPr/>
          <w:p>
            <w:pPr>
              <w:pStyle w:val="Compact"/>
              <w:jc w:val="right"/>
            </w:pPr>
            <w:r>
              <w:t xml:space="preserve">570</w:t>
            </w:r>
          </w:p>
        </w:tc>
        <w:tc>
          <w:tcPr/>
          <w:p>
            <w:pPr>
              <w:pStyle w:val="Compact"/>
              <w:jc w:val="right"/>
            </w:pPr>
            <w:r>
              <w:t xml:space="preserve">0.0002419</w:t>
            </w:r>
          </w:p>
        </w:tc>
      </w:tr>
      <w:tr>
        <w:tc>
          <w:tcPr/>
          <w:p>
            <w:pPr>
              <w:pStyle w:val="Compact"/>
              <w:jc w:val="left"/>
            </w:pPr>
            <w:r>
              <w:t xml:space="preserve">8</w:t>
            </w:r>
          </w:p>
        </w:tc>
        <w:tc>
          <w:tcPr/>
          <w:p>
            <w:pPr>
              <w:pStyle w:val="Compact"/>
              <w:jc w:val="left"/>
            </w:pPr>
            <w:r>
              <w:t xml:space="preserve">Assortativity</w:t>
            </w:r>
          </w:p>
        </w:tc>
        <w:tc>
          <w:tcPr/>
          <w:p>
            <w:pPr>
              <w:pStyle w:val="Compact"/>
              <w:jc w:val="right"/>
            </w:pPr>
            <w:r>
              <w:t xml:space="preserve">-0.1480629</w:t>
            </w:r>
          </w:p>
        </w:tc>
        <w:tc>
          <w:tcPr/>
          <w:p>
            <w:pPr>
              <w:pStyle w:val="Compact"/>
              <w:jc w:val="right"/>
            </w:pPr>
            <w:r>
              <w:t xml:space="preserve">-0.2294247</w:t>
            </w:r>
          </w:p>
        </w:tc>
        <w:tc>
          <w:tcPr/>
          <w:p>
            <w:pPr>
              <w:pStyle w:val="Compact"/>
              <w:jc w:val="right"/>
            </w:pPr>
            <w:r>
              <w:t xml:space="preserve">-0.0667012</w:t>
            </w:r>
          </w:p>
        </w:tc>
        <w:tc>
          <w:tcPr/>
          <w:p>
            <w:pPr>
              <w:pStyle w:val="Compact"/>
              <w:jc w:val="right"/>
            </w:pPr>
            <w:r>
              <w:t xml:space="preserve">-3.5743509</w:t>
            </w:r>
          </w:p>
        </w:tc>
        <w:tc>
          <w:tcPr/>
          <w:p>
            <w:pPr>
              <w:pStyle w:val="Compact"/>
              <w:jc w:val="right"/>
            </w:pPr>
            <w:r>
              <w:t xml:space="preserve">570</w:t>
            </w:r>
          </w:p>
        </w:tc>
        <w:tc>
          <w:tcPr/>
          <w:p>
            <w:pPr>
              <w:pStyle w:val="Compact"/>
              <w:jc w:val="right"/>
            </w:pPr>
            <w:r>
              <w:t xml:space="preserve">0.0003809</w:t>
            </w:r>
          </w:p>
        </w:tc>
      </w:tr>
      <w:tr>
        <w:tc>
          <w:tcPr/>
          <w:p>
            <w:pPr>
              <w:pStyle w:val="Compact"/>
              <w:jc w:val="left"/>
            </w:pPr>
            <w:r>
              <w:t xml:space="preserve">5</w:t>
            </w:r>
          </w:p>
        </w:tc>
        <w:tc>
          <w:tcPr/>
          <w:p>
            <w:pPr>
              <w:pStyle w:val="Compact"/>
              <w:jc w:val="left"/>
            </w:pPr>
            <w:r>
              <w:t xml:space="preserve">ScreenIntervalMeanMSM</w:t>
            </w:r>
          </w:p>
        </w:tc>
        <w:tc>
          <w:tcPr/>
          <w:p>
            <w:pPr>
              <w:pStyle w:val="Compact"/>
              <w:jc w:val="right"/>
            </w:pPr>
            <w:r>
              <w:t xml:space="preserve">-0.1467079</w:t>
            </w:r>
          </w:p>
        </w:tc>
        <w:tc>
          <w:tcPr/>
          <w:p>
            <w:pPr>
              <w:pStyle w:val="Compact"/>
              <w:jc w:val="right"/>
            </w:pPr>
            <w:r>
              <w:t xml:space="preserve">-0.2280862</w:t>
            </w:r>
          </w:p>
        </w:tc>
        <w:tc>
          <w:tcPr/>
          <w:p>
            <w:pPr>
              <w:pStyle w:val="Compact"/>
              <w:jc w:val="right"/>
            </w:pPr>
            <w:r>
              <w:t xml:space="preserve">-0.0653295</w:t>
            </w:r>
          </w:p>
        </w:tc>
        <w:tc>
          <w:tcPr/>
          <w:p>
            <w:pPr>
              <w:pStyle w:val="Compact"/>
              <w:jc w:val="right"/>
            </w:pPr>
            <w:r>
              <w:t xml:space="preserve">-3.5409153</w:t>
            </w:r>
          </w:p>
        </w:tc>
        <w:tc>
          <w:tcPr/>
          <w:p>
            <w:pPr>
              <w:pStyle w:val="Compact"/>
              <w:jc w:val="right"/>
            </w:pPr>
            <w:r>
              <w:t xml:space="preserve">570</w:t>
            </w:r>
          </w:p>
        </w:tc>
        <w:tc>
          <w:tcPr/>
          <w:p>
            <w:pPr>
              <w:pStyle w:val="Compact"/>
              <w:jc w:val="right"/>
            </w:pPr>
            <w:r>
              <w:t xml:space="preserve">0.0004313</w:t>
            </w:r>
          </w:p>
        </w:tc>
      </w:tr>
      <w:tr>
        <w:tc>
          <w:tcPr/>
          <w:p>
            <w:pPr>
              <w:pStyle w:val="Compact"/>
              <w:jc w:val="left"/>
            </w:pPr>
            <w:r>
              <w:t xml:space="preserve">7</w:t>
            </w:r>
          </w:p>
        </w:tc>
        <w:tc>
          <w:tcPr/>
          <w:p>
            <w:pPr>
              <w:pStyle w:val="Compact"/>
              <w:jc w:val="left"/>
            </w:pPr>
            <w:r>
              <w:t xml:space="preserve">DelayToRetreatmentMSM</w:t>
            </w:r>
          </w:p>
        </w:tc>
        <w:tc>
          <w:tcPr/>
          <w:p>
            <w:pPr>
              <w:pStyle w:val="Compact"/>
              <w:jc w:val="right"/>
            </w:pPr>
            <w:r>
              <w:t xml:space="preserve">0.1355313</w:t>
            </w:r>
          </w:p>
        </w:tc>
        <w:tc>
          <w:tcPr/>
          <w:p>
            <w:pPr>
              <w:pStyle w:val="Compact"/>
              <w:jc w:val="right"/>
            </w:pPr>
            <w:r>
              <w:t xml:space="preserve">0.0540219</w:t>
            </w:r>
          </w:p>
        </w:tc>
        <w:tc>
          <w:tcPr/>
          <w:p>
            <w:pPr>
              <w:pStyle w:val="Compact"/>
              <w:jc w:val="right"/>
            </w:pPr>
            <w:r>
              <w:t xml:space="preserve">0.2170408</w:t>
            </w:r>
          </w:p>
        </w:tc>
        <w:tc>
          <w:tcPr/>
          <w:p>
            <w:pPr>
              <w:pStyle w:val="Compact"/>
              <w:jc w:val="right"/>
            </w:pPr>
            <w:r>
              <w:t xml:space="preserve">3.2659007</w:t>
            </w:r>
          </w:p>
        </w:tc>
        <w:tc>
          <w:tcPr/>
          <w:p>
            <w:pPr>
              <w:pStyle w:val="Compact"/>
              <w:jc w:val="right"/>
            </w:pPr>
            <w:r>
              <w:t xml:space="preserve">570</w:t>
            </w:r>
          </w:p>
        </w:tc>
        <w:tc>
          <w:tcPr/>
          <w:p>
            <w:pPr>
              <w:pStyle w:val="Compact"/>
              <w:jc w:val="right"/>
            </w:pPr>
            <w:r>
              <w:t xml:space="preserve">0.0011567</w:t>
            </w:r>
          </w:p>
        </w:tc>
      </w:tr>
      <w:tr>
        <w:tc>
          <w:tcPr/>
          <w:p>
            <w:pPr>
              <w:pStyle w:val="Compact"/>
              <w:jc w:val="left"/>
            </w:pPr>
            <w:r>
              <w:t xml:space="preserve">11</w:t>
            </w:r>
          </w:p>
        </w:tc>
        <w:tc>
          <w:tcPr/>
          <w:p>
            <w:pPr>
              <w:pStyle w:val="Compact"/>
              <w:jc w:val="left"/>
            </w:pPr>
            <w:r>
              <w:t xml:space="preserve">PercentResistantA</w:t>
            </w:r>
          </w:p>
        </w:tc>
        <w:tc>
          <w:tcPr/>
          <w:p>
            <w:pPr>
              <w:pStyle w:val="Compact"/>
              <w:jc w:val="right"/>
            </w:pPr>
            <w:r>
              <w:t xml:space="preserve">0.1329678</w:t>
            </w:r>
          </w:p>
        </w:tc>
        <w:tc>
          <w:tcPr/>
          <w:p>
            <w:pPr>
              <w:pStyle w:val="Compact"/>
              <w:jc w:val="right"/>
            </w:pPr>
            <w:r>
              <w:t xml:space="preserve">0.0514297</w:t>
            </w:r>
          </w:p>
        </w:tc>
        <w:tc>
          <w:tcPr/>
          <w:p>
            <w:pPr>
              <w:pStyle w:val="Compact"/>
              <w:jc w:val="right"/>
            </w:pPr>
            <w:r>
              <w:t xml:space="preserve">0.2145058</w:t>
            </w:r>
          </w:p>
        </w:tc>
        <w:tc>
          <w:tcPr/>
          <w:p>
            <w:pPr>
              <w:pStyle w:val="Compact"/>
              <w:jc w:val="right"/>
            </w:pPr>
            <w:r>
              <w:t xml:space="preserve">3.2030037</w:t>
            </w:r>
          </w:p>
        </w:tc>
        <w:tc>
          <w:tcPr/>
          <w:p>
            <w:pPr>
              <w:pStyle w:val="Compact"/>
              <w:jc w:val="right"/>
            </w:pPr>
            <w:r>
              <w:t xml:space="preserve">570</w:t>
            </w:r>
          </w:p>
        </w:tc>
        <w:tc>
          <w:tcPr/>
          <w:p>
            <w:pPr>
              <w:pStyle w:val="Compact"/>
              <w:jc w:val="right"/>
            </w:pPr>
            <w:r>
              <w:t xml:space="preserve">0.0014359</w:t>
            </w:r>
          </w:p>
        </w:tc>
      </w:tr>
      <w:tr>
        <w:tc>
          <w:tcPr/>
          <w:p>
            <w:pPr>
              <w:pStyle w:val="Compact"/>
              <w:jc w:val="left"/>
            </w:pPr>
            <w:r>
              <w:t xml:space="preserve">14</w:t>
            </w:r>
          </w:p>
        </w:tc>
        <w:tc>
          <w:tcPr/>
          <w:p>
            <w:pPr>
              <w:pStyle w:val="Compact"/>
              <w:jc w:val="left"/>
            </w:pPr>
            <w:r>
              <w:t xml:space="preserve">ProbDevelopResistanceAExponent</w:t>
            </w:r>
          </w:p>
        </w:tc>
        <w:tc>
          <w:tcPr/>
          <w:p>
            <w:pPr>
              <w:pStyle w:val="Compact"/>
              <w:jc w:val="right"/>
            </w:pPr>
            <w:r>
              <w:t xml:space="preserve">0.1179799</w:t>
            </w:r>
          </w:p>
        </w:tc>
        <w:tc>
          <w:tcPr/>
          <w:p>
            <w:pPr>
              <w:pStyle w:val="Compact"/>
              <w:jc w:val="right"/>
            </w:pPr>
            <w:r>
              <w:t xml:space="preserve">0.0362859</w:t>
            </w:r>
          </w:p>
        </w:tc>
        <w:tc>
          <w:tcPr/>
          <w:p>
            <w:pPr>
              <w:pStyle w:val="Compact"/>
              <w:jc w:val="right"/>
            </w:pPr>
            <w:r>
              <w:t xml:space="preserve">0.1996739</w:t>
            </w:r>
          </w:p>
        </w:tc>
        <w:tc>
          <w:tcPr/>
          <w:p>
            <w:pPr>
              <w:pStyle w:val="Compact"/>
              <w:jc w:val="right"/>
            </w:pPr>
            <w:r>
              <w:t xml:space="preserve">2.8365417</w:t>
            </w:r>
          </w:p>
        </w:tc>
        <w:tc>
          <w:tcPr/>
          <w:p>
            <w:pPr>
              <w:pStyle w:val="Compact"/>
              <w:jc w:val="right"/>
            </w:pPr>
            <w:r>
              <w:t xml:space="preserve">570</w:t>
            </w:r>
          </w:p>
        </w:tc>
        <w:tc>
          <w:tcPr/>
          <w:p>
            <w:pPr>
              <w:pStyle w:val="Compact"/>
              <w:jc w:val="right"/>
            </w:pPr>
            <w:r>
              <w:t xml:space="preserve">0.0047226</w:t>
            </w:r>
          </w:p>
        </w:tc>
      </w:tr>
      <w:tr>
        <w:tc>
          <w:tcPr/>
          <w:p>
            <w:pPr>
              <w:pStyle w:val="Compact"/>
              <w:jc w:val="left"/>
            </w:pPr>
            <w:r>
              <w:t xml:space="preserve">3</w:t>
            </w:r>
          </w:p>
        </w:tc>
        <w:tc>
          <w:tcPr/>
          <w:p>
            <w:pPr>
              <w:pStyle w:val="Compact"/>
              <w:jc w:val="left"/>
            </w:pPr>
            <w:r>
              <w:t xml:space="preserve">NaturalRecoveryTime</w:t>
            </w:r>
          </w:p>
        </w:tc>
        <w:tc>
          <w:tcPr/>
          <w:p>
            <w:pPr>
              <w:pStyle w:val="Compact"/>
              <w:jc w:val="right"/>
            </w:pPr>
            <w:r>
              <w:t xml:space="preserve">0.1135375</w:t>
            </w:r>
          </w:p>
        </w:tc>
        <w:tc>
          <w:tcPr/>
          <w:p>
            <w:pPr>
              <w:pStyle w:val="Compact"/>
              <w:jc w:val="right"/>
            </w:pPr>
            <w:r>
              <w:t xml:space="preserve">0.0318010</w:t>
            </w:r>
          </w:p>
        </w:tc>
        <w:tc>
          <w:tcPr/>
          <w:p>
            <w:pPr>
              <w:pStyle w:val="Compact"/>
              <w:jc w:val="right"/>
            </w:pPr>
            <w:r>
              <w:t xml:space="preserve">0.1952741</w:t>
            </w:r>
          </w:p>
        </w:tc>
        <w:tc>
          <w:tcPr/>
          <w:p>
            <w:pPr>
              <w:pStyle w:val="Compact"/>
              <w:jc w:val="right"/>
            </w:pPr>
            <w:r>
              <w:t xml:space="preserve">2.7283135</w:t>
            </w:r>
          </w:p>
        </w:tc>
        <w:tc>
          <w:tcPr/>
          <w:p>
            <w:pPr>
              <w:pStyle w:val="Compact"/>
              <w:jc w:val="right"/>
            </w:pPr>
            <w:r>
              <w:t xml:space="preserve">570</w:t>
            </w:r>
          </w:p>
        </w:tc>
        <w:tc>
          <w:tcPr/>
          <w:p>
            <w:pPr>
              <w:pStyle w:val="Compact"/>
              <w:jc w:val="right"/>
            </w:pPr>
            <w:r>
              <w:t xml:space="preserve">0.0065623</w:t>
            </w:r>
          </w:p>
        </w:tc>
      </w:tr>
      <w:tr>
        <w:tc>
          <w:tcPr/>
          <w:p>
            <w:pPr>
              <w:pStyle w:val="Compact"/>
              <w:jc w:val="left"/>
            </w:pPr>
            <w:r>
              <w:t xml:space="preserve">12</w:t>
            </w:r>
          </w:p>
        </w:tc>
        <w:tc>
          <w:tcPr/>
          <w:p>
            <w:pPr>
              <w:pStyle w:val="Compact"/>
              <w:jc w:val="left"/>
            </w:pPr>
            <w:r>
              <w:t xml:space="preserve">BeginImportingB</w:t>
            </w:r>
          </w:p>
        </w:tc>
        <w:tc>
          <w:tcPr/>
          <w:p>
            <w:pPr>
              <w:pStyle w:val="Compact"/>
              <w:jc w:val="right"/>
            </w:pPr>
            <w:r>
              <w:t xml:space="preserve">-0.1056466</w:t>
            </w:r>
          </w:p>
        </w:tc>
        <w:tc>
          <w:tcPr/>
          <w:p>
            <w:pPr>
              <w:pStyle w:val="Compact"/>
              <w:jc w:val="right"/>
            </w:pPr>
            <w:r>
              <w:t xml:space="preserve">-0.1874547</w:t>
            </w:r>
          </w:p>
        </w:tc>
        <w:tc>
          <w:tcPr/>
          <w:p>
            <w:pPr>
              <w:pStyle w:val="Compact"/>
              <w:jc w:val="right"/>
            </w:pPr>
            <w:r>
              <w:t xml:space="preserve">-0.0238384</w:t>
            </w:r>
          </w:p>
        </w:tc>
        <w:tc>
          <w:tcPr/>
          <w:p>
            <w:pPr>
              <w:pStyle w:val="Compact"/>
              <w:jc w:val="right"/>
            </w:pPr>
            <w:r>
              <w:t xml:space="preserve">-2.5364720</w:t>
            </w:r>
          </w:p>
        </w:tc>
        <w:tc>
          <w:tcPr/>
          <w:p>
            <w:pPr>
              <w:pStyle w:val="Compact"/>
              <w:jc w:val="right"/>
            </w:pPr>
            <w:r>
              <w:t xml:space="preserve">570</w:t>
            </w:r>
          </w:p>
        </w:tc>
        <w:tc>
          <w:tcPr/>
          <w:p>
            <w:pPr>
              <w:pStyle w:val="Compact"/>
              <w:jc w:val="right"/>
            </w:pPr>
            <w:r>
              <w:t xml:space="preserve">0.0114633</w:t>
            </w:r>
          </w:p>
        </w:tc>
      </w:tr>
      <w:tr>
        <w:tc>
          <w:tcPr/>
          <w:p>
            <w:pPr>
              <w:pStyle w:val="Compact"/>
              <w:jc w:val="left"/>
            </w:pPr>
            <w:r>
              <w:t xml:space="preserve">13</w:t>
            </w:r>
          </w:p>
        </w:tc>
        <w:tc>
          <w:tcPr/>
          <w:p>
            <w:pPr>
              <w:pStyle w:val="Compact"/>
              <w:jc w:val="left"/>
            </w:pPr>
            <w:r>
              <w:t xml:space="preserve">ImportingBInterval</w:t>
            </w:r>
          </w:p>
        </w:tc>
        <w:tc>
          <w:tcPr/>
          <w:p>
            <w:pPr>
              <w:pStyle w:val="Compact"/>
              <w:jc w:val="right"/>
            </w:pPr>
            <w:r>
              <w:t xml:space="preserve">-0.0817235</w:t>
            </w:r>
          </w:p>
        </w:tc>
        <w:tc>
          <w:tcPr/>
          <w:p>
            <w:pPr>
              <w:pStyle w:val="Compact"/>
              <w:jc w:val="right"/>
            </w:pPr>
            <w:r>
              <w:t xml:space="preserve">-0.1637169</w:t>
            </w:r>
          </w:p>
        </w:tc>
        <w:tc>
          <w:tcPr/>
          <w:p>
            <w:pPr>
              <w:pStyle w:val="Compact"/>
              <w:jc w:val="right"/>
            </w:pPr>
            <w:r>
              <w:t xml:space="preserve">0.0002698</w:t>
            </w:r>
          </w:p>
        </w:tc>
        <w:tc>
          <w:tcPr/>
          <w:p>
            <w:pPr>
              <w:pStyle w:val="Compact"/>
              <w:jc w:val="right"/>
            </w:pPr>
            <w:r>
              <w:t xml:space="preserve">-1.9576710</w:t>
            </w:r>
          </w:p>
        </w:tc>
        <w:tc>
          <w:tcPr/>
          <w:p>
            <w:pPr>
              <w:pStyle w:val="Compact"/>
              <w:jc w:val="right"/>
            </w:pPr>
            <w:r>
              <w:t xml:space="preserve">570</w:t>
            </w:r>
          </w:p>
        </w:tc>
        <w:tc>
          <w:tcPr/>
          <w:p>
            <w:pPr>
              <w:pStyle w:val="Compact"/>
              <w:jc w:val="right"/>
            </w:pPr>
            <w:r>
              <w:t xml:space="preserve">0.0507562</w:t>
            </w:r>
          </w:p>
        </w:tc>
      </w:tr>
      <w:tr>
        <w:tc>
          <w:tcPr/>
          <w:p>
            <w:pPr>
              <w:pStyle w:val="Compact"/>
              <w:jc w:val="left"/>
            </w:pPr>
            <w:r>
              <w:t xml:space="preserve">9</w:t>
            </w:r>
          </w:p>
        </w:tc>
        <w:tc>
          <w:tcPr/>
          <w:p>
            <w:pPr>
              <w:pStyle w:val="Compact"/>
              <w:jc w:val="left"/>
            </w:pPr>
            <w:r>
              <w:t xml:space="preserve">activityGroupTransferProp</w:t>
            </w:r>
          </w:p>
        </w:tc>
        <w:tc>
          <w:tcPr/>
          <w:p>
            <w:pPr>
              <w:pStyle w:val="Compact"/>
              <w:jc w:val="right"/>
            </w:pPr>
            <w:r>
              <w:t xml:space="preserve">-0.0725992</w:t>
            </w:r>
          </w:p>
        </w:tc>
        <w:tc>
          <w:tcPr/>
          <w:p>
            <w:pPr>
              <w:pStyle w:val="Compact"/>
              <w:jc w:val="right"/>
            </w:pPr>
            <w:r>
              <w:t xml:space="preserve">-0.1546506</w:t>
            </w:r>
          </w:p>
        </w:tc>
        <w:tc>
          <w:tcPr/>
          <w:p>
            <w:pPr>
              <w:pStyle w:val="Compact"/>
              <w:jc w:val="right"/>
            </w:pPr>
            <w:r>
              <w:t xml:space="preserve">0.0094523</w:t>
            </w:r>
          </w:p>
        </w:tc>
        <w:tc>
          <w:tcPr/>
          <w:p>
            <w:pPr>
              <w:pStyle w:val="Compact"/>
              <w:jc w:val="right"/>
            </w:pPr>
            <w:r>
              <w:t xml:space="preserve">-1.7378675</w:t>
            </w:r>
          </w:p>
        </w:tc>
        <w:tc>
          <w:tcPr/>
          <w:p>
            <w:pPr>
              <w:pStyle w:val="Compact"/>
              <w:jc w:val="right"/>
            </w:pPr>
            <w:r>
              <w:t xml:space="preserve">570</w:t>
            </w:r>
          </w:p>
        </w:tc>
        <w:tc>
          <w:tcPr/>
          <w:p>
            <w:pPr>
              <w:pStyle w:val="Compact"/>
              <w:jc w:val="right"/>
            </w:pPr>
            <w:r>
              <w:t xml:space="preserve">0.0827742</w:t>
            </w:r>
          </w:p>
        </w:tc>
      </w:tr>
      <w:tr>
        <w:tc>
          <w:tcPr/>
          <w:p>
            <w:pPr>
              <w:pStyle w:val="Compact"/>
              <w:jc w:val="left"/>
            </w:pPr>
            <w:r>
              <w:t xml:space="preserve">20</w:t>
            </w:r>
          </w:p>
        </w:tc>
        <w:tc>
          <w:tcPr/>
          <w:p>
            <w:pPr>
              <w:pStyle w:val="Compact"/>
              <w:jc w:val="left"/>
            </w:pPr>
            <w:r>
              <w:t xml:space="preserve">StrainTestCost</w:t>
            </w:r>
          </w:p>
        </w:tc>
        <w:tc>
          <w:tcPr/>
          <w:p>
            <w:pPr>
              <w:pStyle w:val="Compact"/>
              <w:jc w:val="right"/>
            </w:pPr>
            <w:r>
              <w:t xml:space="preserve">0.0689611</w:t>
            </w:r>
          </w:p>
        </w:tc>
        <w:tc>
          <w:tcPr/>
          <w:p>
            <w:pPr>
              <w:pStyle w:val="Compact"/>
              <w:jc w:val="right"/>
            </w:pPr>
            <w:r>
              <w:t xml:space="preserve">-0.0131116</w:t>
            </w:r>
          </w:p>
        </w:tc>
        <w:tc>
          <w:tcPr/>
          <w:p>
            <w:pPr>
              <w:pStyle w:val="Compact"/>
              <w:jc w:val="right"/>
            </w:pPr>
            <w:r>
              <w:t xml:space="preserve">0.1510338</w:t>
            </w:r>
          </w:p>
        </w:tc>
        <w:tc>
          <w:tcPr/>
          <w:p>
            <w:pPr>
              <w:pStyle w:val="Compact"/>
              <w:jc w:val="right"/>
            </w:pPr>
            <w:r>
              <w:t xml:space="preserve">1.6503533</w:t>
            </w:r>
          </w:p>
        </w:tc>
        <w:tc>
          <w:tcPr/>
          <w:p>
            <w:pPr>
              <w:pStyle w:val="Compact"/>
              <w:jc w:val="right"/>
            </w:pPr>
            <w:r>
              <w:t xml:space="preserve">570</w:t>
            </w:r>
          </w:p>
        </w:tc>
        <w:tc>
          <w:tcPr/>
          <w:p>
            <w:pPr>
              <w:pStyle w:val="Compact"/>
              <w:jc w:val="right"/>
            </w:pPr>
            <w:r>
              <w:t xml:space="preserve">0.0994216</w:t>
            </w:r>
          </w:p>
        </w:tc>
      </w:tr>
      <w:tr>
        <w:tc>
          <w:tcPr/>
          <w:p>
            <w:pPr>
              <w:pStyle w:val="Compact"/>
              <w:jc w:val="left"/>
            </w:pPr>
            <w:r>
              <w:t xml:space="preserve">19</w:t>
            </w:r>
          </w:p>
        </w:tc>
        <w:tc>
          <w:tcPr/>
          <w:p>
            <w:pPr>
              <w:pStyle w:val="Compact"/>
              <w:jc w:val="left"/>
            </w:pPr>
            <w:r>
              <w:t xml:space="preserve">TestCost</w:t>
            </w:r>
          </w:p>
        </w:tc>
        <w:tc>
          <w:tcPr/>
          <w:p>
            <w:pPr>
              <w:pStyle w:val="Compact"/>
              <w:jc w:val="right"/>
            </w:pPr>
            <w:r>
              <w:t xml:space="preserve">0.0641297</w:t>
            </w:r>
          </w:p>
        </w:tc>
        <w:tc>
          <w:tcPr/>
          <w:p>
            <w:pPr>
              <w:pStyle w:val="Compact"/>
              <w:jc w:val="right"/>
            </w:pPr>
            <w:r>
              <w:t xml:space="preserve">-0.0179695</w:t>
            </w:r>
          </w:p>
        </w:tc>
        <w:tc>
          <w:tcPr/>
          <w:p>
            <w:pPr>
              <w:pStyle w:val="Compact"/>
              <w:jc w:val="right"/>
            </w:pPr>
            <w:r>
              <w:t xml:space="preserve">0.1462289</w:t>
            </w:r>
          </w:p>
        </w:tc>
        <w:tc>
          <w:tcPr/>
          <w:p>
            <w:pPr>
              <w:pStyle w:val="Compact"/>
              <w:jc w:val="right"/>
            </w:pPr>
            <w:r>
              <w:t xml:space="preserve">1.5342342</w:t>
            </w:r>
          </w:p>
        </w:tc>
        <w:tc>
          <w:tcPr/>
          <w:p>
            <w:pPr>
              <w:pStyle w:val="Compact"/>
              <w:jc w:val="right"/>
            </w:pPr>
            <w:r>
              <w:t xml:space="preserve">570</w:t>
            </w:r>
          </w:p>
        </w:tc>
        <w:tc>
          <w:tcPr/>
          <w:p>
            <w:pPr>
              <w:pStyle w:val="Compact"/>
              <w:jc w:val="right"/>
            </w:pPr>
            <w:r>
              <w:t xml:space="preserve">0.1255269</w:t>
            </w:r>
          </w:p>
        </w:tc>
      </w:tr>
      <w:tr>
        <w:tc>
          <w:tcPr/>
          <w:p>
            <w:pPr>
              <w:pStyle w:val="Compact"/>
              <w:jc w:val="left"/>
            </w:pPr>
            <w:r>
              <w:t xml:space="preserve">16</w:t>
            </w:r>
          </w:p>
        </w:tc>
        <w:tc>
          <w:tcPr/>
          <w:p>
            <w:pPr>
              <w:pStyle w:val="Compact"/>
              <w:jc w:val="left"/>
            </w:pPr>
            <w:r>
              <w:t xml:space="preserve">DSTsensitivity</w:t>
            </w:r>
          </w:p>
        </w:tc>
        <w:tc>
          <w:tcPr/>
          <w:p>
            <w:pPr>
              <w:pStyle w:val="Compact"/>
              <w:jc w:val="right"/>
            </w:pPr>
            <w:r>
              <w:t xml:space="preserve">0.0579872</w:t>
            </w:r>
          </w:p>
        </w:tc>
        <w:tc>
          <w:tcPr/>
          <w:p>
            <w:pPr>
              <w:pStyle w:val="Compact"/>
              <w:jc w:val="right"/>
            </w:pPr>
            <w:r>
              <w:t xml:space="preserve">-0.0241430</w:t>
            </w:r>
          </w:p>
        </w:tc>
        <w:tc>
          <w:tcPr/>
          <w:p>
            <w:pPr>
              <w:pStyle w:val="Compact"/>
              <w:jc w:val="right"/>
            </w:pPr>
            <w:r>
              <w:t xml:space="preserve">0.1401173</w:t>
            </w:r>
          </w:p>
        </w:tc>
        <w:tc>
          <w:tcPr/>
          <w:p>
            <w:pPr>
              <w:pStyle w:val="Compact"/>
              <w:jc w:val="right"/>
            </w:pPr>
            <w:r>
              <w:t xml:space="preserve">1.3867577</w:t>
            </w:r>
          </w:p>
        </w:tc>
        <w:tc>
          <w:tcPr/>
          <w:p>
            <w:pPr>
              <w:pStyle w:val="Compact"/>
              <w:jc w:val="right"/>
            </w:pPr>
            <w:r>
              <w:t xml:space="preserve">570</w:t>
            </w:r>
          </w:p>
        </w:tc>
        <w:tc>
          <w:tcPr/>
          <w:p>
            <w:pPr>
              <w:pStyle w:val="Compact"/>
              <w:jc w:val="right"/>
            </w:pPr>
            <w:r>
              <w:t xml:space="preserve">0.1660577</w:t>
            </w:r>
          </w:p>
        </w:tc>
      </w:tr>
      <w:tr>
        <w:tc>
          <w:tcPr/>
          <w:p>
            <w:pPr>
              <w:pStyle w:val="Compact"/>
              <w:jc w:val="left"/>
            </w:pPr>
            <w:r>
              <w:t xml:space="preserve">15</w:t>
            </w:r>
          </w:p>
        </w:tc>
        <w:tc>
          <w:tcPr/>
          <w:p>
            <w:pPr>
              <w:pStyle w:val="Compact"/>
              <w:jc w:val="left"/>
            </w:pPr>
            <w:r>
              <w:t xml:space="preserve">ProbDevelopResistanceBExponent</w:t>
            </w:r>
          </w:p>
        </w:tc>
        <w:tc>
          <w:tcPr/>
          <w:p>
            <w:pPr>
              <w:pStyle w:val="Compact"/>
              <w:jc w:val="right"/>
            </w:pPr>
            <w:r>
              <w:t xml:space="preserve">-0.0548193</w:t>
            </w:r>
          </w:p>
        </w:tc>
        <w:tc>
          <w:tcPr/>
          <w:p>
            <w:pPr>
              <w:pStyle w:val="Compact"/>
              <w:jc w:val="right"/>
            </w:pPr>
            <w:r>
              <w:t xml:space="preserve">-0.1369641</w:t>
            </w:r>
          </w:p>
        </w:tc>
        <w:tc>
          <w:tcPr/>
          <w:p>
            <w:pPr>
              <w:pStyle w:val="Compact"/>
              <w:jc w:val="right"/>
            </w:pPr>
            <w:r>
              <w:t xml:space="preserve">0.0273256</w:t>
            </w:r>
          </w:p>
        </w:tc>
        <w:tc>
          <w:tcPr/>
          <w:p>
            <w:pPr>
              <w:pStyle w:val="Compact"/>
              <w:jc w:val="right"/>
            </w:pPr>
            <w:r>
              <w:t xml:space="preserve">-1.3107633</w:t>
            </w:r>
          </w:p>
        </w:tc>
        <w:tc>
          <w:tcPr/>
          <w:p>
            <w:pPr>
              <w:pStyle w:val="Compact"/>
              <w:jc w:val="right"/>
            </w:pPr>
            <w:r>
              <w:t xml:space="preserve">570</w:t>
            </w:r>
          </w:p>
        </w:tc>
        <w:tc>
          <w:tcPr/>
          <w:p>
            <w:pPr>
              <w:pStyle w:val="Compact"/>
              <w:jc w:val="right"/>
            </w:pPr>
            <w:r>
              <w:t xml:space="preserve">0.1904656</w:t>
            </w:r>
          </w:p>
        </w:tc>
      </w:tr>
      <w:tr>
        <w:tc>
          <w:tcPr/>
          <w:p>
            <w:pPr>
              <w:pStyle w:val="Compact"/>
              <w:jc w:val="left"/>
            </w:pPr>
            <w:r>
              <w:t xml:space="preserve">18</w:t>
            </w:r>
          </w:p>
        </w:tc>
        <w:tc>
          <w:tcPr/>
          <w:p>
            <w:pPr>
              <w:pStyle w:val="Compact"/>
              <w:jc w:val="left"/>
            </w:pPr>
            <w:r>
              <w:t xml:space="preserve">CareCost</w:t>
            </w:r>
          </w:p>
        </w:tc>
        <w:tc>
          <w:tcPr/>
          <w:p>
            <w:pPr>
              <w:pStyle w:val="Compact"/>
              <w:jc w:val="right"/>
            </w:pPr>
            <w:r>
              <w:t xml:space="preserve">-0.0240234</w:t>
            </w:r>
          </w:p>
        </w:tc>
        <w:tc>
          <w:tcPr/>
          <w:p>
            <w:pPr>
              <w:pStyle w:val="Compact"/>
              <w:jc w:val="right"/>
            </w:pPr>
            <w:r>
              <w:t xml:space="preserve">-0.1062682</w:t>
            </w:r>
          </w:p>
        </w:tc>
        <w:tc>
          <w:tcPr/>
          <w:p>
            <w:pPr>
              <w:pStyle w:val="Compact"/>
              <w:jc w:val="right"/>
            </w:pPr>
            <w:r>
              <w:t xml:space="preserve">0.0582214</w:t>
            </w:r>
          </w:p>
        </w:tc>
        <w:tc>
          <w:tcPr/>
          <w:p>
            <w:pPr>
              <w:pStyle w:val="Compact"/>
              <w:jc w:val="right"/>
            </w:pPr>
            <w:r>
              <w:t xml:space="preserve">-0.5737174</w:t>
            </w:r>
          </w:p>
        </w:tc>
        <w:tc>
          <w:tcPr/>
          <w:p>
            <w:pPr>
              <w:pStyle w:val="Compact"/>
              <w:jc w:val="right"/>
            </w:pPr>
            <w:r>
              <w:t xml:space="preserve">570</w:t>
            </w:r>
          </w:p>
        </w:tc>
        <w:tc>
          <w:tcPr/>
          <w:p>
            <w:pPr>
              <w:pStyle w:val="Compact"/>
              <w:jc w:val="right"/>
            </w:pPr>
            <w:r>
              <w:t xml:space="preserve">0.5663854</w:t>
            </w:r>
          </w:p>
        </w:tc>
      </w:tr>
      <w:tr>
        <w:tc>
          <w:tcPr/>
          <w:p>
            <w:pPr>
              <w:pStyle w:val="Compact"/>
              <w:jc w:val="left"/>
            </w:pPr>
            <w:r>
              <w:t xml:space="preserve">17</w:t>
            </w:r>
          </w:p>
        </w:tc>
        <w:tc>
          <w:tcPr/>
          <w:p>
            <w:pPr>
              <w:pStyle w:val="Compact"/>
              <w:jc w:val="left"/>
            </w:pPr>
            <w:r>
              <w:t xml:space="preserve">DSTspecificity</w:t>
            </w:r>
          </w:p>
        </w:tc>
        <w:tc>
          <w:tcPr/>
          <w:p>
            <w:pPr>
              <w:pStyle w:val="Compact"/>
              <w:jc w:val="right"/>
            </w:pPr>
            <w:r>
              <w:t xml:space="preserve">-0.0137530</w:t>
            </w:r>
          </w:p>
        </w:tc>
        <w:tc>
          <w:tcPr/>
          <w:p>
            <w:pPr>
              <w:pStyle w:val="Compact"/>
              <w:jc w:val="right"/>
            </w:pPr>
            <w:r>
              <w:t xml:space="preserve">-0.0960138</w:t>
            </w:r>
          </w:p>
        </w:tc>
        <w:tc>
          <w:tcPr/>
          <w:p>
            <w:pPr>
              <w:pStyle w:val="Compact"/>
              <w:jc w:val="right"/>
            </w:pPr>
            <w:r>
              <w:t xml:space="preserve">0.0685077</w:t>
            </w:r>
          </w:p>
        </w:tc>
        <w:tc>
          <w:tcPr/>
          <w:p>
            <w:pPr>
              <w:pStyle w:val="Compact"/>
              <w:jc w:val="right"/>
            </w:pPr>
            <w:r>
              <w:t xml:space="preserve">-0.3283801</w:t>
            </w:r>
          </w:p>
        </w:tc>
        <w:tc>
          <w:tcPr/>
          <w:p>
            <w:pPr>
              <w:pStyle w:val="Compact"/>
              <w:jc w:val="right"/>
            </w:pPr>
            <w:r>
              <w:t xml:space="preserve">570</w:t>
            </w:r>
          </w:p>
        </w:tc>
        <w:tc>
          <w:tcPr/>
          <w:p>
            <w:pPr>
              <w:pStyle w:val="Compact"/>
              <w:jc w:val="right"/>
            </w:pPr>
            <w:r>
              <w:t xml:space="preserve">0.7427449</w:t>
            </w:r>
          </w:p>
        </w:tc>
      </w:tr>
      <w:tr>
        <w:tc>
          <w:tcPr/>
          <w:p>
            <w:pPr>
              <w:pStyle w:val="Compact"/>
              <w:jc w:val="left"/>
            </w:pPr>
            <w:r>
              <w:t xml:space="preserve">23</w:t>
            </w:r>
          </w:p>
        </w:tc>
        <w:tc>
          <w:tcPr/>
          <w:p>
            <w:pPr>
              <w:pStyle w:val="Compact"/>
              <w:jc w:val="left"/>
            </w:pPr>
            <w:r>
              <w:t xml:space="preserve">DrugXTreatmentCost</w:t>
            </w:r>
          </w:p>
        </w:tc>
        <w:tc>
          <w:tcPr/>
          <w:p>
            <w:pPr>
              <w:pStyle w:val="Compact"/>
              <w:jc w:val="right"/>
            </w:pPr>
            <w:r>
              <w:t xml:space="preserve">0.0122955</w:t>
            </w:r>
          </w:p>
        </w:tc>
        <w:tc>
          <w:tcPr/>
          <w:p>
            <w:pPr>
              <w:pStyle w:val="Compact"/>
              <w:jc w:val="right"/>
            </w:pPr>
            <w:r>
              <w:t xml:space="preserve">-0.0699669</w:t>
            </w:r>
          </w:p>
        </w:tc>
        <w:tc>
          <w:tcPr/>
          <w:p>
            <w:pPr>
              <w:pStyle w:val="Compact"/>
              <w:jc w:val="right"/>
            </w:pPr>
            <w:r>
              <w:t xml:space="preserve">0.0945578</w:t>
            </w:r>
          </w:p>
        </w:tc>
        <w:tc>
          <w:tcPr/>
          <w:p>
            <w:pPr>
              <w:pStyle w:val="Compact"/>
              <w:jc w:val="right"/>
            </w:pPr>
            <w:r>
              <w:t xml:space="preserve">0.2935726</w:t>
            </w:r>
          </w:p>
        </w:tc>
        <w:tc>
          <w:tcPr/>
          <w:p>
            <w:pPr>
              <w:pStyle w:val="Compact"/>
              <w:jc w:val="right"/>
            </w:pPr>
            <w:r>
              <w:t xml:space="preserve">570</w:t>
            </w:r>
          </w:p>
        </w:tc>
        <w:tc>
          <w:tcPr/>
          <w:p>
            <w:pPr>
              <w:pStyle w:val="Compact"/>
              <w:jc w:val="right"/>
            </w:pPr>
            <w:r>
              <w:t xml:space="preserve">0.7691914</w:t>
            </w:r>
          </w:p>
        </w:tc>
      </w:tr>
      <w:tr>
        <w:tc>
          <w:tcPr/>
          <w:p>
            <w:pPr>
              <w:pStyle w:val="Compact"/>
              <w:jc w:val="left"/>
            </w:pPr>
            <w:r>
              <w:t xml:space="preserve">24</w:t>
            </w:r>
          </w:p>
        </w:tc>
        <w:tc>
          <w:tcPr/>
          <w:p>
            <w:pPr>
              <w:pStyle w:val="Compact"/>
              <w:jc w:val="left"/>
            </w:pPr>
            <w:r>
              <w:t xml:space="preserve">DrugETreatmentCost</w:t>
            </w:r>
          </w:p>
        </w:tc>
        <w:tc>
          <w:tcPr/>
          <w:p>
            <w:pPr>
              <w:pStyle w:val="Compact"/>
              <w:jc w:val="right"/>
            </w:pPr>
            <w:r>
              <w:t xml:space="preserve">-0.0114478</w:t>
            </w:r>
          </w:p>
        </w:tc>
        <w:tc>
          <w:tcPr/>
          <w:p>
            <w:pPr>
              <w:pStyle w:val="Compact"/>
              <w:jc w:val="right"/>
            </w:pPr>
            <w:r>
              <w:t xml:space="preserve">-0.0937109</w:t>
            </w:r>
          </w:p>
        </w:tc>
        <w:tc>
          <w:tcPr/>
          <w:p>
            <w:pPr>
              <w:pStyle w:val="Compact"/>
              <w:jc w:val="right"/>
            </w:pPr>
            <w:r>
              <w:t xml:space="preserve">0.0708154</w:t>
            </w:r>
          </w:p>
        </w:tc>
        <w:tc>
          <w:tcPr/>
          <w:p>
            <w:pPr>
              <w:pStyle w:val="Compact"/>
              <w:jc w:val="right"/>
            </w:pPr>
            <w:r>
              <w:t xml:space="preserve">-0.2733293</w:t>
            </w:r>
          </w:p>
        </w:tc>
        <w:tc>
          <w:tcPr/>
          <w:p>
            <w:pPr>
              <w:pStyle w:val="Compact"/>
              <w:jc w:val="right"/>
            </w:pPr>
            <w:r>
              <w:t xml:space="preserve">570</w:t>
            </w:r>
          </w:p>
        </w:tc>
        <w:tc>
          <w:tcPr/>
          <w:p>
            <w:pPr>
              <w:pStyle w:val="Compact"/>
              <w:jc w:val="right"/>
            </w:pPr>
            <w:r>
              <w:t xml:space="preserve">0.7846991</w:t>
            </w:r>
          </w:p>
        </w:tc>
      </w:tr>
      <w:tr>
        <w:tc>
          <w:tcPr/>
          <w:p>
            <w:pPr>
              <w:pStyle w:val="Compact"/>
              <w:jc w:val="left"/>
            </w:pPr>
            <w:r>
              <w:t xml:space="preserve">22</w:t>
            </w:r>
          </w:p>
        </w:tc>
        <w:tc>
          <w:tcPr/>
          <w:p>
            <w:pPr>
              <w:pStyle w:val="Compact"/>
              <w:jc w:val="left"/>
            </w:pPr>
            <w:r>
              <w:t xml:space="preserve">DrugBTreatmentCost</w:t>
            </w:r>
          </w:p>
        </w:tc>
        <w:tc>
          <w:tcPr/>
          <w:p>
            <w:pPr>
              <w:pStyle w:val="Compact"/>
              <w:jc w:val="right"/>
            </w:pPr>
            <w:r>
              <w:t xml:space="preserve">0.0102498</w:t>
            </w:r>
          </w:p>
        </w:tc>
        <w:tc>
          <w:tcPr/>
          <w:p>
            <w:pPr>
              <w:pStyle w:val="Compact"/>
              <w:jc w:val="right"/>
            </w:pPr>
            <w:r>
              <w:t xml:space="preserve">-0.0720144</w:t>
            </w:r>
          </w:p>
        </w:tc>
        <w:tc>
          <w:tcPr/>
          <w:p>
            <w:pPr>
              <w:pStyle w:val="Compact"/>
              <w:jc w:val="right"/>
            </w:pPr>
            <w:r>
              <w:t xml:space="preserve">0.0925141</w:t>
            </w:r>
          </w:p>
        </w:tc>
        <w:tc>
          <w:tcPr/>
          <w:p>
            <w:pPr>
              <w:pStyle w:val="Compact"/>
              <w:jc w:val="right"/>
            </w:pPr>
            <w:r>
              <w:t xml:space="preserve">0.2447245</w:t>
            </w:r>
          </w:p>
        </w:tc>
        <w:tc>
          <w:tcPr/>
          <w:p>
            <w:pPr>
              <w:pStyle w:val="Compact"/>
              <w:jc w:val="right"/>
            </w:pPr>
            <w:r>
              <w:t xml:space="preserve">570</w:t>
            </w:r>
          </w:p>
        </w:tc>
        <w:tc>
          <w:tcPr/>
          <w:p>
            <w:pPr>
              <w:pStyle w:val="Compact"/>
              <w:jc w:val="right"/>
            </w:pPr>
            <w:r>
              <w:t xml:space="preserve">0.8067578</w:t>
            </w:r>
          </w:p>
        </w:tc>
      </w:tr>
      <w:tr>
        <w:tc>
          <w:tcPr/>
          <w:p>
            <w:pPr>
              <w:pStyle w:val="Compact"/>
              <w:jc w:val="left"/>
            </w:pPr>
            <w:r>
              <w:t xml:space="preserve">21</w:t>
            </w:r>
          </w:p>
        </w:tc>
        <w:tc>
          <w:tcPr/>
          <w:p>
            <w:pPr>
              <w:pStyle w:val="Compact"/>
              <w:jc w:val="left"/>
            </w:pPr>
            <w:r>
              <w:t xml:space="preserve">DrugATreatmentCost</w:t>
            </w:r>
          </w:p>
        </w:tc>
        <w:tc>
          <w:tcPr/>
          <w:p>
            <w:pPr>
              <w:pStyle w:val="Compact"/>
              <w:jc w:val="right"/>
            </w:pPr>
            <w:r>
              <w:t xml:space="preserve">-0.0098988</w:t>
            </w:r>
          </w:p>
        </w:tc>
        <w:tc>
          <w:tcPr/>
          <w:p>
            <w:pPr>
              <w:pStyle w:val="Compact"/>
              <w:jc w:val="right"/>
            </w:pPr>
            <w:r>
              <w:t xml:space="preserve">-0.0921633</w:t>
            </w:r>
          </w:p>
        </w:tc>
        <w:tc>
          <w:tcPr/>
          <w:p>
            <w:pPr>
              <w:pStyle w:val="Compact"/>
              <w:jc w:val="right"/>
            </w:pPr>
            <w:r>
              <w:t xml:space="preserve">0.0723657</w:t>
            </w:r>
          </w:p>
        </w:tc>
        <w:tc>
          <w:tcPr/>
          <w:p>
            <w:pPr>
              <w:pStyle w:val="Compact"/>
              <w:jc w:val="right"/>
            </w:pPr>
            <w:r>
              <w:t xml:space="preserve">-0.2363423</w:t>
            </w:r>
          </w:p>
        </w:tc>
        <w:tc>
          <w:tcPr/>
          <w:p>
            <w:pPr>
              <w:pStyle w:val="Compact"/>
              <w:jc w:val="right"/>
            </w:pPr>
            <w:r>
              <w:t xml:space="preserve">570</w:t>
            </w:r>
          </w:p>
        </w:tc>
        <w:tc>
          <w:tcPr/>
          <w:p>
            <w:pPr>
              <w:pStyle w:val="Compact"/>
              <w:jc w:val="right"/>
            </w:pPr>
            <w:r>
              <w:t xml:space="preserve">0.8132520</w:t>
            </w:r>
          </w:p>
        </w:tc>
      </w:tr>
      <w:tr>
        <w:tc>
          <w:tcPr/>
          <w:p>
            <w:pPr>
              <w:pStyle w:val="Compact"/>
              <w:jc w:val="left"/>
            </w:pPr>
            <w:r>
              <w:t xml:space="preserve">6</w:t>
            </w:r>
          </w:p>
        </w:tc>
        <w:tc>
          <w:tcPr/>
          <w:p>
            <w:pPr>
              <w:pStyle w:val="Compact"/>
              <w:jc w:val="left"/>
            </w:pPr>
            <w:r>
              <w:t xml:space="preserve">DelayToSeekCareMSM</w:t>
            </w:r>
          </w:p>
        </w:tc>
        <w:tc>
          <w:tcPr/>
          <w:p>
            <w:pPr>
              <w:pStyle w:val="Compact"/>
              <w:jc w:val="right"/>
            </w:pPr>
            <w:r>
              <w:t xml:space="preserve">0.0082964</w:t>
            </w:r>
          </w:p>
        </w:tc>
        <w:tc>
          <w:tcPr/>
          <w:p>
            <w:pPr>
              <w:pStyle w:val="Compact"/>
              <w:jc w:val="right"/>
            </w:pPr>
            <w:r>
              <w:t xml:space="preserve">-0.0739693</w:t>
            </w:r>
          </w:p>
        </w:tc>
        <w:tc>
          <w:tcPr/>
          <w:p>
            <w:pPr>
              <w:pStyle w:val="Compact"/>
              <w:jc w:val="right"/>
            </w:pPr>
            <w:r>
              <w:t xml:space="preserve">0.0905621</w:t>
            </w:r>
          </w:p>
        </w:tc>
        <w:tc>
          <w:tcPr/>
          <w:p>
            <w:pPr>
              <w:pStyle w:val="Compact"/>
              <w:jc w:val="right"/>
            </w:pPr>
            <w:r>
              <w:t xml:space="preserve">0.1980800</w:t>
            </w:r>
          </w:p>
        </w:tc>
        <w:tc>
          <w:tcPr/>
          <w:p>
            <w:pPr>
              <w:pStyle w:val="Compact"/>
              <w:jc w:val="right"/>
            </w:pPr>
            <w:r>
              <w:t xml:space="preserve">570</w:t>
            </w:r>
          </w:p>
        </w:tc>
        <w:tc>
          <w:tcPr/>
          <w:p>
            <w:pPr>
              <w:pStyle w:val="Compact"/>
              <w:jc w:val="right"/>
            </w:pPr>
            <w:r>
              <w:t xml:space="preserve">0.8430531</w:t>
            </w:r>
          </w:p>
        </w:tc>
      </w:tr>
    </w:tbl>
    <w:p/>
    <w:p>
      <w:pPr>
        <w:pStyle w:val="TableCaption"/>
      </w:pPr>
      <w:r>
        <w:t xml:space="preserve">QALYs PRCC</w:t>
      </w:r>
    </w:p>
    <w:tbl>
      <w:tblPr>
        <w:tblStyle w:val="Table"/>
        <w:tblW w:type="pct" w:w="5000"/>
        <w:tblLayout w:type="fixed"/>
        <w:tblLook w:firstRow="1" w:lastRow="0" w:firstColumn="0" w:lastColumn="0" w:noHBand="0" w:noVBand="0" w:val="0020"/>
        <w:tblCaption w:val="QALYs PRCC"/>
      </w:tblPr>
      <w:tblGrid>
        <w:gridCol w:w="247"/>
        <w:gridCol w:w="2557"/>
        <w:gridCol w:w="907"/>
        <w:gridCol w:w="907"/>
        <w:gridCol w:w="907"/>
        <w:gridCol w:w="1237"/>
        <w:gridCol w:w="330"/>
        <w:gridCol w:w="825"/>
      </w:tblGrid>
      <w:tr>
        <w:trPr>
          <w:tblHeader w:val="on"/>
        </w:trPr>
        <w:tc>
          <w:tcPr/>
          <w:p>
            <w:pPr>
              <w:pStyle w:val="Compact"/>
            </w:pPr>
          </w:p>
        </w:tc>
        <w:tc>
          <w:tcPr/>
          <w:p>
            <w:pPr>
              <w:pStyle w:val="Compact"/>
              <w:jc w:val="left"/>
            </w:pPr>
            <w:r>
              <w:t xml:space="preserve">var</w:t>
            </w:r>
          </w:p>
        </w:tc>
        <w:tc>
          <w:tcPr/>
          <w:p>
            <w:pPr>
              <w:pStyle w:val="Compact"/>
              <w:jc w:val="right"/>
            </w:pPr>
            <w:r>
              <w:t xml:space="preserve">est</w:t>
            </w:r>
          </w:p>
        </w:tc>
        <w:tc>
          <w:tcPr/>
          <w:p>
            <w:pPr>
              <w:pStyle w:val="Compact"/>
              <w:jc w:val="right"/>
            </w:pPr>
            <w:r>
              <w:t xml:space="preserve">lower</w:t>
            </w:r>
          </w:p>
        </w:tc>
        <w:tc>
          <w:tcPr/>
          <w:p>
            <w:pPr>
              <w:pStyle w:val="Compact"/>
              <w:jc w:val="right"/>
            </w:pPr>
            <w:r>
              <w:t xml:space="preserve">upper</w:t>
            </w:r>
          </w:p>
        </w:tc>
        <w:tc>
          <w:tcPr/>
          <w:p>
            <w:pPr>
              <w:pStyle w:val="Compact"/>
              <w:jc w:val="right"/>
            </w:pPr>
            <w:r>
              <w:t xml:space="preserve">test.statistic</w:t>
            </w:r>
          </w:p>
        </w:tc>
        <w:tc>
          <w:tcPr/>
          <w:p>
            <w:pPr>
              <w:pStyle w:val="Compact"/>
              <w:jc w:val="right"/>
            </w:pPr>
            <w:r>
              <w:t xml:space="preserve">df</w:t>
            </w:r>
          </w:p>
        </w:tc>
        <w:tc>
          <w:tcPr/>
          <w:p>
            <w:pPr>
              <w:pStyle w:val="Compact"/>
              <w:jc w:val="right"/>
            </w:pPr>
            <w:r>
              <w:t xml:space="preserve">p.value</w:t>
            </w:r>
          </w:p>
        </w:tc>
      </w:tr>
      <w:tr>
        <w:tc>
          <w:tcPr/>
          <w:p>
            <w:pPr>
              <w:pStyle w:val="Compact"/>
              <w:jc w:val="left"/>
            </w:pPr>
            <w:r>
              <w:t xml:space="preserve">4</w:t>
            </w:r>
          </w:p>
        </w:tc>
        <w:tc>
          <w:tcPr/>
          <w:p>
            <w:pPr>
              <w:pStyle w:val="Compact"/>
              <w:jc w:val="left"/>
            </w:pPr>
            <w:r>
              <w:t xml:space="preserve">ProbSymptomaticMSM</w:t>
            </w:r>
          </w:p>
        </w:tc>
        <w:tc>
          <w:tcPr/>
          <w:p>
            <w:pPr>
              <w:pStyle w:val="Compact"/>
              <w:jc w:val="right"/>
            </w:pPr>
            <w:r>
              <w:t xml:space="preserve">0.4301027</w:t>
            </w:r>
          </w:p>
        </w:tc>
        <w:tc>
          <w:tcPr/>
          <w:p>
            <w:pPr>
              <w:pStyle w:val="Compact"/>
              <w:jc w:val="right"/>
            </w:pPr>
            <w:r>
              <w:t xml:space="preserve">0.3558323</w:t>
            </w:r>
          </w:p>
        </w:tc>
        <w:tc>
          <w:tcPr/>
          <w:p>
            <w:pPr>
              <w:pStyle w:val="Compact"/>
              <w:jc w:val="right"/>
            </w:pPr>
            <w:r>
              <w:t xml:space="preserve">0.5043731</w:t>
            </w:r>
          </w:p>
        </w:tc>
        <w:tc>
          <w:tcPr/>
          <w:p>
            <w:pPr>
              <w:pStyle w:val="Compact"/>
              <w:jc w:val="right"/>
            </w:pPr>
            <w:r>
              <w:t xml:space="preserve">11.3743800</w:t>
            </w:r>
          </w:p>
        </w:tc>
        <w:tc>
          <w:tcPr/>
          <w:p>
            <w:pPr>
              <w:pStyle w:val="Compact"/>
              <w:jc w:val="right"/>
            </w:pPr>
            <w:r>
              <w:t xml:space="preserve">570</w:t>
            </w:r>
          </w:p>
        </w:tc>
        <w:tc>
          <w:tcPr/>
          <w:p>
            <w:pPr>
              <w:pStyle w:val="Compact"/>
              <w:jc w:val="right"/>
            </w:pPr>
            <w:r>
              <w:t xml:space="preserve">0.0000000</w:t>
            </w:r>
          </w:p>
        </w:tc>
      </w:tr>
      <w:tr>
        <w:tc>
          <w:tcPr/>
          <w:p>
            <w:pPr>
              <w:pStyle w:val="Compact"/>
              <w:jc w:val="left"/>
            </w:pPr>
            <w:r>
              <w:t xml:space="preserve">1</w:t>
            </w:r>
          </w:p>
        </w:tc>
        <w:tc>
          <w:tcPr/>
          <w:p>
            <w:pPr>
              <w:pStyle w:val="Compact"/>
              <w:jc w:val="left"/>
            </w:pPr>
            <w:r>
              <w:t xml:space="preserve">propHighActivity</w:t>
            </w:r>
          </w:p>
        </w:tc>
        <w:tc>
          <w:tcPr/>
          <w:p>
            <w:pPr>
              <w:pStyle w:val="Compact"/>
              <w:jc w:val="right"/>
            </w:pPr>
            <w:r>
              <w:t xml:space="preserve">0.3691540</w:t>
            </w:r>
          </w:p>
        </w:tc>
        <w:tc>
          <w:tcPr/>
          <w:p>
            <w:pPr>
              <w:pStyle w:val="Compact"/>
              <w:jc w:val="right"/>
            </w:pPr>
            <w:r>
              <w:t xml:space="preserve">0.2926962</w:t>
            </w:r>
          </w:p>
        </w:tc>
        <w:tc>
          <w:tcPr/>
          <w:p>
            <w:pPr>
              <w:pStyle w:val="Compact"/>
              <w:jc w:val="right"/>
            </w:pPr>
            <w:r>
              <w:t xml:space="preserve">0.4456117</w:t>
            </w:r>
          </w:p>
        </w:tc>
        <w:tc>
          <w:tcPr/>
          <w:p>
            <w:pPr>
              <w:pStyle w:val="Compact"/>
              <w:jc w:val="right"/>
            </w:pPr>
            <w:r>
              <w:t xml:space="preserve">9.4832483</w:t>
            </w:r>
          </w:p>
        </w:tc>
        <w:tc>
          <w:tcPr/>
          <w:p>
            <w:pPr>
              <w:pStyle w:val="Compact"/>
              <w:jc w:val="right"/>
            </w:pPr>
            <w:r>
              <w:t xml:space="preserve">570</w:t>
            </w:r>
          </w:p>
        </w:tc>
        <w:tc>
          <w:tcPr/>
          <w:p>
            <w:pPr>
              <w:pStyle w:val="Compact"/>
              <w:jc w:val="right"/>
            </w:pPr>
            <w:r>
              <w:t xml:space="preserve">0.0000000</w:t>
            </w:r>
          </w:p>
        </w:tc>
      </w:tr>
      <w:tr>
        <w:tc>
          <w:tcPr/>
          <w:p>
            <w:pPr>
              <w:pStyle w:val="Compact"/>
              <w:jc w:val="left"/>
            </w:pPr>
            <w:r>
              <w:t xml:space="preserve">10</w:t>
            </w:r>
          </w:p>
        </w:tc>
        <w:tc>
          <w:tcPr/>
          <w:p>
            <w:pPr>
              <w:pStyle w:val="Compact"/>
              <w:jc w:val="left"/>
            </w:pPr>
            <w:r>
              <w:t xml:space="preserve">activityGroupTransmissionRatio</w:t>
            </w:r>
          </w:p>
        </w:tc>
        <w:tc>
          <w:tcPr/>
          <w:p>
            <w:pPr>
              <w:pStyle w:val="Compact"/>
              <w:jc w:val="right"/>
            </w:pPr>
            <w:r>
              <w:t xml:space="preserve">0.2910384</w:t>
            </w:r>
          </w:p>
        </w:tc>
        <w:tc>
          <w:tcPr/>
          <w:p>
            <w:pPr>
              <w:pStyle w:val="Compact"/>
              <w:jc w:val="right"/>
            </w:pPr>
            <w:r>
              <w:t xml:space="preserve">0.2123311</w:t>
            </w:r>
          </w:p>
        </w:tc>
        <w:tc>
          <w:tcPr/>
          <w:p>
            <w:pPr>
              <w:pStyle w:val="Compact"/>
              <w:jc w:val="right"/>
            </w:pPr>
            <w:r>
              <w:t xml:space="preserve">0.3697456</w:t>
            </w:r>
          </w:p>
        </w:tc>
        <w:tc>
          <w:tcPr/>
          <w:p>
            <w:pPr>
              <w:pStyle w:val="Compact"/>
              <w:jc w:val="right"/>
            </w:pPr>
            <w:r>
              <w:t xml:space="preserve">7.2628439</w:t>
            </w:r>
          </w:p>
        </w:tc>
        <w:tc>
          <w:tcPr/>
          <w:p>
            <w:pPr>
              <w:pStyle w:val="Compact"/>
              <w:jc w:val="right"/>
            </w:pPr>
            <w:r>
              <w:t xml:space="preserve">570</w:t>
            </w:r>
          </w:p>
        </w:tc>
        <w:tc>
          <w:tcPr/>
          <w:p>
            <w:pPr>
              <w:pStyle w:val="Compact"/>
              <w:jc w:val="right"/>
            </w:pPr>
            <w:r>
              <w:t xml:space="preserve">0.0000000</w:t>
            </w:r>
          </w:p>
        </w:tc>
      </w:tr>
      <w:tr>
        <w:tc>
          <w:tcPr/>
          <w:p>
            <w:pPr>
              <w:pStyle w:val="Compact"/>
              <w:jc w:val="left"/>
            </w:pPr>
            <w:r>
              <w:t xml:space="preserve">7</w:t>
            </w:r>
          </w:p>
        </w:tc>
        <w:tc>
          <w:tcPr/>
          <w:p>
            <w:pPr>
              <w:pStyle w:val="Compact"/>
              <w:jc w:val="left"/>
            </w:pPr>
            <w:r>
              <w:t xml:space="preserve">DelayToRetreatmentMSM</w:t>
            </w:r>
          </w:p>
        </w:tc>
        <w:tc>
          <w:tcPr/>
          <w:p>
            <w:pPr>
              <w:pStyle w:val="Compact"/>
              <w:jc w:val="right"/>
            </w:pPr>
            <w:r>
              <w:t xml:space="preserve">0.2636135</w:t>
            </w:r>
          </w:p>
        </w:tc>
        <w:tc>
          <w:tcPr/>
          <w:p>
            <w:pPr>
              <w:pStyle w:val="Compact"/>
              <w:jc w:val="right"/>
            </w:pPr>
            <w:r>
              <w:t xml:space="preserve">0.1842549</w:t>
            </w:r>
          </w:p>
        </w:tc>
        <w:tc>
          <w:tcPr/>
          <w:p>
            <w:pPr>
              <w:pStyle w:val="Compact"/>
              <w:jc w:val="right"/>
            </w:pPr>
            <w:r>
              <w:t xml:space="preserve">0.3429721</w:t>
            </w:r>
          </w:p>
        </w:tc>
        <w:tc>
          <w:tcPr/>
          <w:p>
            <w:pPr>
              <w:pStyle w:val="Compact"/>
              <w:jc w:val="right"/>
            </w:pPr>
            <w:r>
              <w:t xml:space="preserve">6.5244673</w:t>
            </w:r>
          </w:p>
        </w:tc>
        <w:tc>
          <w:tcPr/>
          <w:p>
            <w:pPr>
              <w:pStyle w:val="Compact"/>
              <w:jc w:val="right"/>
            </w:pPr>
            <w:r>
              <w:t xml:space="preserve">570</w:t>
            </w:r>
          </w:p>
        </w:tc>
        <w:tc>
          <w:tcPr/>
          <w:p>
            <w:pPr>
              <w:pStyle w:val="Compact"/>
              <w:jc w:val="right"/>
            </w:pPr>
            <w:r>
              <w:t xml:space="preserve">0.0000000</w:t>
            </w:r>
          </w:p>
        </w:tc>
      </w:tr>
      <w:tr>
        <w:tc>
          <w:tcPr/>
          <w:p>
            <w:pPr>
              <w:pStyle w:val="Compact"/>
              <w:jc w:val="left"/>
            </w:pPr>
            <w:r>
              <w:t xml:space="preserve">6</w:t>
            </w:r>
          </w:p>
        </w:tc>
        <w:tc>
          <w:tcPr/>
          <w:p>
            <w:pPr>
              <w:pStyle w:val="Compact"/>
              <w:jc w:val="left"/>
            </w:pPr>
            <w:r>
              <w:t xml:space="preserve">DelayToSeekCareMSM</w:t>
            </w:r>
          </w:p>
        </w:tc>
        <w:tc>
          <w:tcPr/>
          <w:p>
            <w:pPr>
              <w:pStyle w:val="Compact"/>
              <w:jc w:val="right"/>
            </w:pPr>
            <w:r>
              <w:t xml:space="preserve">0.2344239</w:t>
            </w:r>
          </w:p>
        </w:tc>
        <w:tc>
          <w:tcPr/>
          <w:p>
            <w:pPr>
              <w:pStyle w:val="Compact"/>
              <w:jc w:val="right"/>
            </w:pPr>
            <w:r>
              <w:t xml:space="preserve">0.1544479</w:t>
            </w:r>
          </w:p>
        </w:tc>
        <w:tc>
          <w:tcPr/>
          <w:p>
            <w:pPr>
              <w:pStyle w:val="Compact"/>
              <w:jc w:val="right"/>
            </w:pPr>
            <w:r>
              <w:t xml:space="preserve">0.3144000</w:t>
            </w:r>
          </w:p>
        </w:tc>
        <w:tc>
          <w:tcPr/>
          <w:p>
            <w:pPr>
              <w:pStyle w:val="Compact"/>
              <w:jc w:val="right"/>
            </w:pPr>
            <w:r>
              <w:t xml:space="preserve">5.7572229</w:t>
            </w:r>
          </w:p>
        </w:tc>
        <w:tc>
          <w:tcPr/>
          <w:p>
            <w:pPr>
              <w:pStyle w:val="Compact"/>
              <w:jc w:val="right"/>
            </w:pPr>
            <w:r>
              <w:t xml:space="preserve">570</w:t>
            </w:r>
          </w:p>
        </w:tc>
        <w:tc>
          <w:tcPr/>
          <w:p>
            <w:pPr>
              <w:pStyle w:val="Compact"/>
              <w:jc w:val="right"/>
            </w:pPr>
            <w:r>
              <w:t xml:space="preserve">0.0000000</w:t>
            </w:r>
          </w:p>
        </w:tc>
      </w:tr>
      <w:tr>
        <w:tc>
          <w:tcPr/>
          <w:p>
            <w:pPr>
              <w:pStyle w:val="Compact"/>
              <w:jc w:val="left"/>
            </w:pPr>
            <w:r>
              <w:t xml:space="preserve">8</w:t>
            </w:r>
          </w:p>
        </w:tc>
        <w:tc>
          <w:tcPr/>
          <w:p>
            <w:pPr>
              <w:pStyle w:val="Compact"/>
              <w:jc w:val="left"/>
            </w:pPr>
            <w:r>
              <w:t xml:space="preserve">Assortativity</w:t>
            </w:r>
          </w:p>
        </w:tc>
        <w:tc>
          <w:tcPr/>
          <w:p>
            <w:pPr>
              <w:pStyle w:val="Compact"/>
              <w:jc w:val="right"/>
            </w:pPr>
            <w:r>
              <w:t xml:space="preserve">-0.1647268</w:t>
            </w:r>
          </w:p>
        </w:tc>
        <w:tc>
          <w:tcPr/>
          <w:p>
            <w:pPr>
              <w:pStyle w:val="Compact"/>
              <w:jc w:val="right"/>
            </w:pPr>
            <w:r>
              <w:t xml:space="preserve">-0.2458714</w:t>
            </w:r>
          </w:p>
        </w:tc>
        <w:tc>
          <w:tcPr/>
          <w:p>
            <w:pPr>
              <w:pStyle w:val="Compact"/>
              <w:jc w:val="right"/>
            </w:pPr>
            <w:r>
              <w:t xml:space="preserve">-0.0835821</w:t>
            </w:r>
          </w:p>
        </w:tc>
        <w:tc>
          <w:tcPr/>
          <w:p>
            <w:pPr>
              <w:pStyle w:val="Compact"/>
              <w:jc w:val="right"/>
            </w:pPr>
            <w:r>
              <w:t xml:space="preserve">-3.9872664</w:t>
            </w:r>
          </w:p>
        </w:tc>
        <w:tc>
          <w:tcPr/>
          <w:p>
            <w:pPr>
              <w:pStyle w:val="Compact"/>
              <w:jc w:val="right"/>
            </w:pPr>
            <w:r>
              <w:t xml:space="preserve">570</w:t>
            </w:r>
          </w:p>
        </w:tc>
        <w:tc>
          <w:tcPr/>
          <w:p>
            <w:pPr>
              <w:pStyle w:val="Compact"/>
              <w:jc w:val="right"/>
            </w:pPr>
            <w:r>
              <w:t xml:space="preserve">0.0000755</w:t>
            </w:r>
          </w:p>
        </w:tc>
      </w:tr>
      <w:tr>
        <w:tc>
          <w:tcPr/>
          <w:p>
            <w:pPr>
              <w:pStyle w:val="Compact"/>
              <w:jc w:val="left"/>
            </w:pPr>
            <w:r>
              <w:t xml:space="preserve">11</w:t>
            </w:r>
          </w:p>
        </w:tc>
        <w:tc>
          <w:tcPr/>
          <w:p>
            <w:pPr>
              <w:pStyle w:val="Compact"/>
              <w:jc w:val="left"/>
            </w:pPr>
            <w:r>
              <w:t xml:space="preserve">PercentResistantA</w:t>
            </w:r>
          </w:p>
        </w:tc>
        <w:tc>
          <w:tcPr/>
          <w:p>
            <w:pPr>
              <w:pStyle w:val="Compact"/>
              <w:jc w:val="right"/>
            </w:pPr>
            <w:r>
              <w:t xml:space="preserve">0.1472586</w:t>
            </w:r>
          </w:p>
        </w:tc>
        <w:tc>
          <w:tcPr/>
          <w:p>
            <w:pPr>
              <w:pStyle w:val="Compact"/>
              <w:jc w:val="right"/>
            </w:pPr>
            <w:r>
              <w:t xml:space="preserve">0.0658869</w:t>
            </w:r>
          </w:p>
        </w:tc>
        <w:tc>
          <w:tcPr/>
          <w:p>
            <w:pPr>
              <w:pStyle w:val="Compact"/>
              <w:jc w:val="right"/>
            </w:pPr>
            <w:r>
              <w:t xml:space="preserve">0.2286302</w:t>
            </w:r>
          </w:p>
        </w:tc>
        <w:tc>
          <w:tcPr/>
          <w:p>
            <w:pPr>
              <w:pStyle w:val="Compact"/>
              <w:jc w:val="right"/>
            </w:pPr>
            <w:r>
              <w:t xml:space="preserve">3.5545015</w:t>
            </w:r>
          </w:p>
        </w:tc>
        <w:tc>
          <w:tcPr/>
          <w:p>
            <w:pPr>
              <w:pStyle w:val="Compact"/>
              <w:jc w:val="right"/>
            </w:pPr>
            <w:r>
              <w:t xml:space="preserve">570</w:t>
            </w:r>
          </w:p>
        </w:tc>
        <w:tc>
          <w:tcPr/>
          <w:p>
            <w:pPr>
              <w:pStyle w:val="Compact"/>
              <w:jc w:val="right"/>
            </w:pPr>
            <w:r>
              <w:t xml:space="preserve">0.0004101</w:t>
            </w:r>
          </w:p>
        </w:tc>
      </w:tr>
      <w:tr>
        <w:tc>
          <w:tcPr/>
          <w:p>
            <w:pPr>
              <w:pStyle w:val="Compact"/>
              <w:jc w:val="left"/>
            </w:pPr>
            <w:r>
              <w:t xml:space="preserve">2</w:t>
            </w:r>
          </w:p>
        </w:tc>
        <w:tc>
          <w:tcPr/>
          <w:p>
            <w:pPr>
              <w:pStyle w:val="Compact"/>
              <w:jc w:val="left"/>
            </w:pPr>
            <w:r>
              <w:t xml:space="preserve">TransmissionMSM</w:t>
            </w:r>
          </w:p>
        </w:tc>
        <w:tc>
          <w:tcPr/>
          <w:p>
            <w:pPr>
              <w:pStyle w:val="Compact"/>
              <w:jc w:val="right"/>
            </w:pPr>
            <w:r>
              <w:t xml:space="preserve">0.1412998</w:t>
            </w:r>
          </w:p>
        </w:tc>
        <w:tc>
          <w:tcPr/>
          <w:p>
            <w:pPr>
              <w:pStyle w:val="Compact"/>
              <w:jc w:val="right"/>
            </w:pPr>
            <w:r>
              <w:t xml:space="preserve">0.0598567</w:t>
            </w:r>
          </w:p>
        </w:tc>
        <w:tc>
          <w:tcPr/>
          <w:p>
            <w:pPr>
              <w:pStyle w:val="Compact"/>
              <w:jc w:val="right"/>
            </w:pPr>
            <w:r>
              <w:t xml:space="preserve">0.2227429</w:t>
            </w:r>
          </w:p>
        </w:tc>
        <w:tc>
          <w:tcPr/>
          <w:p>
            <w:pPr>
              <w:pStyle w:val="Compact"/>
              <w:jc w:val="right"/>
            </w:pPr>
            <w:r>
              <w:t xml:space="preserve">3.4076763</w:t>
            </w:r>
          </w:p>
        </w:tc>
        <w:tc>
          <w:tcPr/>
          <w:p>
            <w:pPr>
              <w:pStyle w:val="Compact"/>
              <w:jc w:val="right"/>
            </w:pPr>
            <w:r>
              <w:t xml:space="preserve">570</w:t>
            </w:r>
          </w:p>
        </w:tc>
        <w:tc>
          <w:tcPr/>
          <w:p>
            <w:pPr>
              <w:pStyle w:val="Compact"/>
              <w:jc w:val="right"/>
            </w:pPr>
            <w:r>
              <w:t xml:space="preserve">0.0007014</w:t>
            </w:r>
          </w:p>
        </w:tc>
      </w:tr>
      <w:tr>
        <w:tc>
          <w:tcPr/>
          <w:p>
            <w:pPr>
              <w:pStyle w:val="Compact"/>
              <w:jc w:val="left"/>
            </w:pPr>
            <w:r>
              <w:t xml:space="preserve">14</w:t>
            </w:r>
          </w:p>
        </w:tc>
        <w:tc>
          <w:tcPr/>
          <w:p>
            <w:pPr>
              <w:pStyle w:val="Compact"/>
              <w:jc w:val="left"/>
            </w:pPr>
            <w:r>
              <w:t xml:space="preserve">ProbDevelopResistanceAExponent</w:t>
            </w:r>
          </w:p>
        </w:tc>
        <w:tc>
          <w:tcPr/>
          <w:p>
            <w:pPr>
              <w:pStyle w:val="Compact"/>
              <w:jc w:val="right"/>
            </w:pPr>
            <w:r>
              <w:t xml:space="preserve">0.1172409</w:t>
            </w:r>
          </w:p>
        </w:tc>
        <w:tc>
          <w:tcPr/>
          <w:p>
            <w:pPr>
              <w:pStyle w:val="Compact"/>
              <w:jc w:val="right"/>
            </w:pPr>
            <w:r>
              <w:t xml:space="preserve">0.0355397</w:t>
            </w:r>
          </w:p>
        </w:tc>
        <w:tc>
          <w:tcPr/>
          <w:p>
            <w:pPr>
              <w:pStyle w:val="Compact"/>
              <w:jc w:val="right"/>
            </w:pPr>
            <w:r>
              <w:t xml:space="preserve">0.1989421</w:t>
            </w:r>
          </w:p>
        </w:tc>
        <w:tc>
          <w:tcPr/>
          <w:p>
            <w:pPr>
              <w:pStyle w:val="Compact"/>
              <w:jc w:val="right"/>
            </w:pPr>
            <w:r>
              <w:t xml:space="preserve">2.8185262</w:t>
            </w:r>
          </w:p>
        </w:tc>
        <w:tc>
          <w:tcPr/>
          <w:p>
            <w:pPr>
              <w:pStyle w:val="Compact"/>
              <w:jc w:val="right"/>
            </w:pPr>
            <w:r>
              <w:t xml:space="preserve">570</w:t>
            </w:r>
          </w:p>
        </w:tc>
        <w:tc>
          <w:tcPr/>
          <w:p>
            <w:pPr>
              <w:pStyle w:val="Compact"/>
              <w:jc w:val="right"/>
            </w:pPr>
            <w:r>
              <w:t xml:space="preserve">0.0049920</w:t>
            </w:r>
          </w:p>
        </w:tc>
      </w:tr>
      <w:tr>
        <w:tc>
          <w:tcPr/>
          <w:p>
            <w:pPr>
              <w:pStyle w:val="Compact"/>
              <w:jc w:val="left"/>
            </w:pPr>
            <w:r>
              <w:t xml:space="preserve">12</w:t>
            </w:r>
          </w:p>
        </w:tc>
        <w:tc>
          <w:tcPr/>
          <w:p>
            <w:pPr>
              <w:pStyle w:val="Compact"/>
              <w:jc w:val="left"/>
            </w:pPr>
            <w:r>
              <w:t xml:space="preserve">BeginImportingB</w:t>
            </w:r>
          </w:p>
        </w:tc>
        <w:tc>
          <w:tcPr/>
          <w:p>
            <w:pPr>
              <w:pStyle w:val="Compact"/>
              <w:jc w:val="right"/>
            </w:pPr>
            <w:r>
              <w:t xml:space="preserve">-0.1120571</w:t>
            </w:r>
          </w:p>
        </w:tc>
        <w:tc>
          <w:tcPr/>
          <w:p>
            <w:pPr>
              <w:pStyle w:val="Compact"/>
              <w:jc w:val="right"/>
            </w:pPr>
            <w:r>
              <w:t xml:space="preserve">-0.1938075</w:t>
            </w:r>
          </w:p>
        </w:tc>
        <w:tc>
          <w:tcPr/>
          <w:p>
            <w:pPr>
              <w:pStyle w:val="Compact"/>
              <w:jc w:val="right"/>
            </w:pPr>
            <w:r>
              <w:t xml:space="preserve">-0.0303067</w:t>
            </w:r>
          </w:p>
        </w:tc>
        <w:tc>
          <w:tcPr/>
          <w:p>
            <w:pPr>
              <w:pStyle w:val="Compact"/>
              <w:jc w:val="right"/>
            </w:pPr>
            <w:r>
              <w:t xml:space="preserve">-2.6922841</w:t>
            </w:r>
          </w:p>
        </w:tc>
        <w:tc>
          <w:tcPr/>
          <w:p>
            <w:pPr>
              <w:pStyle w:val="Compact"/>
              <w:jc w:val="right"/>
            </w:pPr>
            <w:r>
              <w:t xml:space="preserve">570</w:t>
            </w:r>
          </w:p>
        </w:tc>
        <w:tc>
          <w:tcPr/>
          <w:p>
            <w:pPr>
              <w:pStyle w:val="Compact"/>
              <w:jc w:val="right"/>
            </w:pPr>
            <w:r>
              <w:t xml:space="preserve">0.0073051</w:t>
            </w:r>
          </w:p>
        </w:tc>
      </w:tr>
      <w:tr>
        <w:tc>
          <w:tcPr/>
          <w:p>
            <w:pPr>
              <w:pStyle w:val="Compact"/>
              <w:jc w:val="left"/>
            </w:pPr>
            <w:r>
              <w:t xml:space="preserve">20</w:t>
            </w:r>
          </w:p>
        </w:tc>
        <w:tc>
          <w:tcPr/>
          <w:p>
            <w:pPr>
              <w:pStyle w:val="Compact"/>
              <w:jc w:val="left"/>
            </w:pPr>
            <w:r>
              <w:t xml:space="preserve">StrainTestCost</w:t>
            </w:r>
          </w:p>
        </w:tc>
        <w:tc>
          <w:tcPr/>
          <w:p>
            <w:pPr>
              <w:pStyle w:val="Compact"/>
              <w:jc w:val="right"/>
            </w:pPr>
            <w:r>
              <w:t xml:space="preserve">0.1061378</w:t>
            </w:r>
          </w:p>
        </w:tc>
        <w:tc>
          <w:tcPr/>
          <w:p>
            <w:pPr>
              <w:pStyle w:val="Compact"/>
              <w:jc w:val="right"/>
            </w:pPr>
            <w:r>
              <w:t xml:space="preserve">0.0243340</w:t>
            </w:r>
          </w:p>
        </w:tc>
        <w:tc>
          <w:tcPr/>
          <w:p>
            <w:pPr>
              <w:pStyle w:val="Compact"/>
              <w:jc w:val="right"/>
            </w:pPr>
            <w:r>
              <w:t xml:space="preserve">0.1879417</w:t>
            </w:r>
          </w:p>
        </w:tc>
        <w:tc>
          <w:tcPr/>
          <w:p>
            <w:pPr>
              <w:pStyle w:val="Compact"/>
              <w:jc w:val="right"/>
            </w:pPr>
            <w:r>
              <w:t xml:space="preserve">2.5484010</w:t>
            </w:r>
          </w:p>
        </w:tc>
        <w:tc>
          <w:tcPr/>
          <w:p>
            <w:pPr>
              <w:pStyle w:val="Compact"/>
              <w:jc w:val="right"/>
            </w:pPr>
            <w:r>
              <w:t xml:space="preserve">570</w:t>
            </w:r>
          </w:p>
        </w:tc>
        <w:tc>
          <w:tcPr/>
          <w:p>
            <w:pPr>
              <w:pStyle w:val="Compact"/>
              <w:jc w:val="right"/>
            </w:pPr>
            <w:r>
              <w:t xml:space="preserve">0.0110829</w:t>
            </w:r>
          </w:p>
        </w:tc>
      </w:tr>
      <w:tr>
        <w:tc>
          <w:tcPr/>
          <w:p>
            <w:pPr>
              <w:pStyle w:val="Compact"/>
              <w:jc w:val="left"/>
            </w:pPr>
            <w:r>
              <w:t xml:space="preserve">13</w:t>
            </w:r>
          </w:p>
        </w:tc>
        <w:tc>
          <w:tcPr/>
          <w:p>
            <w:pPr>
              <w:pStyle w:val="Compact"/>
              <w:jc w:val="left"/>
            </w:pPr>
            <w:r>
              <w:t xml:space="preserve">ImportingBInterval</w:t>
            </w:r>
          </w:p>
        </w:tc>
        <w:tc>
          <w:tcPr/>
          <w:p>
            <w:pPr>
              <w:pStyle w:val="Compact"/>
              <w:jc w:val="right"/>
            </w:pPr>
            <w:r>
              <w:t xml:space="preserve">-0.0953246</w:t>
            </w:r>
          </w:p>
        </w:tc>
        <w:tc>
          <w:tcPr/>
          <w:p>
            <w:pPr>
              <w:pStyle w:val="Compact"/>
              <w:jc w:val="right"/>
            </w:pPr>
            <w:r>
              <w:t xml:space="preserve">-0.1772185</w:t>
            </w:r>
          </w:p>
        </w:tc>
        <w:tc>
          <w:tcPr/>
          <w:p>
            <w:pPr>
              <w:pStyle w:val="Compact"/>
              <w:jc w:val="right"/>
            </w:pPr>
            <w:r>
              <w:t xml:space="preserve">-0.0134307</w:t>
            </w:r>
          </w:p>
        </w:tc>
        <w:tc>
          <w:tcPr/>
          <w:p>
            <w:pPr>
              <w:pStyle w:val="Compact"/>
              <w:jc w:val="right"/>
            </w:pPr>
            <w:r>
              <w:t xml:space="preserve">-2.2862546</w:t>
            </w:r>
          </w:p>
        </w:tc>
        <w:tc>
          <w:tcPr/>
          <w:p>
            <w:pPr>
              <w:pStyle w:val="Compact"/>
              <w:jc w:val="right"/>
            </w:pPr>
            <w:r>
              <w:t xml:space="preserve">570</w:t>
            </w:r>
          </w:p>
        </w:tc>
        <w:tc>
          <w:tcPr/>
          <w:p>
            <w:pPr>
              <w:pStyle w:val="Compact"/>
              <w:jc w:val="right"/>
            </w:pPr>
            <w:r>
              <w:t xml:space="preserve">0.0226053</w:t>
            </w:r>
          </w:p>
        </w:tc>
      </w:tr>
      <w:tr>
        <w:tc>
          <w:tcPr/>
          <w:p>
            <w:pPr>
              <w:pStyle w:val="Compact"/>
              <w:jc w:val="left"/>
            </w:pPr>
            <w:r>
              <w:t xml:space="preserve">9</w:t>
            </w:r>
          </w:p>
        </w:tc>
        <w:tc>
          <w:tcPr/>
          <w:p>
            <w:pPr>
              <w:pStyle w:val="Compact"/>
              <w:jc w:val="left"/>
            </w:pPr>
            <w:r>
              <w:t xml:space="preserve">activityGroupTransferProp</w:t>
            </w:r>
          </w:p>
        </w:tc>
        <w:tc>
          <w:tcPr/>
          <w:p>
            <w:pPr>
              <w:pStyle w:val="Compact"/>
              <w:jc w:val="right"/>
            </w:pPr>
            <w:r>
              <w:t xml:space="preserve">-0.0814106</w:t>
            </w:r>
          </w:p>
        </w:tc>
        <w:tc>
          <w:tcPr/>
          <w:p>
            <w:pPr>
              <w:pStyle w:val="Compact"/>
              <w:jc w:val="right"/>
            </w:pPr>
            <w:r>
              <w:t xml:space="preserve">-0.1634061</w:t>
            </w:r>
          </w:p>
        </w:tc>
        <w:tc>
          <w:tcPr/>
          <w:p>
            <w:pPr>
              <w:pStyle w:val="Compact"/>
              <w:jc w:val="right"/>
            </w:pPr>
            <w:r>
              <w:t xml:space="preserve">0.0005848</w:t>
            </w:r>
          </w:p>
        </w:tc>
        <w:tc>
          <w:tcPr/>
          <w:p>
            <w:pPr>
              <w:pStyle w:val="Compact"/>
              <w:jc w:val="right"/>
            </w:pPr>
            <w:r>
              <w:t xml:space="preserve">-1.9501250</w:t>
            </w:r>
          </w:p>
        </w:tc>
        <w:tc>
          <w:tcPr/>
          <w:p>
            <w:pPr>
              <w:pStyle w:val="Compact"/>
              <w:jc w:val="right"/>
            </w:pPr>
            <w:r>
              <w:t xml:space="preserve">570</w:t>
            </w:r>
          </w:p>
        </w:tc>
        <w:tc>
          <w:tcPr/>
          <w:p>
            <w:pPr>
              <w:pStyle w:val="Compact"/>
              <w:jc w:val="right"/>
            </w:pPr>
            <w:r>
              <w:t xml:space="preserve">0.0516510</w:t>
            </w:r>
          </w:p>
        </w:tc>
      </w:tr>
      <w:tr>
        <w:tc>
          <w:tcPr/>
          <w:p>
            <w:pPr>
              <w:pStyle w:val="Compact"/>
              <w:jc w:val="left"/>
            </w:pPr>
            <w:r>
              <w:t xml:space="preserve">18</w:t>
            </w:r>
          </w:p>
        </w:tc>
        <w:tc>
          <w:tcPr/>
          <w:p>
            <w:pPr>
              <w:pStyle w:val="Compact"/>
              <w:jc w:val="left"/>
            </w:pPr>
            <w:r>
              <w:t xml:space="preserve">CareCost</w:t>
            </w:r>
          </w:p>
        </w:tc>
        <w:tc>
          <w:tcPr/>
          <w:p>
            <w:pPr>
              <w:pStyle w:val="Compact"/>
              <w:jc w:val="right"/>
            </w:pPr>
            <w:r>
              <w:t xml:space="preserve">-0.0688196</w:t>
            </w:r>
          </w:p>
        </w:tc>
        <w:tc>
          <w:tcPr/>
          <w:p>
            <w:pPr>
              <w:pStyle w:val="Compact"/>
              <w:jc w:val="right"/>
            </w:pPr>
            <w:r>
              <w:t xml:space="preserve">-0.1508930</w:t>
            </w:r>
          </w:p>
        </w:tc>
        <w:tc>
          <w:tcPr/>
          <w:p>
            <w:pPr>
              <w:pStyle w:val="Compact"/>
              <w:jc w:val="right"/>
            </w:pPr>
            <w:r>
              <w:t xml:space="preserve">0.0132539</w:t>
            </w:r>
          </w:p>
        </w:tc>
        <w:tc>
          <w:tcPr/>
          <w:p>
            <w:pPr>
              <w:pStyle w:val="Compact"/>
              <w:jc w:val="right"/>
            </w:pPr>
            <w:r>
              <w:t xml:space="preserve">-1.6469490</w:t>
            </w:r>
          </w:p>
        </w:tc>
        <w:tc>
          <w:tcPr/>
          <w:p>
            <w:pPr>
              <w:pStyle w:val="Compact"/>
              <w:jc w:val="right"/>
            </w:pPr>
            <w:r>
              <w:t xml:space="preserve">570</w:t>
            </w:r>
          </w:p>
        </w:tc>
        <w:tc>
          <w:tcPr/>
          <w:p>
            <w:pPr>
              <w:pStyle w:val="Compact"/>
              <w:jc w:val="right"/>
            </w:pPr>
            <w:r>
              <w:t xml:space="preserve">0.1001197</w:t>
            </w:r>
          </w:p>
        </w:tc>
      </w:tr>
      <w:tr>
        <w:tc>
          <w:tcPr/>
          <w:p>
            <w:pPr>
              <w:pStyle w:val="Compact"/>
              <w:jc w:val="left"/>
            </w:pPr>
            <w:r>
              <w:t xml:space="preserve">3</w:t>
            </w:r>
          </w:p>
        </w:tc>
        <w:tc>
          <w:tcPr/>
          <w:p>
            <w:pPr>
              <w:pStyle w:val="Compact"/>
              <w:jc w:val="left"/>
            </w:pPr>
            <w:r>
              <w:t xml:space="preserve">NaturalRecoveryTime</w:t>
            </w:r>
          </w:p>
        </w:tc>
        <w:tc>
          <w:tcPr/>
          <w:p>
            <w:pPr>
              <w:pStyle w:val="Compact"/>
              <w:jc w:val="right"/>
            </w:pPr>
            <w:r>
              <w:t xml:space="preserve">0.0600377</w:t>
            </w:r>
          </w:p>
        </w:tc>
        <w:tc>
          <w:tcPr/>
          <w:p>
            <w:pPr>
              <w:pStyle w:val="Compact"/>
              <w:jc w:val="right"/>
            </w:pPr>
            <w:r>
              <w:t xml:space="preserve">-0.0220825</w:t>
            </w:r>
          </w:p>
        </w:tc>
        <w:tc>
          <w:tcPr/>
          <w:p>
            <w:pPr>
              <w:pStyle w:val="Compact"/>
              <w:jc w:val="right"/>
            </w:pPr>
            <w:r>
              <w:t xml:space="preserve">0.1421578</w:t>
            </w:r>
          </w:p>
        </w:tc>
        <w:tc>
          <w:tcPr/>
          <w:p>
            <w:pPr>
              <w:pStyle w:val="Compact"/>
              <w:jc w:val="right"/>
            </w:pPr>
            <w:r>
              <w:t xml:space="preserve">1.4359700</w:t>
            </w:r>
          </w:p>
        </w:tc>
        <w:tc>
          <w:tcPr/>
          <w:p>
            <w:pPr>
              <w:pStyle w:val="Compact"/>
              <w:jc w:val="right"/>
            </w:pPr>
            <w:r>
              <w:t xml:space="preserve">570</w:t>
            </w:r>
          </w:p>
        </w:tc>
        <w:tc>
          <w:tcPr/>
          <w:p>
            <w:pPr>
              <w:pStyle w:val="Compact"/>
              <w:jc w:val="right"/>
            </w:pPr>
            <w:r>
              <w:t xml:space="preserve">0.1515594</w:t>
            </w:r>
          </w:p>
        </w:tc>
      </w:tr>
      <w:tr>
        <w:tc>
          <w:tcPr/>
          <w:p>
            <w:pPr>
              <w:pStyle w:val="Compact"/>
              <w:jc w:val="left"/>
            </w:pPr>
            <w:r>
              <w:t xml:space="preserve">15</w:t>
            </w:r>
          </w:p>
        </w:tc>
        <w:tc>
          <w:tcPr/>
          <w:p>
            <w:pPr>
              <w:pStyle w:val="Compact"/>
              <w:jc w:val="left"/>
            </w:pPr>
            <w:r>
              <w:t xml:space="preserve">ProbDevelopResistanceBExponent</w:t>
            </w:r>
          </w:p>
        </w:tc>
        <w:tc>
          <w:tcPr/>
          <w:p>
            <w:pPr>
              <w:pStyle w:val="Compact"/>
              <w:jc w:val="right"/>
            </w:pPr>
            <w:r>
              <w:t xml:space="preserve">-0.0545402</w:t>
            </w:r>
          </w:p>
        </w:tc>
        <w:tc>
          <w:tcPr/>
          <w:p>
            <w:pPr>
              <w:pStyle w:val="Compact"/>
              <w:jc w:val="right"/>
            </w:pPr>
            <w:r>
              <w:t xml:space="preserve">-0.1366863</w:t>
            </w:r>
          </w:p>
        </w:tc>
        <w:tc>
          <w:tcPr/>
          <w:p>
            <w:pPr>
              <w:pStyle w:val="Compact"/>
              <w:jc w:val="right"/>
            </w:pPr>
            <w:r>
              <w:t xml:space="preserve">0.0276059</w:t>
            </w:r>
          </w:p>
        </w:tc>
        <w:tc>
          <w:tcPr/>
          <w:p>
            <w:pPr>
              <w:pStyle w:val="Compact"/>
              <w:jc w:val="right"/>
            </w:pPr>
            <w:r>
              <w:t xml:space="preserve">-1.3040707</w:t>
            </w:r>
          </w:p>
        </w:tc>
        <w:tc>
          <w:tcPr/>
          <w:p>
            <w:pPr>
              <w:pStyle w:val="Compact"/>
              <w:jc w:val="right"/>
            </w:pPr>
            <w:r>
              <w:t xml:space="preserve">570</w:t>
            </w:r>
          </w:p>
        </w:tc>
        <w:tc>
          <w:tcPr/>
          <w:p>
            <w:pPr>
              <w:pStyle w:val="Compact"/>
              <w:jc w:val="right"/>
            </w:pPr>
            <w:r>
              <w:t xml:space="preserve">0.1927358</w:t>
            </w:r>
          </w:p>
        </w:tc>
      </w:tr>
      <w:tr>
        <w:tc>
          <w:tcPr/>
          <w:p>
            <w:pPr>
              <w:pStyle w:val="Compact"/>
              <w:jc w:val="left"/>
            </w:pPr>
            <w:r>
              <w:t xml:space="preserve">16</w:t>
            </w:r>
          </w:p>
        </w:tc>
        <w:tc>
          <w:tcPr/>
          <w:p>
            <w:pPr>
              <w:pStyle w:val="Compact"/>
              <w:jc w:val="left"/>
            </w:pPr>
            <w:r>
              <w:t xml:space="preserve">DSTsensitivity</w:t>
            </w:r>
          </w:p>
        </w:tc>
        <w:tc>
          <w:tcPr/>
          <w:p>
            <w:pPr>
              <w:pStyle w:val="Compact"/>
              <w:jc w:val="right"/>
            </w:pPr>
            <w:r>
              <w:t xml:space="preserve">0.0529982</w:t>
            </w:r>
          </w:p>
        </w:tc>
        <w:tc>
          <w:tcPr/>
          <w:p>
            <w:pPr>
              <w:pStyle w:val="Compact"/>
              <w:jc w:val="right"/>
            </w:pPr>
            <w:r>
              <w:t xml:space="preserve">-0.0291548</w:t>
            </w:r>
          </w:p>
        </w:tc>
        <w:tc>
          <w:tcPr/>
          <w:p>
            <w:pPr>
              <w:pStyle w:val="Compact"/>
              <w:jc w:val="right"/>
            </w:pPr>
            <w:r>
              <w:t xml:space="preserve">0.1351511</w:t>
            </w:r>
          </w:p>
        </w:tc>
        <w:tc>
          <w:tcPr/>
          <w:p>
            <w:pPr>
              <w:pStyle w:val="Compact"/>
              <w:jc w:val="right"/>
            </w:pPr>
            <w:r>
              <w:t xml:space="preserve">1.2670943</w:t>
            </w:r>
          </w:p>
        </w:tc>
        <w:tc>
          <w:tcPr/>
          <w:p>
            <w:pPr>
              <w:pStyle w:val="Compact"/>
              <w:jc w:val="right"/>
            </w:pPr>
            <w:r>
              <w:t xml:space="preserve">570</w:t>
            </w:r>
          </w:p>
        </w:tc>
        <w:tc>
          <w:tcPr/>
          <w:p>
            <w:pPr>
              <w:pStyle w:val="Compact"/>
              <w:jc w:val="right"/>
            </w:pPr>
            <w:r>
              <w:t xml:space="preserve">0.2056390</w:t>
            </w:r>
          </w:p>
        </w:tc>
      </w:tr>
      <w:tr>
        <w:tc>
          <w:tcPr/>
          <w:p>
            <w:pPr>
              <w:pStyle w:val="Compact"/>
              <w:jc w:val="left"/>
            </w:pPr>
            <w:r>
              <w:t xml:space="preserve">5</w:t>
            </w:r>
          </w:p>
        </w:tc>
        <w:tc>
          <w:tcPr/>
          <w:p>
            <w:pPr>
              <w:pStyle w:val="Compact"/>
              <w:jc w:val="left"/>
            </w:pPr>
            <w:r>
              <w:t xml:space="preserve">ScreenIntervalMeanMSM</w:t>
            </w:r>
          </w:p>
        </w:tc>
        <w:tc>
          <w:tcPr/>
          <w:p>
            <w:pPr>
              <w:pStyle w:val="Compact"/>
              <w:jc w:val="right"/>
            </w:pPr>
            <w:r>
              <w:t xml:space="preserve">-0.0513947</w:t>
            </w:r>
          </w:p>
        </w:tc>
        <w:tc>
          <w:tcPr/>
          <w:p>
            <w:pPr>
              <w:pStyle w:val="Compact"/>
              <w:jc w:val="right"/>
            </w:pPr>
            <w:r>
              <w:t xml:space="preserve">-0.1335545</w:t>
            </w:r>
          </w:p>
        </w:tc>
        <w:tc>
          <w:tcPr/>
          <w:p>
            <w:pPr>
              <w:pStyle w:val="Compact"/>
              <w:jc w:val="right"/>
            </w:pPr>
            <w:r>
              <w:t xml:space="preserve">0.0307652</w:t>
            </w:r>
          </w:p>
        </w:tc>
        <w:tc>
          <w:tcPr/>
          <w:p>
            <w:pPr>
              <w:pStyle w:val="Compact"/>
              <w:jc w:val="right"/>
            </w:pPr>
            <w:r>
              <w:t xml:space="preserve">-1.2286543</w:t>
            </w:r>
          </w:p>
        </w:tc>
        <w:tc>
          <w:tcPr/>
          <w:p>
            <w:pPr>
              <w:pStyle w:val="Compact"/>
              <w:jc w:val="right"/>
            </w:pPr>
            <w:r>
              <w:t xml:space="preserve">570</w:t>
            </w:r>
          </w:p>
        </w:tc>
        <w:tc>
          <w:tcPr/>
          <w:p>
            <w:pPr>
              <w:pStyle w:val="Compact"/>
              <w:jc w:val="right"/>
            </w:pPr>
            <w:r>
              <w:t xml:space="preserve">0.2197085</w:t>
            </w:r>
          </w:p>
        </w:tc>
      </w:tr>
      <w:tr>
        <w:tc>
          <w:tcPr/>
          <w:p>
            <w:pPr>
              <w:pStyle w:val="Compact"/>
              <w:jc w:val="left"/>
            </w:pPr>
            <w:r>
              <w:t xml:space="preserve">21</w:t>
            </w:r>
          </w:p>
        </w:tc>
        <w:tc>
          <w:tcPr/>
          <w:p>
            <w:pPr>
              <w:pStyle w:val="Compact"/>
              <w:jc w:val="left"/>
            </w:pPr>
            <w:r>
              <w:t xml:space="preserve">DrugATreatmentCost</w:t>
            </w:r>
          </w:p>
        </w:tc>
        <w:tc>
          <w:tcPr/>
          <w:p>
            <w:pPr>
              <w:pStyle w:val="Compact"/>
              <w:jc w:val="right"/>
            </w:pPr>
            <w:r>
              <w:t xml:space="preserve">-0.0343985</w:t>
            </w:r>
          </w:p>
        </w:tc>
        <w:tc>
          <w:tcPr/>
          <w:p>
            <w:pPr>
              <w:pStyle w:val="Compact"/>
              <w:jc w:val="right"/>
            </w:pPr>
            <w:r>
              <w:t xml:space="preserve">-0.1166184</w:t>
            </w:r>
          </w:p>
        </w:tc>
        <w:tc>
          <w:tcPr/>
          <w:p>
            <w:pPr>
              <w:pStyle w:val="Compact"/>
              <w:jc w:val="right"/>
            </w:pPr>
            <w:r>
              <w:t xml:space="preserve">0.0478213</w:t>
            </w:r>
          </w:p>
        </w:tc>
        <w:tc>
          <w:tcPr/>
          <w:p>
            <w:pPr>
              <w:pStyle w:val="Compact"/>
              <w:jc w:val="right"/>
            </w:pPr>
            <w:r>
              <w:t xml:space="preserve">-0.8217398</w:t>
            </w:r>
          </w:p>
        </w:tc>
        <w:tc>
          <w:tcPr/>
          <w:p>
            <w:pPr>
              <w:pStyle w:val="Compact"/>
              <w:jc w:val="right"/>
            </w:pPr>
            <w:r>
              <w:t xml:space="preserve">570</w:t>
            </w:r>
          </w:p>
        </w:tc>
        <w:tc>
          <w:tcPr/>
          <w:p>
            <w:pPr>
              <w:pStyle w:val="Compact"/>
              <w:jc w:val="right"/>
            </w:pPr>
            <w:r>
              <w:t xml:space="preserve">0.4115686</w:t>
            </w:r>
          </w:p>
        </w:tc>
      </w:tr>
      <w:tr>
        <w:tc>
          <w:tcPr/>
          <w:p>
            <w:pPr>
              <w:pStyle w:val="Compact"/>
              <w:jc w:val="left"/>
            </w:pPr>
            <w:r>
              <w:t xml:space="preserve">24</w:t>
            </w:r>
          </w:p>
        </w:tc>
        <w:tc>
          <w:tcPr/>
          <w:p>
            <w:pPr>
              <w:pStyle w:val="Compact"/>
              <w:jc w:val="left"/>
            </w:pPr>
            <w:r>
              <w:t xml:space="preserve">DrugETreatmentCost</w:t>
            </w:r>
          </w:p>
        </w:tc>
        <w:tc>
          <w:tcPr/>
          <w:p>
            <w:pPr>
              <w:pStyle w:val="Compact"/>
              <w:jc w:val="right"/>
            </w:pPr>
            <w:r>
              <w:t xml:space="preserve">-0.0203039</w:t>
            </w:r>
          </w:p>
        </w:tc>
        <w:tc>
          <w:tcPr/>
          <w:p>
            <w:pPr>
              <w:pStyle w:val="Compact"/>
              <w:jc w:val="right"/>
            </w:pPr>
            <w:r>
              <w:t xml:space="preserve">-0.1025555</w:t>
            </w:r>
          </w:p>
        </w:tc>
        <w:tc>
          <w:tcPr/>
          <w:p>
            <w:pPr>
              <w:pStyle w:val="Compact"/>
              <w:jc w:val="right"/>
            </w:pPr>
            <w:r>
              <w:t xml:space="preserve">0.0619477</w:t>
            </w:r>
          </w:p>
        </w:tc>
        <w:tc>
          <w:tcPr/>
          <w:p>
            <w:pPr>
              <w:pStyle w:val="Compact"/>
              <w:jc w:val="right"/>
            </w:pPr>
            <w:r>
              <w:t xml:space="preserve">-0.4848492</w:t>
            </w:r>
          </w:p>
        </w:tc>
        <w:tc>
          <w:tcPr/>
          <w:p>
            <w:pPr>
              <w:pStyle w:val="Compact"/>
              <w:jc w:val="right"/>
            </w:pPr>
            <w:r>
              <w:t xml:space="preserve">570</w:t>
            </w:r>
          </w:p>
        </w:tc>
        <w:tc>
          <w:tcPr/>
          <w:p>
            <w:pPr>
              <w:pStyle w:val="Compact"/>
              <w:jc w:val="right"/>
            </w:pPr>
            <w:r>
              <w:t xml:space="preserve">0.6279696</w:t>
            </w:r>
          </w:p>
        </w:tc>
      </w:tr>
      <w:tr>
        <w:tc>
          <w:tcPr/>
          <w:p>
            <w:pPr>
              <w:pStyle w:val="Compact"/>
              <w:jc w:val="left"/>
            </w:pPr>
            <w:r>
              <w:t xml:space="preserve">17</w:t>
            </w:r>
          </w:p>
        </w:tc>
        <w:tc>
          <w:tcPr/>
          <w:p>
            <w:pPr>
              <w:pStyle w:val="Compact"/>
              <w:jc w:val="left"/>
            </w:pPr>
            <w:r>
              <w:t xml:space="preserve">DSTspecificity</w:t>
            </w:r>
          </w:p>
        </w:tc>
        <w:tc>
          <w:tcPr/>
          <w:p>
            <w:pPr>
              <w:pStyle w:val="Compact"/>
              <w:jc w:val="right"/>
            </w:pPr>
            <w:r>
              <w:t xml:space="preserve">0.0176490</w:t>
            </w:r>
          </w:p>
        </w:tc>
        <w:tc>
          <w:tcPr/>
          <w:p>
            <w:pPr>
              <w:pStyle w:val="Compact"/>
              <w:jc w:val="right"/>
            </w:pPr>
            <w:r>
              <w:t xml:space="preserve">-0.0646067</w:t>
            </w:r>
          </w:p>
        </w:tc>
        <w:tc>
          <w:tcPr/>
          <w:p>
            <w:pPr>
              <w:pStyle w:val="Compact"/>
              <w:jc w:val="right"/>
            </w:pPr>
            <w:r>
              <w:t xml:space="preserve">0.0999047</w:t>
            </w:r>
          </w:p>
        </w:tc>
        <w:tc>
          <w:tcPr/>
          <w:p>
            <w:pPr>
              <w:pStyle w:val="Compact"/>
              <w:jc w:val="right"/>
            </w:pPr>
            <w:r>
              <w:t xml:space="preserve">0.4214300</w:t>
            </w:r>
          </w:p>
        </w:tc>
        <w:tc>
          <w:tcPr/>
          <w:p>
            <w:pPr>
              <w:pStyle w:val="Compact"/>
              <w:jc w:val="right"/>
            </w:pPr>
            <w:r>
              <w:t xml:space="preserve">570</w:t>
            </w:r>
          </w:p>
        </w:tc>
        <w:tc>
          <w:tcPr/>
          <w:p>
            <w:pPr>
              <w:pStyle w:val="Compact"/>
              <w:jc w:val="right"/>
            </w:pPr>
            <w:r>
              <w:t xml:space="preserve">0.6736000</w:t>
            </w:r>
          </w:p>
        </w:tc>
      </w:tr>
      <w:tr>
        <w:tc>
          <w:tcPr/>
          <w:p>
            <w:pPr>
              <w:pStyle w:val="Compact"/>
              <w:jc w:val="left"/>
            </w:pPr>
            <w:r>
              <w:t xml:space="preserve">22</w:t>
            </w:r>
          </w:p>
        </w:tc>
        <w:tc>
          <w:tcPr/>
          <w:p>
            <w:pPr>
              <w:pStyle w:val="Compact"/>
              <w:jc w:val="left"/>
            </w:pPr>
            <w:r>
              <w:t xml:space="preserve">DrugBTreatmentCost</w:t>
            </w:r>
          </w:p>
        </w:tc>
        <w:tc>
          <w:tcPr/>
          <w:p>
            <w:pPr>
              <w:pStyle w:val="Compact"/>
              <w:jc w:val="right"/>
            </w:pPr>
            <w:r>
              <w:t xml:space="preserve">0.0152978</w:t>
            </w:r>
          </w:p>
        </w:tc>
        <w:tc>
          <w:tcPr/>
          <w:p>
            <w:pPr>
              <w:pStyle w:val="Compact"/>
              <w:jc w:val="right"/>
            </w:pPr>
            <w:r>
              <w:t xml:space="preserve">-0.0669611</w:t>
            </w:r>
          </w:p>
        </w:tc>
        <w:tc>
          <w:tcPr/>
          <w:p>
            <w:pPr>
              <w:pStyle w:val="Compact"/>
              <w:jc w:val="right"/>
            </w:pPr>
            <w:r>
              <w:t xml:space="preserve">0.0975568</w:t>
            </w:r>
          </w:p>
        </w:tc>
        <w:tc>
          <w:tcPr/>
          <w:p>
            <w:pPr>
              <w:pStyle w:val="Compact"/>
              <w:jc w:val="right"/>
            </w:pPr>
            <w:r>
              <w:t xml:space="preserve">0.3652735</w:t>
            </w:r>
          </w:p>
        </w:tc>
        <w:tc>
          <w:tcPr/>
          <w:p>
            <w:pPr>
              <w:pStyle w:val="Compact"/>
              <w:jc w:val="right"/>
            </w:pPr>
            <w:r>
              <w:t xml:space="preserve">570</w:t>
            </w:r>
          </w:p>
        </w:tc>
        <w:tc>
          <w:tcPr/>
          <w:p>
            <w:pPr>
              <w:pStyle w:val="Compact"/>
              <w:jc w:val="right"/>
            </w:pPr>
            <w:r>
              <w:t xml:space="preserve">0.7150427</w:t>
            </w:r>
          </w:p>
        </w:tc>
      </w:tr>
      <w:tr>
        <w:tc>
          <w:tcPr/>
          <w:p>
            <w:pPr>
              <w:pStyle w:val="Compact"/>
              <w:jc w:val="left"/>
            </w:pPr>
            <w:r>
              <w:t xml:space="preserve">23</w:t>
            </w:r>
          </w:p>
        </w:tc>
        <w:tc>
          <w:tcPr/>
          <w:p>
            <w:pPr>
              <w:pStyle w:val="Compact"/>
              <w:jc w:val="left"/>
            </w:pPr>
            <w:r>
              <w:t xml:space="preserve">DrugXTreatmentCost</w:t>
            </w:r>
          </w:p>
        </w:tc>
        <w:tc>
          <w:tcPr/>
          <w:p>
            <w:pPr>
              <w:pStyle w:val="Compact"/>
              <w:jc w:val="right"/>
            </w:pPr>
            <w:r>
              <w:t xml:space="preserve">0.0149991</w:t>
            </w:r>
          </w:p>
        </w:tc>
        <w:tc>
          <w:tcPr/>
          <w:p>
            <w:pPr>
              <w:pStyle w:val="Compact"/>
              <w:jc w:val="right"/>
            </w:pPr>
            <w:r>
              <w:t xml:space="preserve">-0.0672602</w:t>
            </w:r>
          </w:p>
        </w:tc>
        <w:tc>
          <w:tcPr/>
          <w:p>
            <w:pPr>
              <w:pStyle w:val="Compact"/>
              <w:jc w:val="right"/>
            </w:pPr>
            <w:r>
              <w:t xml:space="preserve">0.0972584</w:t>
            </w:r>
          </w:p>
        </w:tc>
        <w:tc>
          <w:tcPr/>
          <w:p>
            <w:pPr>
              <w:pStyle w:val="Compact"/>
              <w:jc w:val="right"/>
            </w:pPr>
            <w:r>
              <w:t xml:space="preserve">0.3581387</w:t>
            </w:r>
          </w:p>
        </w:tc>
        <w:tc>
          <w:tcPr/>
          <w:p>
            <w:pPr>
              <w:pStyle w:val="Compact"/>
              <w:jc w:val="right"/>
            </w:pPr>
            <w:r>
              <w:t xml:space="preserve">570</w:t>
            </w:r>
          </w:p>
        </w:tc>
        <w:tc>
          <w:tcPr/>
          <w:p>
            <w:pPr>
              <w:pStyle w:val="Compact"/>
              <w:jc w:val="right"/>
            </w:pPr>
            <w:r>
              <w:t xml:space="preserve">0.7203721</w:t>
            </w:r>
          </w:p>
        </w:tc>
      </w:tr>
      <w:tr>
        <w:tc>
          <w:tcPr/>
          <w:p>
            <w:pPr>
              <w:pStyle w:val="Compact"/>
              <w:jc w:val="left"/>
            </w:pPr>
            <w:r>
              <w:t xml:space="preserve">19</w:t>
            </w:r>
          </w:p>
        </w:tc>
        <w:tc>
          <w:tcPr/>
          <w:p>
            <w:pPr>
              <w:pStyle w:val="Compact"/>
              <w:jc w:val="left"/>
            </w:pPr>
            <w:r>
              <w:t xml:space="preserve">TestCost</w:t>
            </w:r>
          </w:p>
        </w:tc>
        <w:tc>
          <w:tcPr/>
          <w:p>
            <w:pPr>
              <w:pStyle w:val="Compact"/>
              <w:jc w:val="right"/>
            </w:pPr>
            <w:r>
              <w:t xml:space="preserve">0.0137720</w:t>
            </w:r>
          </w:p>
        </w:tc>
        <w:tc>
          <w:tcPr/>
          <w:p>
            <w:pPr>
              <w:pStyle w:val="Compact"/>
              <w:jc w:val="right"/>
            </w:pPr>
            <w:r>
              <w:t xml:space="preserve">-0.0684887</w:t>
            </w:r>
          </w:p>
        </w:tc>
        <w:tc>
          <w:tcPr/>
          <w:p>
            <w:pPr>
              <w:pStyle w:val="Compact"/>
              <w:jc w:val="right"/>
            </w:pPr>
            <w:r>
              <w:t xml:space="preserve">0.0960328</w:t>
            </w:r>
          </w:p>
        </w:tc>
        <w:tc>
          <w:tcPr/>
          <w:p>
            <w:pPr>
              <w:pStyle w:val="Compact"/>
              <w:jc w:val="right"/>
            </w:pPr>
            <w:r>
              <w:t xml:space="preserve">0.3288341</w:t>
            </w:r>
          </w:p>
        </w:tc>
        <w:tc>
          <w:tcPr/>
          <w:p>
            <w:pPr>
              <w:pStyle w:val="Compact"/>
              <w:jc w:val="right"/>
            </w:pPr>
            <w:r>
              <w:t xml:space="preserve">570</w:t>
            </w:r>
          </w:p>
        </w:tc>
        <w:tc>
          <w:tcPr/>
          <w:p>
            <w:pPr>
              <w:pStyle w:val="Compact"/>
              <w:jc w:val="right"/>
            </w:pPr>
            <w:r>
              <w:t xml:space="preserve">0.7424019</w:t>
            </w:r>
          </w:p>
        </w:tc>
      </w:tr>
    </w:tbl>
    <w:bookmarkEnd w:id="66"/>
    <w:bookmarkEnd w:id="67"/>
    <w:bookmarkStart w:id="69" w:name="supplement-2-odd"/>
    <w:p>
      <w:pPr>
        <w:pStyle w:val="Heading1"/>
      </w:pPr>
      <w:r>
        <w:t xml:space="preserve">Supplement 2, ODD</w:t>
      </w:r>
    </w:p>
    <w:bookmarkStart w:id="68" w:name="table-s6-model-entities"/>
    <w:p>
      <w:pPr>
        <w:pStyle w:val="Heading2"/>
      </w:pPr>
      <w:r>
        <w:t xml:space="preserve">Table S6, Model entities</w:t>
      </w:r>
    </w:p>
    <w:bookmarkEnd w:id="68"/>
    <w:bookmarkEnd w:id="69"/>
    <w:bookmarkStart w:id="70" w:name="supplement-3-cheers-checklist"/>
    <w:p>
      <w:pPr>
        <w:pStyle w:val="Heading1"/>
      </w:pPr>
      <w:r>
        <w:t xml:space="preserve">Supplement 3, CHEERS Checklist</w:t>
      </w:r>
    </w:p>
    <w:bookmarkEnd w:id="70"/>
    <w:bookmarkStart w:id="138" w:name="supplement-4-sensitivity-analysis"/>
    <w:p>
      <w:pPr>
        <w:pStyle w:val="Heading1"/>
      </w:pPr>
      <w:r>
        <w:t xml:space="preserve">Supplement 4, Sensitivity analysis</w:t>
      </w:r>
    </w:p>
    <w:bookmarkStart w:id="77" w:name="X6b3f8b574dc6da6929f0bf56ea61951abe10489"/>
    <w:p>
      <w:pPr>
        <w:pStyle w:val="Heading2"/>
      </w:pPr>
      <w:r>
        <w:t xml:space="preserve">Figure S5, drug X availability summary results</w:t>
      </w:r>
    </w:p>
    <w:p>
      <w:pPr>
        <w:pStyle w:val="FirstParagraph"/>
      </w:pPr>
      <w:r>
        <w:drawing>
          <wp:inline>
            <wp:extent cx="5334000" cy="7334250"/>
            <wp:effectExtent b="0" l="0" r="0" t="0"/>
            <wp:docPr descr="" title="" id="72" name="Picture"/>
            <a:graphic>
              <a:graphicData uri="http://schemas.openxmlformats.org/drawingml/2006/picture">
                <pic:pic>
                  <pic:nvPicPr>
                    <pic:cNvPr descr="Analysis-and-visualization_files/figure-docx/figureS5-1.png" id="73" name="Picture"/>
                    <pic:cNvPicPr>
                      <a:picLocks noChangeArrowheads="1" noChangeAspect="1"/>
                    </pic:cNvPicPr>
                  </pic:nvPicPr>
                  <pic:blipFill>
                    <a:blip r:embed="rId71"/>
                    <a:stretch>
                      <a:fillRect/>
                    </a:stretch>
                  </pic:blipFill>
                  <pic:spPr bwMode="auto">
                    <a:xfrm>
                      <a:off x="0" y="0"/>
                      <a:ext cx="5334000" cy="7334250"/>
                    </a:xfrm>
                    <a:prstGeom prst="rect">
                      <a:avLst/>
                    </a:prstGeom>
                    <a:noFill/>
                    <a:ln w="9525">
                      <a:noFill/>
                      <a:headEnd/>
                      <a:tailEnd/>
                    </a:ln>
                  </pic:spPr>
                </pic:pic>
              </a:graphicData>
            </a:graphic>
          </wp:inline>
        </w:drawing>
      </w:r>
      <w:r>
        <w:drawing>
          <wp:inline>
            <wp:extent cx="5334000" cy="7334250"/>
            <wp:effectExtent b="0" l="0" r="0" t="0"/>
            <wp:docPr descr="" title="" id="75" name="Picture"/>
            <a:graphic>
              <a:graphicData uri="http://schemas.openxmlformats.org/drawingml/2006/picture">
                <pic:pic>
                  <pic:nvPicPr>
                    <pic:cNvPr descr="Analysis-and-visualization_files/figure-docx/figureS5-2.png" id="76" name="Picture"/>
                    <pic:cNvPicPr>
                      <a:picLocks noChangeArrowheads="1" noChangeAspect="1"/>
                    </pic:cNvPicPr>
                  </pic:nvPicPr>
                  <pic:blipFill>
                    <a:blip r:embed="rId74"/>
                    <a:stretch>
                      <a:fillRect/>
                    </a:stretch>
                  </pic:blipFill>
                  <pic:spPr bwMode="auto">
                    <a:xfrm>
                      <a:off x="0" y="0"/>
                      <a:ext cx="5334000" cy="7334250"/>
                    </a:xfrm>
                    <a:prstGeom prst="rect">
                      <a:avLst/>
                    </a:prstGeom>
                    <a:noFill/>
                    <a:ln w="9525">
                      <a:noFill/>
                      <a:headEnd/>
                      <a:tailEnd/>
                    </a:ln>
                  </pic:spPr>
                </pic:pic>
              </a:graphicData>
            </a:graphic>
          </wp:inline>
        </w:drawing>
      </w:r>
    </w:p>
    <w:bookmarkEnd w:id="77"/>
    <w:bookmarkStart w:id="81" w:name="figure-s6-yearx-10-trends-over-time"/>
    <w:p>
      <w:pPr>
        <w:pStyle w:val="Heading2"/>
      </w:pPr>
      <w:r>
        <w:t xml:space="preserve">Figure S6, yearX = 10, trends over time</w:t>
      </w:r>
    </w:p>
    <w:p>
      <w:pPr>
        <w:pStyle w:val="FirstParagraph"/>
      </w:pPr>
      <w:r>
        <w:drawing>
          <wp:inline>
            <wp:extent cx="5334000" cy="7334250"/>
            <wp:effectExtent b="0" l="0" r="0" t="0"/>
            <wp:docPr descr="" title="" id="79" name="Picture"/>
            <a:graphic>
              <a:graphicData uri="http://schemas.openxmlformats.org/drawingml/2006/picture">
                <pic:pic>
                  <pic:nvPicPr>
                    <pic:cNvPr descr="Analysis-and-visualization_files/figure-docx/figureS6-1.png" id="80" name="Picture"/>
                    <pic:cNvPicPr>
                      <a:picLocks noChangeArrowheads="1" noChangeAspect="1"/>
                    </pic:cNvPicPr>
                  </pic:nvPicPr>
                  <pic:blipFill>
                    <a:blip r:embed="rId78"/>
                    <a:stretch>
                      <a:fillRect/>
                    </a:stretch>
                  </pic:blipFill>
                  <pic:spPr bwMode="auto">
                    <a:xfrm>
                      <a:off x="0" y="0"/>
                      <a:ext cx="5334000" cy="7334250"/>
                    </a:xfrm>
                    <a:prstGeom prst="rect">
                      <a:avLst/>
                    </a:prstGeom>
                    <a:noFill/>
                    <a:ln w="9525">
                      <a:noFill/>
                      <a:headEnd/>
                      <a:tailEnd/>
                    </a:ln>
                  </pic:spPr>
                </pic:pic>
              </a:graphicData>
            </a:graphic>
          </wp:inline>
        </w:drawing>
      </w:r>
    </w:p>
    <w:bookmarkEnd w:id="81"/>
    <w:bookmarkStart w:id="85" w:name="figure-s7-yearx-15-trends-over-time"/>
    <w:p>
      <w:pPr>
        <w:pStyle w:val="Heading2"/>
      </w:pPr>
      <w:r>
        <w:t xml:space="preserve">Figure S7, yearX = 15, trends over time</w:t>
      </w:r>
    </w:p>
    <w:p>
      <w:pPr>
        <w:pStyle w:val="FirstParagraph"/>
      </w:pPr>
      <w:r>
        <w:drawing>
          <wp:inline>
            <wp:extent cx="5334000" cy="7334250"/>
            <wp:effectExtent b="0" l="0" r="0" t="0"/>
            <wp:docPr descr="" title="" id="83" name="Picture"/>
            <a:graphic>
              <a:graphicData uri="http://schemas.openxmlformats.org/drawingml/2006/picture">
                <pic:pic>
                  <pic:nvPicPr>
                    <pic:cNvPr descr="Analysis-and-visualization_files/figure-docx/figureS7-1.png" id="84" name="Picture"/>
                    <pic:cNvPicPr>
                      <a:picLocks noChangeArrowheads="1" noChangeAspect="1"/>
                    </pic:cNvPicPr>
                  </pic:nvPicPr>
                  <pic:blipFill>
                    <a:blip r:embed="rId82"/>
                    <a:stretch>
                      <a:fillRect/>
                    </a:stretch>
                  </pic:blipFill>
                  <pic:spPr bwMode="auto">
                    <a:xfrm>
                      <a:off x="0" y="0"/>
                      <a:ext cx="5334000" cy="7334250"/>
                    </a:xfrm>
                    <a:prstGeom prst="rect">
                      <a:avLst/>
                    </a:prstGeom>
                    <a:noFill/>
                    <a:ln w="9525">
                      <a:noFill/>
                      <a:headEnd/>
                      <a:tailEnd/>
                    </a:ln>
                  </pic:spPr>
                </pic:pic>
              </a:graphicData>
            </a:graphic>
          </wp:inline>
        </w:drawing>
      </w:r>
    </w:p>
    <w:bookmarkEnd w:id="85"/>
    <w:bookmarkStart w:id="89" w:name="figure-s8-never-drug-x-trends-over-time"/>
    <w:p>
      <w:pPr>
        <w:pStyle w:val="Heading2"/>
      </w:pPr>
      <w:r>
        <w:t xml:space="preserve">Figure S8, never drug X, trends over time</w:t>
      </w:r>
    </w:p>
    <w:p>
      <w:pPr>
        <w:pStyle w:val="FirstParagraph"/>
      </w:pPr>
      <w:r>
        <w:drawing>
          <wp:inline>
            <wp:extent cx="5334000" cy="7334250"/>
            <wp:effectExtent b="0" l="0" r="0" t="0"/>
            <wp:docPr descr="" title="" id="87" name="Picture"/>
            <a:graphic>
              <a:graphicData uri="http://schemas.openxmlformats.org/drawingml/2006/picture">
                <pic:pic>
                  <pic:nvPicPr>
                    <pic:cNvPr descr="Analysis-and-visualization_files/figure-docx/figureS8-1.png" id="88" name="Picture"/>
                    <pic:cNvPicPr>
                      <a:picLocks noChangeArrowheads="1" noChangeAspect="1"/>
                    </pic:cNvPicPr>
                  </pic:nvPicPr>
                  <pic:blipFill>
                    <a:blip r:embed="rId86"/>
                    <a:stretch>
                      <a:fillRect/>
                    </a:stretch>
                  </pic:blipFill>
                  <pic:spPr bwMode="auto">
                    <a:xfrm>
                      <a:off x="0" y="0"/>
                      <a:ext cx="5334000" cy="7334250"/>
                    </a:xfrm>
                    <a:prstGeom prst="rect">
                      <a:avLst/>
                    </a:prstGeom>
                    <a:noFill/>
                    <a:ln w="9525">
                      <a:noFill/>
                      <a:headEnd/>
                      <a:tailEnd/>
                    </a:ln>
                  </pic:spPr>
                </pic:pic>
              </a:graphicData>
            </a:graphic>
          </wp:inline>
        </w:drawing>
      </w:r>
    </w:p>
    <w:bookmarkEnd w:id="89"/>
    <w:bookmarkStart w:id="93" w:name="Xa5549bd3f557f32894779fef3a42d29550df5e4"/>
    <w:p>
      <w:pPr>
        <w:pStyle w:val="Heading2"/>
      </w:pPr>
      <w:r>
        <w:t xml:space="preserve">Figure S9, CEA under different drug X availability</w:t>
      </w:r>
    </w:p>
    <w:p>
      <w:pPr>
        <w:pStyle w:val="FirstParagraph"/>
      </w:pPr>
      <w:r>
        <w:drawing>
          <wp:inline>
            <wp:extent cx="5334000" cy="7334250"/>
            <wp:effectExtent b="0" l="0" r="0" t="0"/>
            <wp:docPr descr="" title="" id="91" name="Picture"/>
            <a:graphic>
              <a:graphicData uri="http://schemas.openxmlformats.org/drawingml/2006/picture">
                <pic:pic>
                  <pic:nvPicPr>
                    <pic:cNvPr descr="Analysis-and-visualization_files/figure-docx/figureS9-1.png" id="92" name="Picture"/>
                    <pic:cNvPicPr>
                      <a:picLocks noChangeArrowheads="1" noChangeAspect="1"/>
                    </pic:cNvPicPr>
                  </pic:nvPicPr>
                  <pic:blipFill>
                    <a:blip r:embed="rId90"/>
                    <a:stretch>
                      <a:fillRect/>
                    </a:stretch>
                  </pic:blipFill>
                  <pic:spPr bwMode="auto">
                    <a:xfrm>
                      <a:off x="0" y="0"/>
                      <a:ext cx="5334000" cy="7334250"/>
                    </a:xfrm>
                    <a:prstGeom prst="rect">
                      <a:avLst/>
                    </a:prstGeom>
                    <a:noFill/>
                    <a:ln w="9525">
                      <a:noFill/>
                      <a:headEnd/>
                      <a:tailEnd/>
                    </a:ln>
                  </pic:spPr>
                </pic:pic>
              </a:graphicData>
            </a:graphic>
          </wp:inline>
        </w:drawing>
      </w:r>
    </w:p>
    <w:bookmarkEnd w:id="93"/>
    <w:bookmarkStart w:id="100" w:name="X6366a916f415c51b53cf2790f8d6dc0ec0639c6"/>
    <w:p>
      <w:pPr>
        <w:pStyle w:val="Heading2"/>
      </w:pPr>
      <w:r>
        <w:t xml:space="preserve">Figure S10, varying GISP switchpoint summary results</w:t>
      </w:r>
    </w:p>
    <w:p>
      <w:pPr>
        <w:pStyle w:val="FirstParagraph"/>
      </w:pPr>
      <w:r>
        <w:drawing>
          <wp:inline>
            <wp:extent cx="5334000" cy="2667000"/>
            <wp:effectExtent b="0" l="0" r="0" t="0"/>
            <wp:docPr descr="" title="" id="95" name="Picture"/>
            <a:graphic>
              <a:graphicData uri="http://schemas.openxmlformats.org/drawingml/2006/picture">
                <pic:pic>
                  <pic:nvPicPr>
                    <pic:cNvPr descr="Analysis-and-visualization_files/figure-docx/figureS10-1.png" id="96" name="Picture"/>
                    <pic:cNvPicPr>
                      <a:picLocks noChangeArrowheads="1" noChangeAspect="1"/>
                    </pic:cNvPicPr>
                  </pic:nvPicPr>
                  <pic:blipFill>
                    <a:blip r:embed="rId94"/>
                    <a:stretch>
                      <a:fillRect/>
                    </a:stretch>
                  </pic:blipFill>
                  <pic:spPr bwMode="auto">
                    <a:xfrm>
                      <a:off x="0" y="0"/>
                      <a:ext cx="5334000" cy="2667000"/>
                    </a:xfrm>
                    <a:prstGeom prst="rect">
                      <a:avLst/>
                    </a:prstGeom>
                    <a:noFill/>
                    <a:ln w="9525">
                      <a:noFill/>
                      <a:headEnd/>
                      <a:tailEnd/>
                    </a:ln>
                  </pic:spPr>
                </pic:pic>
              </a:graphicData>
            </a:graphic>
          </wp:inline>
        </w:drawing>
      </w:r>
      <w:r>
        <w:drawing>
          <wp:inline>
            <wp:extent cx="5334000" cy="2667000"/>
            <wp:effectExtent b="0" l="0" r="0" t="0"/>
            <wp:docPr descr="" title="" id="98" name="Picture"/>
            <a:graphic>
              <a:graphicData uri="http://schemas.openxmlformats.org/drawingml/2006/picture">
                <pic:pic>
                  <pic:nvPicPr>
                    <pic:cNvPr descr="Analysis-and-visualization_files/figure-docx/figureS10-2.png" id="99" name="Picture"/>
                    <pic:cNvPicPr>
                      <a:picLocks noChangeArrowheads="1" noChangeAspect="1"/>
                    </pic:cNvPicPr>
                  </pic:nvPicPr>
                  <pic:blipFill>
                    <a:blip r:embed="rId97"/>
                    <a:stretch>
                      <a:fillRect/>
                    </a:stretch>
                  </pic:blipFill>
                  <pic:spPr bwMode="auto">
                    <a:xfrm>
                      <a:off x="0" y="0"/>
                      <a:ext cx="5334000" cy="2667000"/>
                    </a:xfrm>
                    <a:prstGeom prst="rect">
                      <a:avLst/>
                    </a:prstGeom>
                    <a:noFill/>
                    <a:ln w="9525">
                      <a:noFill/>
                      <a:headEnd/>
                      <a:tailEnd/>
                    </a:ln>
                  </pic:spPr>
                </pic:pic>
              </a:graphicData>
            </a:graphic>
          </wp:inline>
        </w:drawing>
      </w:r>
    </w:p>
    <w:bookmarkEnd w:id="100"/>
    <w:bookmarkStart w:id="104" w:name="X06ba91f529512be1ee74e4952c21db4392db842"/>
    <w:p>
      <w:pPr>
        <w:pStyle w:val="Heading2"/>
      </w:pPr>
      <w:r>
        <w:t xml:space="preserve">Figure S11, varying GISP switchpoint CEA results</w:t>
      </w:r>
    </w:p>
    <w:p>
      <w:pPr>
        <w:pStyle w:val="FirstParagraph"/>
      </w:pPr>
      <w:r>
        <w:drawing>
          <wp:inline>
            <wp:extent cx="5334000" cy="7334250"/>
            <wp:effectExtent b="0" l="0" r="0" t="0"/>
            <wp:docPr descr="" title="" id="102" name="Picture"/>
            <a:graphic>
              <a:graphicData uri="http://schemas.openxmlformats.org/drawingml/2006/picture">
                <pic:pic>
                  <pic:nvPicPr>
                    <pic:cNvPr descr="Analysis-and-visualization_files/figure-docx/figureS11-1.png" id="103" name="Picture"/>
                    <pic:cNvPicPr>
                      <a:picLocks noChangeArrowheads="1" noChangeAspect="1"/>
                    </pic:cNvPicPr>
                  </pic:nvPicPr>
                  <pic:blipFill>
                    <a:blip r:embed="rId101"/>
                    <a:stretch>
                      <a:fillRect/>
                    </a:stretch>
                  </pic:blipFill>
                  <pic:spPr bwMode="auto">
                    <a:xfrm>
                      <a:off x="0" y="0"/>
                      <a:ext cx="5334000" cy="7334250"/>
                    </a:xfrm>
                    <a:prstGeom prst="rect">
                      <a:avLst/>
                    </a:prstGeom>
                    <a:noFill/>
                    <a:ln w="9525">
                      <a:noFill/>
                      <a:headEnd/>
                      <a:tailEnd/>
                    </a:ln>
                  </pic:spPr>
                </pic:pic>
              </a:graphicData>
            </a:graphic>
          </wp:inline>
        </w:drawing>
      </w:r>
    </w:p>
    <w:bookmarkEnd w:id="104"/>
    <w:bookmarkStart w:id="111" w:name="X55d6cdcddec2ef5f30dd92d6abc3ce5d789d6b1"/>
    <w:p>
      <w:pPr>
        <w:pStyle w:val="Heading2"/>
      </w:pPr>
      <w:r>
        <w:t xml:space="preserve">Figure S12, symptomatic adherence to TOC, summary results</w:t>
      </w:r>
    </w:p>
    <w:p>
      <w:pPr>
        <w:pStyle w:val="FirstParagraph"/>
      </w:pPr>
      <w:r>
        <w:drawing>
          <wp:inline>
            <wp:extent cx="5334000" cy="2000250"/>
            <wp:effectExtent b="0" l="0" r="0" t="0"/>
            <wp:docPr descr="" title="" id="106" name="Picture"/>
            <a:graphic>
              <a:graphicData uri="http://schemas.openxmlformats.org/drawingml/2006/picture">
                <pic:pic>
                  <pic:nvPicPr>
                    <pic:cNvPr descr="Analysis-and-visualization_files/figure-docx/figureS12-1.png" id="107" name="Picture"/>
                    <pic:cNvPicPr>
                      <a:picLocks noChangeArrowheads="1" noChangeAspect="1"/>
                    </pic:cNvPicPr>
                  </pic:nvPicPr>
                  <pic:blipFill>
                    <a:blip r:embed="rId105"/>
                    <a:stretch>
                      <a:fillRect/>
                    </a:stretch>
                  </pic:blipFill>
                  <pic:spPr bwMode="auto">
                    <a:xfrm>
                      <a:off x="0" y="0"/>
                      <a:ext cx="5334000" cy="2000250"/>
                    </a:xfrm>
                    <a:prstGeom prst="rect">
                      <a:avLst/>
                    </a:prstGeom>
                    <a:noFill/>
                    <a:ln w="9525">
                      <a:noFill/>
                      <a:headEnd/>
                      <a:tailEnd/>
                    </a:ln>
                  </pic:spPr>
                </pic:pic>
              </a:graphicData>
            </a:graphic>
          </wp:inline>
        </w:drawing>
      </w:r>
      <w:r>
        <w:drawing>
          <wp:inline>
            <wp:extent cx="5334000" cy="2000250"/>
            <wp:effectExtent b="0" l="0" r="0" t="0"/>
            <wp:docPr descr="" title="" id="109" name="Picture"/>
            <a:graphic>
              <a:graphicData uri="http://schemas.openxmlformats.org/drawingml/2006/picture">
                <pic:pic>
                  <pic:nvPicPr>
                    <pic:cNvPr descr="Analysis-and-visualization_files/figure-docx/figureS12-2.png" id="110" name="Picture"/>
                    <pic:cNvPicPr>
                      <a:picLocks noChangeArrowheads="1" noChangeAspect="1"/>
                    </pic:cNvPicPr>
                  </pic:nvPicPr>
                  <pic:blipFill>
                    <a:blip r:embed="rId108"/>
                    <a:stretch>
                      <a:fillRect/>
                    </a:stretch>
                  </pic:blipFill>
                  <pic:spPr bwMode="auto">
                    <a:xfrm>
                      <a:off x="0" y="0"/>
                      <a:ext cx="5334000" cy="2000250"/>
                    </a:xfrm>
                    <a:prstGeom prst="rect">
                      <a:avLst/>
                    </a:prstGeom>
                    <a:noFill/>
                    <a:ln w="9525">
                      <a:noFill/>
                      <a:headEnd/>
                      <a:tailEnd/>
                    </a:ln>
                  </pic:spPr>
                </pic:pic>
              </a:graphicData>
            </a:graphic>
          </wp:inline>
        </w:drawing>
      </w:r>
    </w:p>
    <w:bookmarkEnd w:id="111"/>
    <w:bookmarkStart w:id="115" w:name="X528cf1719f458ca28fad6147ef9a01c33d285e8"/>
    <w:p>
      <w:pPr>
        <w:pStyle w:val="Heading2"/>
      </w:pPr>
      <w:r>
        <w:t xml:space="preserve">Figure S13, symptomatic adherence to TOC, CEA results</w:t>
      </w:r>
    </w:p>
    <w:p>
      <w:pPr>
        <w:pStyle w:val="FirstParagraph"/>
      </w:pPr>
      <w:r>
        <w:drawing>
          <wp:inline>
            <wp:extent cx="5334000" cy="7334250"/>
            <wp:effectExtent b="0" l="0" r="0" t="0"/>
            <wp:docPr descr="" title="" id="113" name="Picture"/>
            <a:graphic>
              <a:graphicData uri="http://schemas.openxmlformats.org/drawingml/2006/picture">
                <pic:pic>
                  <pic:nvPicPr>
                    <pic:cNvPr descr="Analysis-and-visualization_files/figure-docx/figureS13-1.png" id="114" name="Picture"/>
                    <pic:cNvPicPr>
                      <a:picLocks noChangeArrowheads="1" noChangeAspect="1"/>
                    </pic:cNvPicPr>
                  </pic:nvPicPr>
                  <pic:blipFill>
                    <a:blip r:embed="rId112"/>
                    <a:stretch>
                      <a:fillRect/>
                    </a:stretch>
                  </pic:blipFill>
                  <pic:spPr bwMode="auto">
                    <a:xfrm>
                      <a:off x="0" y="0"/>
                      <a:ext cx="5334000" cy="7334250"/>
                    </a:xfrm>
                    <a:prstGeom prst="rect">
                      <a:avLst/>
                    </a:prstGeom>
                    <a:noFill/>
                    <a:ln w="9525">
                      <a:noFill/>
                      <a:headEnd/>
                      <a:tailEnd/>
                    </a:ln>
                  </pic:spPr>
                </pic:pic>
              </a:graphicData>
            </a:graphic>
          </wp:inline>
        </w:drawing>
      </w:r>
    </w:p>
    <w:bookmarkEnd w:id="115"/>
    <w:bookmarkStart w:id="122" w:name="Xd50c914a782da5bea7bf2757567bf0da3f90154"/>
    <w:p>
      <w:pPr>
        <w:pStyle w:val="Heading2"/>
      </w:pPr>
      <w:r>
        <w:t xml:space="preserve">Figure S14, asymptomatic adherence to TOC, summary results</w:t>
      </w:r>
    </w:p>
    <w:p>
      <w:pPr>
        <w:pStyle w:val="FirstParagraph"/>
      </w:pPr>
      <w:r>
        <w:drawing>
          <wp:inline>
            <wp:extent cx="5334000" cy="2000250"/>
            <wp:effectExtent b="0" l="0" r="0" t="0"/>
            <wp:docPr descr="" title="" id="117" name="Picture"/>
            <a:graphic>
              <a:graphicData uri="http://schemas.openxmlformats.org/drawingml/2006/picture">
                <pic:pic>
                  <pic:nvPicPr>
                    <pic:cNvPr descr="Analysis-and-visualization_files/figure-docx/figureS14-1.png" id="118" name="Picture"/>
                    <pic:cNvPicPr>
                      <a:picLocks noChangeArrowheads="1" noChangeAspect="1"/>
                    </pic:cNvPicPr>
                  </pic:nvPicPr>
                  <pic:blipFill>
                    <a:blip r:embed="rId116"/>
                    <a:stretch>
                      <a:fillRect/>
                    </a:stretch>
                  </pic:blipFill>
                  <pic:spPr bwMode="auto">
                    <a:xfrm>
                      <a:off x="0" y="0"/>
                      <a:ext cx="5334000" cy="2000250"/>
                    </a:xfrm>
                    <a:prstGeom prst="rect">
                      <a:avLst/>
                    </a:prstGeom>
                    <a:noFill/>
                    <a:ln w="9525">
                      <a:noFill/>
                      <a:headEnd/>
                      <a:tailEnd/>
                    </a:ln>
                  </pic:spPr>
                </pic:pic>
              </a:graphicData>
            </a:graphic>
          </wp:inline>
        </w:drawing>
      </w:r>
      <w:r>
        <w:drawing>
          <wp:inline>
            <wp:extent cx="5334000" cy="2000250"/>
            <wp:effectExtent b="0" l="0" r="0" t="0"/>
            <wp:docPr descr="" title="" id="120" name="Picture"/>
            <a:graphic>
              <a:graphicData uri="http://schemas.openxmlformats.org/drawingml/2006/picture">
                <pic:pic>
                  <pic:nvPicPr>
                    <pic:cNvPr descr="Analysis-and-visualization_files/figure-docx/figureS14-2.png" id="121" name="Picture"/>
                    <pic:cNvPicPr>
                      <a:picLocks noChangeArrowheads="1" noChangeAspect="1"/>
                    </pic:cNvPicPr>
                  </pic:nvPicPr>
                  <pic:blipFill>
                    <a:blip r:embed="rId119"/>
                    <a:stretch>
                      <a:fillRect/>
                    </a:stretch>
                  </pic:blipFill>
                  <pic:spPr bwMode="auto">
                    <a:xfrm>
                      <a:off x="0" y="0"/>
                      <a:ext cx="5334000" cy="2000250"/>
                    </a:xfrm>
                    <a:prstGeom prst="rect">
                      <a:avLst/>
                    </a:prstGeom>
                    <a:noFill/>
                    <a:ln w="9525">
                      <a:noFill/>
                      <a:headEnd/>
                      <a:tailEnd/>
                    </a:ln>
                  </pic:spPr>
                </pic:pic>
              </a:graphicData>
            </a:graphic>
          </wp:inline>
        </w:drawing>
      </w:r>
    </w:p>
    <w:bookmarkEnd w:id="122"/>
    <w:bookmarkStart w:id="126" w:name="Xd18e8ef8ec42314c78f0d5c20b2fd11f879daf5"/>
    <w:p>
      <w:pPr>
        <w:pStyle w:val="Heading2"/>
      </w:pPr>
      <w:r>
        <w:t xml:space="preserve">Figure S15, asymptomatic adherence to TOC, CEA results</w:t>
      </w:r>
    </w:p>
    <w:p>
      <w:pPr>
        <w:pStyle w:val="FirstParagraph"/>
      </w:pPr>
      <w:r>
        <w:drawing>
          <wp:inline>
            <wp:extent cx="5334000" cy="7334250"/>
            <wp:effectExtent b="0" l="0" r="0" t="0"/>
            <wp:docPr descr="" title="" id="124" name="Picture"/>
            <a:graphic>
              <a:graphicData uri="http://schemas.openxmlformats.org/drawingml/2006/picture">
                <pic:pic>
                  <pic:nvPicPr>
                    <pic:cNvPr descr="Analysis-and-visualization_files/figure-docx/figureS15-1.png" id="125" name="Picture"/>
                    <pic:cNvPicPr>
                      <a:picLocks noChangeArrowheads="1" noChangeAspect="1"/>
                    </pic:cNvPicPr>
                  </pic:nvPicPr>
                  <pic:blipFill>
                    <a:blip r:embed="rId123"/>
                    <a:stretch>
                      <a:fillRect/>
                    </a:stretch>
                  </pic:blipFill>
                  <pic:spPr bwMode="auto">
                    <a:xfrm>
                      <a:off x="0" y="0"/>
                      <a:ext cx="5334000" cy="7334250"/>
                    </a:xfrm>
                    <a:prstGeom prst="rect">
                      <a:avLst/>
                    </a:prstGeom>
                    <a:noFill/>
                    <a:ln w="9525">
                      <a:noFill/>
                      <a:headEnd/>
                      <a:tailEnd/>
                    </a:ln>
                  </pic:spPr>
                </pic:pic>
              </a:graphicData>
            </a:graphic>
          </wp:inline>
        </w:drawing>
      </w:r>
    </w:p>
    <w:bookmarkEnd w:id="126"/>
    <w:bookmarkStart w:id="133" w:name="Xeebd24f9abf550d9201e1ae95d1f3c0eebce229"/>
    <w:p>
      <w:pPr>
        <w:pStyle w:val="Heading2"/>
      </w:pPr>
      <w:r>
        <w:t xml:space="preserve">Figure S16, combo sensitivity analysis, summary results</w:t>
      </w:r>
    </w:p>
    <w:p>
      <w:pPr>
        <w:pStyle w:val="FirstParagraph"/>
      </w:pPr>
      <w:r>
        <w:drawing>
          <wp:inline>
            <wp:extent cx="5334000" cy="2000250"/>
            <wp:effectExtent b="0" l="0" r="0" t="0"/>
            <wp:docPr descr="" title="" id="128" name="Picture"/>
            <a:graphic>
              <a:graphicData uri="http://schemas.openxmlformats.org/drawingml/2006/picture">
                <pic:pic>
                  <pic:nvPicPr>
                    <pic:cNvPr descr="Analysis-and-visualization_files/figure-docx/figureS16-1.png" id="129" name="Picture"/>
                    <pic:cNvPicPr>
                      <a:picLocks noChangeArrowheads="1" noChangeAspect="1"/>
                    </pic:cNvPicPr>
                  </pic:nvPicPr>
                  <pic:blipFill>
                    <a:blip r:embed="rId127"/>
                    <a:stretch>
                      <a:fillRect/>
                    </a:stretch>
                  </pic:blipFill>
                  <pic:spPr bwMode="auto">
                    <a:xfrm>
                      <a:off x="0" y="0"/>
                      <a:ext cx="5334000" cy="2000250"/>
                    </a:xfrm>
                    <a:prstGeom prst="rect">
                      <a:avLst/>
                    </a:prstGeom>
                    <a:noFill/>
                    <a:ln w="9525">
                      <a:noFill/>
                      <a:headEnd/>
                      <a:tailEnd/>
                    </a:ln>
                  </pic:spPr>
                </pic:pic>
              </a:graphicData>
            </a:graphic>
          </wp:inline>
        </w:drawing>
      </w:r>
      <w:r>
        <w:drawing>
          <wp:inline>
            <wp:extent cx="5334000" cy="2000250"/>
            <wp:effectExtent b="0" l="0" r="0" t="0"/>
            <wp:docPr descr="" title="" id="131" name="Picture"/>
            <a:graphic>
              <a:graphicData uri="http://schemas.openxmlformats.org/drawingml/2006/picture">
                <pic:pic>
                  <pic:nvPicPr>
                    <pic:cNvPr descr="Analysis-and-visualization_files/figure-docx/figureS16-2.png" id="132" name="Picture"/>
                    <pic:cNvPicPr>
                      <a:picLocks noChangeArrowheads="1" noChangeAspect="1"/>
                    </pic:cNvPicPr>
                  </pic:nvPicPr>
                  <pic:blipFill>
                    <a:blip r:embed="rId130"/>
                    <a:stretch>
                      <a:fillRect/>
                    </a:stretch>
                  </pic:blipFill>
                  <pic:spPr bwMode="auto">
                    <a:xfrm>
                      <a:off x="0" y="0"/>
                      <a:ext cx="5334000" cy="2000250"/>
                    </a:xfrm>
                    <a:prstGeom prst="rect">
                      <a:avLst/>
                    </a:prstGeom>
                    <a:noFill/>
                    <a:ln w="9525">
                      <a:noFill/>
                      <a:headEnd/>
                      <a:tailEnd/>
                    </a:ln>
                  </pic:spPr>
                </pic:pic>
              </a:graphicData>
            </a:graphic>
          </wp:inline>
        </w:drawing>
      </w:r>
    </w:p>
    <w:bookmarkEnd w:id="133"/>
    <w:bookmarkStart w:id="137" w:name="X8f4ee626d76136247c4058db46e37bc4110f56f"/>
    <w:p>
      <w:pPr>
        <w:pStyle w:val="Heading2"/>
      </w:pPr>
      <w:r>
        <w:t xml:space="preserve">Figure S17, combo sensitivity analysis, CEA results</w:t>
      </w:r>
    </w:p>
    <w:p>
      <w:pPr>
        <w:pStyle w:val="FirstParagraph"/>
      </w:pPr>
      <w:r>
        <w:drawing>
          <wp:inline>
            <wp:extent cx="5334000" cy="7334250"/>
            <wp:effectExtent b="0" l="0" r="0" t="0"/>
            <wp:docPr descr="" title="" id="135" name="Picture"/>
            <a:graphic>
              <a:graphicData uri="http://schemas.openxmlformats.org/drawingml/2006/picture">
                <pic:pic>
                  <pic:nvPicPr>
                    <pic:cNvPr descr="Analysis-and-visualization_files/figure-docx/figureS17-1.png" id="136" name="Picture"/>
                    <pic:cNvPicPr>
                      <a:picLocks noChangeArrowheads="1" noChangeAspect="1"/>
                    </pic:cNvPicPr>
                  </pic:nvPicPr>
                  <pic:blipFill>
                    <a:blip r:embed="rId134"/>
                    <a:stretch>
                      <a:fillRect/>
                    </a:stretch>
                  </pic:blipFill>
                  <pic:spPr bwMode="auto">
                    <a:xfrm>
                      <a:off x="0" y="0"/>
                      <a:ext cx="5334000" cy="7334250"/>
                    </a:xfrm>
                    <a:prstGeom prst="rect">
                      <a:avLst/>
                    </a:prstGeom>
                    <a:noFill/>
                    <a:ln w="9525">
                      <a:noFill/>
                      <a:headEnd/>
                      <a:tailEnd/>
                    </a:ln>
                  </pic:spPr>
                </pic:pic>
              </a:graphicData>
            </a:graphic>
          </wp:inline>
        </w:drawing>
      </w:r>
    </w:p>
    <w:bookmarkEnd w:id="137"/>
    <w:bookmarkEnd w:id="138"/>
    <w:bookmarkStart w:id="176" w:name="supplement-5-rdst-and-mt"/>
    <w:p>
      <w:pPr>
        <w:pStyle w:val="Heading1"/>
      </w:pPr>
      <w:r>
        <w:t xml:space="preserve">Supplement 5 rDST and MT</w:t>
      </w:r>
    </w:p>
    <w:bookmarkStart w:id="139" w:name="Xca92bc0fa99e4a061524280f08c15216e91b799"/>
    <w:p>
      <w:pPr>
        <w:pStyle w:val="Heading2"/>
      </w:pPr>
      <w:r>
        <w:t xml:space="preserve">Table S7, sensitivity and specificity parameters for rDST</w:t>
      </w:r>
    </w:p>
    <w:bookmarkEnd w:id="139"/>
    <w:bookmarkStart w:id="143" w:name="X7340342199afdf3cae980bc58ffce63fb6b6b84"/>
    <w:p>
      <w:pPr>
        <w:pStyle w:val="Heading2"/>
      </w:pPr>
      <w:r>
        <w:t xml:space="preserve">Figure S18, model diagram for rDST counterfactual</w:t>
      </w:r>
    </w:p>
    <w:p>
      <w:pPr>
        <w:pStyle w:val="CaptionedFigure"/>
      </w:pPr>
      <w:r>
        <w:drawing>
          <wp:inline>
            <wp:extent cx="5334000" cy="2402165"/>
            <wp:effectExtent b="0" l="0" r="0" t="0"/>
            <wp:docPr descr="Figure S18." title="" id="141" name="Picture"/>
            <a:graphic>
              <a:graphicData uri="http://schemas.openxmlformats.org/drawingml/2006/picture">
                <pic:pic>
                  <pic:nvPicPr>
                    <pic:cNvPr descr="FigureS18.jpg" id="142" name="Picture"/>
                    <pic:cNvPicPr>
                      <a:picLocks noChangeArrowheads="1" noChangeAspect="1"/>
                    </pic:cNvPicPr>
                  </pic:nvPicPr>
                  <pic:blipFill>
                    <a:blip r:embed="rId140"/>
                    <a:stretch>
                      <a:fillRect/>
                    </a:stretch>
                  </pic:blipFill>
                  <pic:spPr bwMode="auto">
                    <a:xfrm>
                      <a:off x="0" y="0"/>
                      <a:ext cx="5334000" cy="2402165"/>
                    </a:xfrm>
                    <a:prstGeom prst="rect">
                      <a:avLst/>
                    </a:prstGeom>
                    <a:noFill/>
                    <a:ln w="9525">
                      <a:noFill/>
                      <a:headEnd/>
                      <a:tailEnd/>
                    </a:ln>
                  </pic:spPr>
                </pic:pic>
              </a:graphicData>
            </a:graphic>
          </wp:inline>
        </w:drawing>
      </w:r>
    </w:p>
    <w:p>
      <w:pPr>
        <w:pStyle w:val="ImageCaption"/>
      </w:pPr>
      <w:r>
        <w:rPr>
          <w:b/>
          <w:bCs/>
        </w:rPr>
        <w:t xml:space="preserve">Figure S18.</w:t>
      </w:r>
    </w:p>
    <w:bookmarkEnd w:id="143"/>
    <w:bookmarkStart w:id="147" w:name="Xc6effd0ad4196d8145ac4241e6d5f15cbfd3740"/>
    <w:p>
      <w:pPr>
        <w:pStyle w:val="Heading2"/>
      </w:pPr>
      <w:r>
        <w:t xml:space="preserve">Figure S19, Model diagram for MT counterfactual (combo which includes rDST)</w:t>
      </w:r>
    </w:p>
    <w:p>
      <w:pPr>
        <w:pStyle w:val="CaptionedFigure"/>
      </w:pPr>
      <w:r>
        <w:drawing>
          <wp:inline>
            <wp:extent cx="5334000" cy="3660989"/>
            <wp:effectExtent b="0" l="0" r="0" t="0"/>
            <wp:docPr descr="Figure S19." title="" id="145" name="Picture"/>
            <a:graphic>
              <a:graphicData uri="http://schemas.openxmlformats.org/drawingml/2006/picture">
                <pic:pic>
                  <pic:nvPicPr>
                    <pic:cNvPr descr="FigureS19.jpg" id="146" name="Picture"/>
                    <pic:cNvPicPr>
                      <a:picLocks noChangeArrowheads="1" noChangeAspect="1"/>
                    </pic:cNvPicPr>
                  </pic:nvPicPr>
                  <pic:blipFill>
                    <a:blip r:embed="rId144"/>
                    <a:stretch>
                      <a:fillRect/>
                    </a:stretch>
                  </pic:blipFill>
                  <pic:spPr bwMode="auto">
                    <a:xfrm>
                      <a:off x="0" y="0"/>
                      <a:ext cx="5334000" cy="3660989"/>
                    </a:xfrm>
                    <a:prstGeom prst="rect">
                      <a:avLst/>
                    </a:prstGeom>
                    <a:noFill/>
                    <a:ln w="9525">
                      <a:noFill/>
                      <a:headEnd/>
                      <a:tailEnd/>
                    </a:ln>
                  </pic:spPr>
                </pic:pic>
              </a:graphicData>
            </a:graphic>
          </wp:inline>
        </w:drawing>
      </w:r>
    </w:p>
    <w:p>
      <w:pPr>
        <w:pStyle w:val="ImageCaption"/>
      </w:pPr>
      <w:r>
        <w:rPr>
          <w:b/>
          <w:bCs/>
        </w:rPr>
        <w:t xml:space="preserve">Figure S19.</w:t>
      </w:r>
    </w:p>
    <w:bookmarkEnd w:id="147"/>
    <w:bookmarkStart w:id="151" w:name="X4808ea096d417ee883c19fefaf1aca0e93aa258"/>
    <w:p>
      <w:pPr>
        <w:pStyle w:val="Heading2"/>
      </w:pPr>
      <w:r>
        <w:t xml:space="preserve">Figure S20, impact of rDST on a given strain, given sensitivity and specificity</w:t>
      </w:r>
    </w:p>
    <w:p>
      <w:pPr>
        <w:pStyle w:val="CaptionedFigure"/>
      </w:pPr>
      <w:r>
        <w:drawing>
          <wp:inline>
            <wp:extent cx="5320145" cy="3578629"/>
            <wp:effectExtent b="0" l="0" r="0" t="0"/>
            <wp:docPr descr="Figure S20." title="" id="149" name="Picture"/>
            <a:graphic>
              <a:graphicData uri="http://schemas.openxmlformats.org/drawingml/2006/picture">
                <pic:pic>
                  <pic:nvPicPr>
                    <pic:cNvPr descr="FigureS20.jpg" id="150" name="Picture"/>
                    <pic:cNvPicPr>
                      <a:picLocks noChangeArrowheads="1" noChangeAspect="1"/>
                    </pic:cNvPicPr>
                  </pic:nvPicPr>
                  <pic:blipFill>
                    <a:blip r:embed="rId148"/>
                    <a:stretch>
                      <a:fillRect/>
                    </a:stretch>
                  </pic:blipFill>
                  <pic:spPr bwMode="auto">
                    <a:xfrm>
                      <a:off x="0" y="0"/>
                      <a:ext cx="5320145" cy="3578629"/>
                    </a:xfrm>
                    <a:prstGeom prst="rect">
                      <a:avLst/>
                    </a:prstGeom>
                    <a:noFill/>
                    <a:ln w="9525">
                      <a:noFill/>
                      <a:headEnd/>
                      <a:tailEnd/>
                    </a:ln>
                  </pic:spPr>
                </pic:pic>
              </a:graphicData>
            </a:graphic>
          </wp:inline>
        </w:drawing>
      </w:r>
    </w:p>
    <w:p>
      <w:pPr>
        <w:pStyle w:val="ImageCaption"/>
      </w:pPr>
      <w:r>
        <w:rPr>
          <w:b/>
          <w:bCs/>
        </w:rPr>
        <w:t xml:space="preserve">Figure S20.</w:t>
      </w:r>
    </w:p>
    <w:bookmarkEnd w:id="151"/>
    <w:bookmarkStart w:id="152" w:name="table-s8-results-table-with-rdst-and-mt"/>
    <w:p>
      <w:pPr>
        <w:pStyle w:val="Heading2"/>
      </w:pPr>
      <w:r>
        <w:t xml:space="preserve">Table S8, Results table with rDST and MT</w:t>
      </w:r>
    </w:p>
    <w:p>
      <w:pPr>
        <w:pStyle w:val="SourceCode"/>
      </w:pPr>
      <w:r>
        <w:rPr>
          <w:rStyle w:val="CommentTok"/>
        </w:rPr>
        <w:t xml:space="preserve">#supplement tables for rDST and MT</w:t>
      </w:r>
      <w:r>
        <w:br/>
      </w:r>
      <w:r>
        <w:rPr>
          <w:rStyle w:val="NormalTok"/>
        </w:rPr>
        <w:t xml:space="preserve">summary_DST </w:t>
      </w:r>
      <w:r>
        <w:rPr>
          <w:rStyle w:val="OtherTok"/>
        </w:rPr>
        <w:t xml:space="preserve">&lt;-</w:t>
      </w:r>
      <w:r>
        <w:rPr>
          <w:rStyle w:val="NormalTok"/>
        </w:rPr>
        <w:t xml:space="preserve"> </w:t>
      </w:r>
      <w:r>
        <w:rPr>
          <w:rStyle w:val="FunctionTok"/>
        </w:rPr>
        <w:t xml:space="preserve">cumulative_everything</w:t>
      </w:r>
      <w:r>
        <w:rPr>
          <w:rStyle w:val="NormalTok"/>
        </w:rPr>
        <w:t xml:space="preserve">(dfDST80)</w:t>
      </w:r>
      <w:r>
        <w:br/>
      </w:r>
      <w:r>
        <w:rPr>
          <w:rStyle w:val="NormalTok"/>
        </w:rPr>
        <w:t xml:space="preserve">summary_MT </w:t>
      </w:r>
      <w:r>
        <w:rPr>
          <w:rStyle w:val="OtherTok"/>
        </w:rPr>
        <w:t xml:space="preserve">&lt;-</w:t>
      </w:r>
      <w:r>
        <w:rPr>
          <w:rStyle w:val="NormalTok"/>
        </w:rPr>
        <w:t xml:space="preserve"> </w:t>
      </w:r>
      <w:r>
        <w:rPr>
          <w:rStyle w:val="FunctionTok"/>
        </w:rPr>
        <w:t xml:space="preserve">cumulative_everything</w:t>
      </w:r>
      <w:r>
        <w:rPr>
          <w:rStyle w:val="NormalTok"/>
        </w:rPr>
        <w:t xml:space="preserve">(dfRC45_45_10)</w:t>
      </w:r>
      <w:r>
        <w:br/>
      </w:r>
      <w:r>
        <w:br/>
      </w:r>
      <w:r>
        <w:rPr>
          <w:rStyle w:val="CommentTok"/>
        </w:rPr>
        <w:t xml:space="preserve">#incidence</w:t>
      </w:r>
      <w:r>
        <w:br/>
      </w:r>
      <w:r>
        <w:rPr>
          <w:rStyle w:val="FunctionTok"/>
        </w:rPr>
        <w:t xml:space="preserve">mean</w:t>
      </w:r>
      <w:r>
        <w:rPr>
          <w:rStyle w:val="NormalTok"/>
        </w:rPr>
        <w:t xml:space="preserve">(summary_DST</w:t>
      </w:r>
      <w:r>
        <w:rPr>
          <w:rStyle w:val="SpecialCharTok"/>
        </w:rPr>
        <w:t xml:space="preserve">$</w:t>
      </w:r>
      <w:r>
        <w:rPr>
          <w:rStyle w:val="NormalTok"/>
        </w:rPr>
        <w:t xml:space="preserve">cumulativeInc)</w:t>
      </w:r>
    </w:p>
    <w:p>
      <w:pPr>
        <w:pStyle w:val="SourceCode"/>
      </w:pPr>
      <w:r>
        <w:rPr>
          <w:rStyle w:val="VerbatimChar"/>
        </w:rPr>
        <w:t xml:space="preserve">## [1] 1276299</w:t>
      </w:r>
    </w:p>
    <w:p>
      <w:pPr>
        <w:pStyle w:val="SourceCode"/>
      </w:pPr>
      <w:r>
        <w:rPr>
          <w:rStyle w:val="FunctionTok"/>
        </w:rPr>
        <w:t xml:space="preserve">quantile</w:t>
      </w:r>
      <w:r>
        <w:rPr>
          <w:rStyle w:val="NormalTok"/>
        </w:rPr>
        <w:t xml:space="preserve">(summary_DST</w:t>
      </w:r>
      <w:r>
        <w:rPr>
          <w:rStyle w:val="SpecialCharTok"/>
        </w:rPr>
        <w:t xml:space="preserve">$</w:t>
      </w:r>
      <w:r>
        <w:rPr>
          <w:rStyle w:val="NormalTok"/>
        </w:rPr>
        <w:t xml:space="preserve">cumulativeInc,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p>
    <w:p>
      <w:pPr>
        <w:pStyle w:val="SourceCode"/>
      </w:pPr>
      <w:r>
        <w:rPr>
          <w:rStyle w:val="VerbatimChar"/>
        </w:rPr>
        <w:t xml:space="preserve">##    2.5%   97.5% </w:t>
      </w:r>
      <w:r>
        <w:br/>
      </w:r>
      <w:r>
        <w:rPr>
          <w:rStyle w:val="VerbatimChar"/>
        </w:rPr>
        <w:t xml:space="preserve">##  546485 2329807</w:t>
      </w:r>
    </w:p>
    <w:p>
      <w:pPr>
        <w:pStyle w:val="SourceCode"/>
      </w:pPr>
      <w:r>
        <w:rPr>
          <w:rStyle w:val="FunctionTok"/>
        </w:rPr>
        <w:t xml:space="preserve">mean</w:t>
      </w:r>
      <w:r>
        <w:rPr>
          <w:rStyle w:val="NormalTok"/>
        </w:rPr>
        <w:t xml:space="preserve">(summary_MT</w:t>
      </w:r>
      <w:r>
        <w:rPr>
          <w:rStyle w:val="SpecialCharTok"/>
        </w:rPr>
        <w:t xml:space="preserve">$</w:t>
      </w:r>
      <w:r>
        <w:rPr>
          <w:rStyle w:val="NormalTok"/>
        </w:rPr>
        <w:t xml:space="preserve">cumulativeInc)</w:t>
      </w:r>
    </w:p>
    <w:p>
      <w:pPr>
        <w:pStyle w:val="SourceCode"/>
      </w:pPr>
      <w:r>
        <w:rPr>
          <w:rStyle w:val="VerbatimChar"/>
        </w:rPr>
        <w:t xml:space="preserve">## [1] 1365694</w:t>
      </w:r>
    </w:p>
    <w:p>
      <w:pPr>
        <w:pStyle w:val="SourceCode"/>
      </w:pPr>
      <w:r>
        <w:rPr>
          <w:rStyle w:val="FunctionTok"/>
        </w:rPr>
        <w:t xml:space="preserve">quantile</w:t>
      </w:r>
      <w:r>
        <w:rPr>
          <w:rStyle w:val="NormalTok"/>
        </w:rPr>
        <w:t xml:space="preserve">(summary_MT</w:t>
      </w:r>
      <w:r>
        <w:rPr>
          <w:rStyle w:val="SpecialCharTok"/>
        </w:rPr>
        <w:t xml:space="preserve">$</w:t>
      </w:r>
      <w:r>
        <w:rPr>
          <w:rStyle w:val="NormalTok"/>
        </w:rPr>
        <w:t xml:space="preserve">cumulativeInc,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p>
    <w:p>
      <w:pPr>
        <w:pStyle w:val="SourceCode"/>
      </w:pPr>
      <w:r>
        <w:rPr>
          <w:rStyle w:val="VerbatimChar"/>
        </w:rPr>
        <w:t xml:space="preserve">##      2.5%     97.5% </w:t>
      </w:r>
      <w:r>
        <w:br/>
      </w:r>
      <w:r>
        <w:rPr>
          <w:rStyle w:val="VerbatimChar"/>
        </w:rPr>
        <w:t xml:space="preserve">##  582049.4 2404030.9</w:t>
      </w:r>
    </w:p>
    <w:p>
      <w:pPr>
        <w:pStyle w:val="SourceCode"/>
      </w:pPr>
      <w:r>
        <w:rPr>
          <w:rStyle w:val="CommentTok"/>
        </w:rPr>
        <w:t xml:space="preserve">#resistant incidence</w:t>
      </w:r>
      <w:r>
        <w:br/>
      </w:r>
      <w:r>
        <w:rPr>
          <w:rStyle w:val="FunctionTok"/>
        </w:rPr>
        <w:t xml:space="preserve">mean</w:t>
      </w:r>
      <w:r>
        <w:rPr>
          <w:rStyle w:val="NormalTok"/>
        </w:rPr>
        <w:t xml:space="preserve">(summary_DST</w:t>
      </w:r>
      <w:r>
        <w:rPr>
          <w:rStyle w:val="SpecialCharTok"/>
        </w:rPr>
        <w:t xml:space="preserve">$</w:t>
      </w:r>
      <w:r>
        <w:rPr>
          <w:rStyle w:val="NormalTok"/>
        </w:rPr>
        <w:t xml:space="preserve">cumulativeResist)</w:t>
      </w:r>
    </w:p>
    <w:p>
      <w:pPr>
        <w:pStyle w:val="SourceCode"/>
      </w:pPr>
      <w:r>
        <w:rPr>
          <w:rStyle w:val="VerbatimChar"/>
        </w:rPr>
        <w:t xml:space="preserve">## [1] 339381.2</w:t>
      </w:r>
    </w:p>
    <w:p>
      <w:pPr>
        <w:pStyle w:val="SourceCode"/>
      </w:pPr>
      <w:r>
        <w:rPr>
          <w:rStyle w:val="FunctionTok"/>
        </w:rPr>
        <w:t xml:space="preserve">quantile</w:t>
      </w:r>
      <w:r>
        <w:rPr>
          <w:rStyle w:val="NormalTok"/>
        </w:rPr>
        <w:t xml:space="preserve">(summary_DST</w:t>
      </w:r>
      <w:r>
        <w:rPr>
          <w:rStyle w:val="SpecialCharTok"/>
        </w:rPr>
        <w:t xml:space="preserve">$</w:t>
      </w:r>
      <w:r>
        <w:rPr>
          <w:rStyle w:val="NormalTok"/>
        </w:rPr>
        <w:t xml:space="preserve">cumulativeResist,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p>
    <w:p>
      <w:pPr>
        <w:pStyle w:val="SourceCode"/>
      </w:pPr>
      <w:r>
        <w:rPr>
          <w:rStyle w:val="VerbatimChar"/>
        </w:rPr>
        <w:t xml:space="preserve">##      2.5%     97.5% </w:t>
      </w:r>
      <w:r>
        <w:br/>
      </w:r>
      <w:r>
        <w:rPr>
          <w:rStyle w:val="VerbatimChar"/>
        </w:rPr>
        <w:t xml:space="preserve">##     260.3 1888462.6</w:t>
      </w:r>
    </w:p>
    <w:p>
      <w:pPr>
        <w:pStyle w:val="SourceCode"/>
      </w:pPr>
      <w:r>
        <w:rPr>
          <w:rStyle w:val="FunctionTok"/>
        </w:rPr>
        <w:t xml:space="preserve">mean</w:t>
      </w:r>
      <w:r>
        <w:rPr>
          <w:rStyle w:val="NormalTok"/>
        </w:rPr>
        <w:t xml:space="preserve">(summary_MT</w:t>
      </w:r>
      <w:r>
        <w:rPr>
          <w:rStyle w:val="SpecialCharTok"/>
        </w:rPr>
        <w:t xml:space="preserve">$</w:t>
      </w:r>
      <w:r>
        <w:rPr>
          <w:rStyle w:val="NormalTok"/>
        </w:rPr>
        <w:t xml:space="preserve">cumulativeResist)</w:t>
      </w:r>
    </w:p>
    <w:p>
      <w:pPr>
        <w:pStyle w:val="SourceCode"/>
      </w:pPr>
      <w:r>
        <w:rPr>
          <w:rStyle w:val="VerbatimChar"/>
        </w:rPr>
        <w:t xml:space="preserve">## [1] 458542.8</w:t>
      </w:r>
    </w:p>
    <w:p>
      <w:pPr>
        <w:pStyle w:val="SourceCode"/>
      </w:pPr>
      <w:r>
        <w:rPr>
          <w:rStyle w:val="FunctionTok"/>
        </w:rPr>
        <w:t xml:space="preserve">quantile</w:t>
      </w:r>
      <w:r>
        <w:rPr>
          <w:rStyle w:val="NormalTok"/>
        </w:rPr>
        <w:t xml:space="preserve">(summary_MT</w:t>
      </w:r>
      <w:r>
        <w:rPr>
          <w:rStyle w:val="SpecialCharTok"/>
        </w:rPr>
        <w:t xml:space="preserve">$</w:t>
      </w:r>
      <w:r>
        <w:rPr>
          <w:rStyle w:val="NormalTok"/>
        </w:rPr>
        <w:t xml:space="preserve">cumulativeResist,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p>
    <w:p>
      <w:pPr>
        <w:pStyle w:val="SourceCode"/>
      </w:pPr>
      <w:r>
        <w:rPr>
          <w:rStyle w:val="VerbatimChar"/>
        </w:rPr>
        <w:t xml:space="preserve">##       2.5%      97.5% </w:t>
      </w:r>
      <w:r>
        <w:br/>
      </w:r>
      <w:r>
        <w:rPr>
          <w:rStyle w:val="VerbatimChar"/>
        </w:rPr>
        <w:t xml:space="preserve">##     278.55 1741514.20</w:t>
      </w:r>
    </w:p>
    <w:p>
      <w:pPr>
        <w:pStyle w:val="SourceCode"/>
      </w:pPr>
      <w:r>
        <w:rPr>
          <w:rStyle w:val="CommentTok"/>
        </w:rPr>
        <w:t xml:space="preserve">#failure</w:t>
      </w:r>
      <w:r>
        <w:br/>
      </w:r>
      <w:r>
        <w:rPr>
          <w:rStyle w:val="FunctionTok"/>
        </w:rPr>
        <w:t xml:space="preserve">mean</w:t>
      </w:r>
      <w:r>
        <w:rPr>
          <w:rStyle w:val="NormalTok"/>
        </w:rPr>
        <w:t xml:space="preserve">(summary_DST</w:t>
      </w:r>
      <w:r>
        <w:rPr>
          <w:rStyle w:val="SpecialCharTok"/>
        </w:rPr>
        <w:t xml:space="preserve">$</w:t>
      </w:r>
      <w:r>
        <w:rPr>
          <w:rStyle w:val="NormalTok"/>
        </w:rPr>
        <w:t xml:space="preserve">cumulativeFailure</w:t>
      </w:r>
      <w:r>
        <w:rPr>
          <w:rStyle w:val="SpecialCharTok"/>
        </w:rPr>
        <w:t xml:space="preserve">*</w:t>
      </w:r>
      <w:r>
        <w:rPr>
          <w:rStyle w:val="DecValTok"/>
        </w:rPr>
        <w:t xml:space="preserve">100</w:t>
      </w:r>
      <w:r>
        <w:rPr>
          <w:rStyle w:val="NormalTok"/>
        </w:rPr>
        <w:t xml:space="preserve">)</w:t>
      </w:r>
    </w:p>
    <w:p>
      <w:pPr>
        <w:pStyle w:val="SourceCode"/>
      </w:pPr>
      <w:r>
        <w:rPr>
          <w:rStyle w:val="VerbatimChar"/>
        </w:rPr>
        <w:t xml:space="preserve">## [1] 7.383266</w:t>
      </w:r>
    </w:p>
    <w:p>
      <w:pPr>
        <w:pStyle w:val="SourceCode"/>
      </w:pPr>
      <w:r>
        <w:rPr>
          <w:rStyle w:val="FunctionTok"/>
        </w:rPr>
        <w:t xml:space="preserve">quantile</w:t>
      </w:r>
      <w:r>
        <w:rPr>
          <w:rStyle w:val="NormalTok"/>
        </w:rPr>
        <w:t xml:space="preserve">(summary_DST</w:t>
      </w:r>
      <w:r>
        <w:rPr>
          <w:rStyle w:val="SpecialCharTok"/>
        </w:rPr>
        <w:t xml:space="preserve">$</w:t>
      </w:r>
      <w:r>
        <w:rPr>
          <w:rStyle w:val="NormalTok"/>
        </w:rPr>
        <w:t xml:space="preserve">cumulativeFailure</w:t>
      </w:r>
      <w:r>
        <w:rPr>
          <w:rStyle w:val="SpecialCharTok"/>
        </w:rPr>
        <w:t xml:space="preserve">*</w:t>
      </w:r>
      <w:r>
        <w:rPr>
          <w:rStyle w:val="DecValTok"/>
        </w:rPr>
        <w:t xml:space="preserve">100</w:t>
      </w:r>
      <w:r>
        <w:rPr>
          <w:rStyle w:val="NormalTok"/>
        </w:rPr>
        <w:t xml:space="preserve">,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p>
    <w:p>
      <w:pPr>
        <w:pStyle w:val="SourceCode"/>
      </w:pPr>
      <w:r>
        <w:rPr>
          <w:rStyle w:val="VerbatimChar"/>
        </w:rPr>
        <w:t xml:space="preserve">##        2.5%       97.5% </w:t>
      </w:r>
      <w:r>
        <w:br/>
      </w:r>
      <w:r>
        <w:rPr>
          <w:rStyle w:val="VerbatimChar"/>
        </w:rPr>
        <w:t xml:space="preserve">##  0.01117407 32.69021804</w:t>
      </w:r>
    </w:p>
    <w:p>
      <w:pPr>
        <w:pStyle w:val="SourceCode"/>
      </w:pPr>
      <w:r>
        <w:rPr>
          <w:rStyle w:val="FunctionTok"/>
        </w:rPr>
        <w:t xml:space="preserve">mean</w:t>
      </w:r>
      <w:r>
        <w:rPr>
          <w:rStyle w:val="NormalTok"/>
        </w:rPr>
        <w:t xml:space="preserve">(summary_MT</w:t>
      </w:r>
      <w:r>
        <w:rPr>
          <w:rStyle w:val="SpecialCharTok"/>
        </w:rPr>
        <w:t xml:space="preserve">$</w:t>
      </w:r>
      <w:r>
        <w:rPr>
          <w:rStyle w:val="NormalTok"/>
        </w:rPr>
        <w:t xml:space="preserve">cumulativeFailure</w:t>
      </w:r>
      <w:r>
        <w:rPr>
          <w:rStyle w:val="SpecialCharTok"/>
        </w:rPr>
        <w:t xml:space="preserve">*</w:t>
      </w:r>
      <w:r>
        <w:rPr>
          <w:rStyle w:val="DecValTok"/>
        </w:rPr>
        <w:t xml:space="preserve">100</w:t>
      </w:r>
      <w:r>
        <w:rPr>
          <w:rStyle w:val="NormalTok"/>
        </w:rPr>
        <w:t xml:space="preserve">)</w:t>
      </w:r>
    </w:p>
    <w:p>
      <w:pPr>
        <w:pStyle w:val="SourceCode"/>
      </w:pPr>
      <w:r>
        <w:rPr>
          <w:rStyle w:val="VerbatimChar"/>
        </w:rPr>
        <w:t xml:space="preserve">## [1] 21.93818</w:t>
      </w:r>
    </w:p>
    <w:p>
      <w:pPr>
        <w:pStyle w:val="SourceCode"/>
      </w:pPr>
      <w:r>
        <w:rPr>
          <w:rStyle w:val="FunctionTok"/>
        </w:rPr>
        <w:t xml:space="preserve">quantile</w:t>
      </w:r>
      <w:r>
        <w:rPr>
          <w:rStyle w:val="NormalTok"/>
        </w:rPr>
        <w:t xml:space="preserve">(summary_MT</w:t>
      </w:r>
      <w:r>
        <w:rPr>
          <w:rStyle w:val="SpecialCharTok"/>
        </w:rPr>
        <w:t xml:space="preserve">$</w:t>
      </w:r>
      <w:r>
        <w:rPr>
          <w:rStyle w:val="NormalTok"/>
        </w:rPr>
        <w:t xml:space="preserve">cumulativeFailure</w:t>
      </w:r>
      <w:r>
        <w:rPr>
          <w:rStyle w:val="SpecialCharTok"/>
        </w:rPr>
        <w:t xml:space="preserve">*</w:t>
      </w:r>
      <w:r>
        <w:rPr>
          <w:rStyle w:val="DecValTok"/>
        </w:rPr>
        <w:t xml:space="preserve">100</w:t>
      </w:r>
      <w:r>
        <w:rPr>
          <w:rStyle w:val="NormalTok"/>
        </w:rPr>
        <w:t xml:space="preserve">,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p>
    <w:p>
      <w:pPr>
        <w:pStyle w:val="SourceCode"/>
      </w:pPr>
      <w:r>
        <w:rPr>
          <w:rStyle w:val="VerbatimChar"/>
        </w:rPr>
        <w:t xml:space="preserve">##        2.5%       97.5% </w:t>
      </w:r>
      <w:r>
        <w:br/>
      </w:r>
      <w:r>
        <w:rPr>
          <w:rStyle w:val="VerbatimChar"/>
        </w:rPr>
        <w:t xml:space="preserve">##  0.02295343 60.14444857</w:t>
      </w:r>
    </w:p>
    <w:p>
      <w:pPr>
        <w:pStyle w:val="SourceCode"/>
      </w:pPr>
      <w:r>
        <w:rPr>
          <w:rStyle w:val="CommentTok"/>
        </w:rPr>
        <w:t xml:space="preserve">#ertapenem</w:t>
      </w:r>
      <w:r>
        <w:br/>
      </w:r>
      <w:r>
        <w:rPr>
          <w:rStyle w:val="FunctionTok"/>
        </w:rPr>
        <w:t xml:space="preserve">mean</w:t>
      </w:r>
      <w:r>
        <w:rPr>
          <w:rStyle w:val="NormalTok"/>
        </w:rPr>
        <w:t xml:space="preserve">(summary_DST</w:t>
      </w:r>
      <w:r>
        <w:rPr>
          <w:rStyle w:val="SpecialCharTok"/>
        </w:rPr>
        <w:t xml:space="preserve">$</w:t>
      </w:r>
      <w:r>
        <w:rPr>
          <w:rStyle w:val="NormalTok"/>
        </w:rPr>
        <w:t xml:space="preserve">cumulativeE)</w:t>
      </w:r>
    </w:p>
    <w:p>
      <w:pPr>
        <w:pStyle w:val="SourceCode"/>
      </w:pPr>
      <w:r>
        <w:rPr>
          <w:rStyle w:val="VerbatimChar"/>
        </w:rPr>
        <w:t xml:space="preserve">## [1] 12515.67</w:t>
      </w:r>
    </w:p>
    <w:p>
      <w:pPr>
        <w:pStyle w:val="SourceCode"/>
      </w:pPr>
      <w:r>
        <w:rPr>
          <w:rStyle w:val="FunctionTok"/>
        </w:rPr>
        <w:t xml:space="preserve">quantile</w:t>
      </w:r>
      <w:r>
        <w:rPr>
          <w:rStyle w:val="NormalTok"/>
        </w:rPr>
        <w:t xml:space="preserve">(summary_DST</w:t>
      </w:r>
      <w:r>
        <w:rPr>
          <w:rStyle w:val="SpecialCharTok"/>
        </w:rPr>
        <w:t xml:space="preserve">$</w:t>
      </w:r>
      <w:r>
        <w:rPr>
          <w:rStyle w:val="NormalTok"/>
        </w:rPr>
        <w:t xml:space="preserve">cumulativeE,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p>
    <w:p>
      <w:pPr>
        <w:pStyle w:val="SourceCode"/>
      </w:pPr>
      <w:r>
        <w:rPr>
          <w:rStyle w:val="VerbatimChar"/>
        </w:rPr>
        <w:t xml:space="preserve">##     2.5%    97.5% </w:t>
      </w:r>
      <w:r>
        <w:br/>
      </w:r>
      <w:r>
        <w:rPr>
          <w:rStyle w:val="VerbatimChar"/>
        </w:rPr>
        <w:t xml:space="preserve">##     47.1 122199.6</w:t>
      </w:r>
    </w:p>
    <w:p>
      <w:pPr>
        <w:pStyle w:val="SourceCode"/>
      </w:pPr>
      <w:r>
        <w:rPr>
          <w:rStyle w:val="FunctionTok"/>
        </w:rPr>
        <w:t xml:space="preserve">mean</w:t>
      </w:r>
      <w:r>
        <w:rPr>
          <w:rStyle w:val="NormalTok"/>
        </w:rPr>
        <w:t xml:space="preserve">(summary_MT</w:t>
      </w:r>
      <w:r>
        <w:rPr>
          <w:rStyle w:val="SpecialCharTok"/>
        </w:rPr>
        <w:t xml:space="preserve">$</w:t>
      </w:r>
      <w:r>
        <w:rPr>
          <w:rStyle w:val="NormalTok"/>
        </w:rPr>
        <w:t xml:space="preserve">cumulativeE)</w:t>
      </w:r>
    </w:p>
    <w:p>
      <w:pPr>
        <w:pStyle w:val="SourceCode"/>
      </w:pPr>
      <w:r>
        <w:rPr>
          <w:rStyle w:val="VerbatimChar"/>
        </w:rPr>
        <w:t xml:space="preserve">## [1] 13219.56</w:t>
      </w:r>
    </w:p>
    <w:p>
      <w:pPr>
        <w:pStyle w:val="SourceCode"/>
      </w:pPr>
      <w:r>
        <w:rPr>
          <w:rStyle w:val="FunctionTok"/>
        </w:rPr>
        <w:t xml:space="preserve">quantile</w:t>
      </w:r>
      <w:r>
        <w:rPr>
          <w:rStyle w:val="NormalTok"/>
        </w:rPr>
        <w:t xml:space="preserve">(summary_MT</w:t>
      </w:r>
      <w:r>
        <w:rPr>
          <w:rStyle w:val="SpecialCharTok"/>
        </w:rPr>
        <w:t xml:space="preserve">$</w:t>
      </w:r>
      <w:r>
        <w:rPr>
          <w:rStyle w:val="NormalTok"/>
        </w:rPr>
        <w:t xml:space="preserve">cumulativeE,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p>
    <w:p>
      <w:pPr>
        <w:pStyle w:val="SourceCode"/>
      </w:pPr>
      <w:r>
        <w:rPr>
          <w:rStyle w:val="VerbatimChar"/>
        </w:rPr>
        <w:t xml:space="preserve">##     2.5%    97.5% </w:t>
      </w:r>
      <w:r>
        <w:br/>
      </w:r>
      <w:r>
        <w:rPr>
          <w:rStyle w:val="VerbatimChar"/>
        </w:rPr>
        <w:t xml:space="preserve">##     5.55 68828.85</w:t>
      </w:r>
    </w:p>
    <w:bookmarkEnd w:id="152"/>
    <w:bookmarkStart w:id="153" w:name="table-s9-cea-table-with-rdst-and-mt"/>
    <w:p>
      <w:pPr>
        <w:pStyle w:val="Heading2"/>
      </w:pPr>
      <w:r>
        <w:t xml:space="preserve">Table S9, CEA table with rDST and MT</w:t>
      </w:r>
    </w:p>
    <w:p>
      <w:pPr>
        <w:pStyle w:val="SourceCode"/>
      </w:pPr>
      <w:r>
        <w:rPr>
          <w:rStyle w:val="CommentTok"/>
        </w:rPr>
        <w:t xml:space="preserve">#cost</w:t>
      </w:r>
      <w:r>
        <w:br/>
      </w:r>
      <w:r>
        <w:rPr>
          <w:rStyle w:val="FunctionTok"/>
        </w:rPr>
        <w:t xml:space="preserve">mean</w:t>
      </w:r>
      <w:r>
        <w:rPr>
          <w:rStyle w:val="NormalTok"/>
        </w:rPr>
        <w:t xml:space="preserve">(summary_DST</w:t>
      </w:r>
      <w:r>
        <w:rPr>
          <w:rStyle w:val="SpecialCharTok"/>
        </w:rPr>
        <w:t xml:space="preserve">$</w:t>
      </w:r>
      <w:r>
        <w:rPr>
          <w:rStyle w:val="NormalTok"/>
        </w:rPr>
        <w:t xml:space="preserve">cumulativeCosts) </w:t>
      </w:r>
      <w:r>
        <w:rPr>
          <w:rStyle w:val="SpecialCharTok"/>
        </w:rPr>
        <w:t xml:space="preserve">/</w:t>
      </w:r>
      <w:r>
        <w:rPr>
          <w:rStyle w:val="NormalTok"/>
        </w:rPr>
        <w:t xml:space="preserve"> </w:t>
      </w:r>
      <w:r>
        <w:rPr>
          <w:rStyle w:val="DecValTok"/>
        </w:rPr>
        <w:t xml:space="preserve">1000000</w:t>
      </w:r>
    </w:p>
    <w:p>
      <w:pPr>
        <w:pStyle w:val="SourceCode"/>
      </w:pPr>
      <w:r>
        <w:rPr>
          <w:rStyle w:val="VerbatimChar"/>
        </w:rPr>
        <w:t xml:space="preserve">## [1] 70.42223</w:t>
      </w:r>
    </w:p>
    <w:p>
      <w:pPr>
        <w:pStyle w:val="SourceCode"/>
      </w:pPr>
      <w:r>
        <w:rPr>
          <w:rStyle w:val="FunctionTok"/>
        </w:rPr>
        <w:t xml:space="preserve">quantile</w:t>
      </w:r>
      <w:r>
        <w:rPr>
          <w:rStyle w:val="NormalTok"/>
        </w:rPr>
        <w:t xml:space="preserve">(summary_DST</w:t>
      </w:r>
      <w:r>
        <w:rPr>
          <w:rStyle w:val="SpecialCharTok"/>
        </w:rPr>
        <w:t xml:space="preserve">$</w:t>
      </w:r>
      <w:r>
        <w:rPr>
          <w:rStyle w:val="NormalTok"/>
        </w:rPr>
        <w:t xml:space="preserve">cumulativeCosts</w:t>
      </w:r>
      <w:r>
        <w:rPr>
          <w:rStyle w:val="SpecialCharTok"/>
        </w:rPr>
        <w:t xml:space="preserve">/</w:t>
      </w:r>
      <w:r>
        <w:rPr>
          <w:rStyle w:val="NormalTok"/>
        </w:rPr>
        <w:t xml:space="preserve"> </w:t>
      </w:r>
      <w:r>
        <w:rPr>
          <w:rStyle w:val="DecValTok"/>
        </w:rPr>
        <w:t xml:space="preserve">1000000</w:t>
      </w:r>
      <w:r>
        <w:rPr>
          <w:rStyle w:val="NormalTok"/>
        </w:rPr>
        <w:t xml:space="preserve">,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p>
    <w:p>
      <w:pPr>
        <w:pStyle w:val="SourceCode"/>
      </w:pPr>
      <w:r>
        <w:rPr>
          <w:rStyle w:val="VerbatimChar"/>
        </w:rPr>
        <w:t xml:space="preserve">##     2.5%    97.5% </w:t>
      </w:r>
      <w:r>
        <w:br/>
      </w:r>
      <w:r>
        <w:rPr>
          <w:rStyle w:val="VerbatimChar"/>
        </w:rPr>
        <w:t xml:space="preserve">##  39.3353 115.6806</w:t>
      </w:r>
    </w:p>
    <w:p>
      <w:pPr>
        <w:pStyle w:val="SourceCode"/>
      </w:pPr>
      <w:r>
        <w:rPr>
          <w:rStyle w:val="FunctionTok"/>
        </w:rPr>
        <w:t xml:space="preserve">mean</w:t>
      </w:r>
      <w:r>
        <w:rPr>
          <w:rStyle w:val="NormalTok"/>
        </w:rPr>
        <w:t xml:space="preserve">(summary_MT</w:t>
      </w:r>
      <w:r>
        <w:rPr>
          <w:rStyle w:val="SpecialCharTok"/>
        </w:rPr>
        <w:t xml:space="preserve">$</w:t>
      </w:r>
      <w:r>
        <w:rPr>
          <w:rStyle w:val="NormalTok"/>
        </w:rPr>
        <w:t xml:space="preserve">cumulativeCosts) </w:t>
      </w:r>
      <w:r>
        <w:rPr>
          <w:rStyle w:val="SpecialCharTok"/>
        </w:rPr>
        <w:t xml:space="preserve">/</w:t>
      </w:r>
      <w:r>
        <w:rPr>
          <w:rStyle w:val="NormalTok"/>
        </w:rPr>
        <w:t xml:space="preserve"> </w:t>
      </w:r>
      <w:r>
        <w:rPr>
          <w:rStyle w:val="DecValTok"/>
        </w:rPr>
        <w:t xml:space="preserve">1000000</w:t>
      </w:r>
    </w:p>
    <w:p>
      <w:pPr>
        <w:pStyle w:val="SourceCode"/>
      </w:pPr>
      <w:r>
        <w:rPr>
          <w:rStyle w:val="VerbatimChar"/>
        </w:rPr>
        <w:t xml:space="preserve">## [1] 61.28823</w:t>
      </w:r>
    </w:p>
    <w:p>
      <w:pPr>
        <w:pStyle w:val="SourceCode"/>
      </w:pPr>
      <w:r>
        <w:rPr>
          <w:rStyle w:val="FunctionTok"/>
        </w:rPr>
        <w:t xml:space="preserve">quantile</w:t>
      </w:r>
      <w:r>
        <w:rPr>
          <w:rStyle w:val="NormalTok"/>
        </w:rPr>
        <w:t xml:space="preserve">(summary_MT</w:t>
      </w:r>
      <w:r>
        <w:rPr>
          <w:rStyle w:val="SpecialCharTok"/>
        </w:rPr>
        <w:t xml:space="preserve">$</w:t>
      </w:r>
      <w:r>
        <w:rPr>
          <w:rStyle w:val="NormalTok"/>
        </w:rPr>
        <w:t xml:space="preserve">cumulativeCosts</w:t>
      </w:r>
      <w:r>
        <w:rPr>
          <w:rStyle w:val="SpecialCharTok"/>
        </w:rPr>
        <w:t xml:space="preserve">/</w:t>
      </w:r>
      <w:r>
        <w:rPr>
          <w:rStyle w:val="NormalTok"/>
        </w:rPr>
        <w:t xml:space="preserve"> </w:t>
      </w:r>
      <w:r>
        <w:rPr>
          <w:rStyle w:val="DecValTok"/>
        </w:rPr>
        <w:t xml:space="preserve">1000000</w:t>
      </w:r>
      <w:r>
        <w:rPr>
          <w:rStyle w:val="NormalTok"/>
        </w:rPr>
        <w:t xml:space="preserve">,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p>
    <w:p>
      <w:pPr>
        <w:pStyle w:val="SourceCode"/>
      </w:pPr>
      <w:r>
        <w:rPr>
          <w:rStyle w:val="VerbatimChar"/>
        </w:rPr>
        <w:t xml:space="preserve">##      2.5%     97.5% </w:t>
      </w:r>
      <w:r>
        <w:br/>
      </w:r>
      <w:r>
        <w:rPr>
          <w:rStyle w:val="VerbatimChar"/>
        </w:rPr>
        <w:t xml:space="preserve">##  29.12975 127.36072</w:t>
      </w:r>
    </w:p>
    <w:p>
      <w:pPr>
        <w:pStyle w:val="SourceCode"/>
      </w:pPr>
      <w:r>
        <w:rPr>
          <w:rStyle w:val="CommentTok"/>
        </w:rPr>
        <w:t xml:space="preserve">#QALYs</w:t>
      </w:r>
      <w:r>
        <w:br/>
      </w:r>
      <w:r>
        <w:rPr>
          <w:rStyle w:val="FunctionTok"/>
        </w:rPr>
        <w:t xml:space="preserve">mean</w:t>
      </w:r>
      <w:r>
        <w:rPr>
          <w:rStyle w:val="NormalTok"/>
        </w:rPr>
        <w:t xml:space="preserve">(summary_DST</w:t>
      </w:r>
      <w:r>
        <w:rPr>
          <w:rStyle w:val="SpecialCharTok"/>
        </w:rPr>
        <w:t xml:space="preserve">$</w:t>
      </w:r>
      <w:r>
        <w:rPr>
          <w:rStyle w:val="NormalTok"/>
        </w:rPr>
        <w:t xml:space="preserve">cumulativeQALYs)</w:t>
      </w:r>
    </w:p>
    <w:p>
      <w:pPr>
        <w:pStyle w:val="SourceCode"/>
      </w:pPr>
      <w:r>
        <w:rPr>
          <w:rStyle w:val="VerbatimChar"/>
        </w:rPr>
        <w:t xml:space="preserve">## [1] 412.1704</w:t>
      </w:r>
    </w:p>
    <w:p>
      <w:pPr>
        <w:pStyle w:val="SourceCode"/>
      </w:pPr>
      <w:r>
        <w:rPr>
          <w:rStyle w:val="FunctionTok"/>
        </w:rPr>
        <w:t xml:space="preserve">quantile</w:t>
      </w:r>
      <w:r>
        <w:rPr>
          <w:rStyle w:val="NormalTok"/>
        </w:rPr>
        <w:t xml:space="preserve">(summary_DST</w:t>
      </w:r>
      <w:r>
        <w:rPr>
          <w:rStyle w:val="SpecialCharTok"/>
        </w:rPr>
        <w:t xml:space="preserve">$</w:t>
      </w:r>
      <w:r>
        <w:rPr>
          <w:rStyle w:val="NormalTok"/>
        </w:rPr>
        <w:t xml:space="preserve">cumulativeQALYs,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p>
    <w:p>
      <w:pPr>
        <w:pStyle w:val="SourceCode"/>
      </w:pPr>
      <w:r>
        <w:rPr>
          <w:rStyle w:val="VerbatimChar"/>
        </w:rPr>
        <w:t xml:space="preserve">##      2.5%     97.5% </w:t>
      </w:r>
      <w:r>
        <w:br/>
      </w:r>
      <w:r>
        <w:rPr>
          <w:rStyle w:val="VerbatimChar"/>
        </w:rPr>
        <w:t xml:space="preserve">##  168.9062 1084.8192</w:t>
      </w:r>
    </w:p>
    <w:p>
      <w:pPr>
        <w:pStyle w:val="SourceCode"/>
      </w:pPr>
      <w:r>
        <w:rPr>
          <w:rStyle w:val="FunctionTok"/>
        </w:rPr>
        <w:t xml:space="preserve">mean</w:t>
      </w:r>
      <w:r>
        <w:rPr>
          <w:rStyle w:val="NormalTok"/>
        </w:rPr>
        <w:t xml:space="preserve">(summary_MT</w:t>
      </w:r>
      <w:r>
        <w:rPr>
          <w:rStyle w:val="SpecialCharTok"/>
        </w:rPr>
        <w:t xml:space="preserve">$</w:t>
      </w:r>
      <w:r>
        <w:rPr>
          <w:rStyle w:val="NormalTok"/>
        </w:rPr>
        <w:t xml:space="preserve">cumulativeQALYs)</w:t>
      </w:r>
    </w:p>
    <w:p>
      <w:pPr>
        <w:pStyle w:val="SourceCode"/>
      </w:pPr>
      <w:r>
        <w:rPr>
          <w:rStyle w:val="VerbatimChar"/>
        </w:rPr>
        <w:t xml:space="preserve">## [1] 469.9242</w:t>
      </w:r>
    </w:p>
    <w:p>
      <w:pPr>
        <w:pStyle w:val="SourceCode"/>
      </w:pPr>
      <w:r>
        <w:rPr>
          <w:rStyle w:val="FunctionTok"/>
        </w:rPr>
        <w:t xml:space="preserve">quantile</w:t>
      </w:r>
      <w:r>
        <w:rPr>
          <w:rStyle w:val="NormalTok"/>
        </w:rPr>
        <w:t xml:space="preserve">(summary_MT</w:t>
      </w:r>
      <w:r>
        <w:rPr>
          <w:rStyle w:val="SpecialCharTok"/>
        </w:rPr>
        <w:t xml:space="preserve">$</w:t>
      </w:r>
      <w:r>
        <w:rPr>
          <w:rStyle w:val="NormalTok"/>
        </w:rPr>
        <w:t xml:space="preserve">cumulativeQALYs,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p>
    <w:p>
      <w:pPr>
        <w:pStyle w:val="SourceCode"/>
      </w:pPr>
      <w:r>
        <w:rPr>
          <w:rStyle w:val="VerbatimChar"/>
        </w:rPr>
        <w:t xml:space="preserve">##      2.5%     97.5% </w:t>
      </w:r>
      <w:r>
        <w:br/>
      </w:r>
      <w:r>
        <w:rPr>
          <w:rStyle w:val="VerbatimChar"/>
        </w:rPr>
        <w:t xml:space="preserve">##  175.0766 1161.6440</w:t>
      </w:r>
    </w:p>
    <w:p>
      <w:pPr>
        <w:pStyle w:val="SourceCode"/>
      </w:pPr>
      <w:r>
        <w:rPr>
          <w:rStyle w:val="NormalTok"/>
        </w:rPr>
        <w:t xml:space="preserve">ceatable_w_DST </w:t>
      </w:r>
      <w:r>
        <w:rPr>
          <w:rStyle w:val="OtherTok"/>
        </w:rPr>
        <w:t xml:space="preserve">&lt;-</w:t>
      </w:r>
      <w:r>
        <w:rPr>
          <w:rStyle w:val="NormalTok"/>
        </w:rPr>
        <w:t xml:space="preserve"> </w:t>
      </w:r>
      <w:r>
        <w:rPr>
          <w:rStyle w:val="FunctionTok"/>
        </w:rPr>
        <w:t xml:space="preserve">cea_real_unweighted</w:t>
      </w:r>
      <w:r>
        <w:rPr>
          <w:rStyle w:val="NormalTok"/>
        </w:rPr>
        <w:t xml:space="preserve">(dfRC45_45_10, dfGISP25, dfrandom25, dfTOC25, dfDST80)</w:t>
      </w:r>
      <w:r>
        <w:br/>
      </w:r>
      <w:r>
        <w:br/>
      </w:r>
      <w:r>
        <w:rPr>
          <w:rStyle w:val="NormalTok"/>
        </w:rPr>
        <w:t xml:space="preserve">ceatable_w_DST</w:t>
      </w:r>
      <w:r>
        <w:rPr>
          <w:rStyle w:val="SpecialCharTok"/>
        </w:rPr>
        <w:t xml:space="preserve">$</w:t>
      </w:r>
      <w:r>
        <w:rPr>
          <w:rStyle w:val="NormalTok"/>
        </w:rPr>
        <w:t xml:space="preserve">IncrementalCostsMTtoGISP </w:t>
      </w:r>
      <w:r>
        <w:rPr>
          <w:rStyle w:val="OtherTok"/>
        </w:rPr>
        <w:t xml:space="preserve">&lt;-</w:t>
      </w:r>
      <w:r>
        <w:rPr>
          <w:rStyle w:val="NormalTok"/>
        </w:rPr>
        <w:t xml:space="preserve"> ceatable_w_DST</w:t>
      </w:r>
      <w:r>
        <w:rPr>
          <w:rStyle w:val="SpecialCharTok"/>
        </w:rPr>
        <w:t xml:space="preserve">$</w:t>
      </w:r>
      <w:r>
        <w:rPr>
          <w:rStyle w:val="NormalTok"/>
        </w:rPr>
        <w:t xml:space="preserve">GISPcumulativeCosts </w:t>
      </w:r>
      <w:r>
        <w:rPr>
          <w:rStyle w:val="SpecialCharTok"/>
        </w:rPr>
        <w:t xml:space="preserve">-</w:t>
      </w:r>
      <w:r>
        <w:rPr>
          <w:rStyle w:val="NormalTok"/>
        </w:rPr>
        <w:t xml:space="preserve"> ceatable_w_DST</w:t>
      </w:r>
      <w:r>
        <w:rPr>
          <w:rStyle w:val="SpecialCharTok"/>
        </w:rPr>
        <w:t xml:space="preserve">$</w:t>
      </w:r>
      <w:r>
        <w:rPr>
          <w:rStyle w:val="NormalTok"/>
        </w:rPr>
        <w:t xml:space="preserve">RCcumulativeCosts</w:t>
      </w:r>
      <w:r>
        <w:br/>
      </w:r>
      <w:r>
        <w:rPr>
          <w:rStyle w:val="NormalTok"/>
        </w:rPr>
        <w:t xml:space="preserve">ceatable_w_DST</w:t>
      </w:r>
      <w:r>
        <w:rPr>
          <w:rStyle w:val="SpecialCharTok"/>
        </w:rPr>
        <w:t xml:space="preserve">$</w:t>
      </w:r>
      <w:r>
        <w:rPr>
          <w:rStyle w:val="NormalTok"/>
        </w:rPr>
        <w:t xml:space="preserve">IncrementalCostsGISPtoRT </w:t>
      </w:r>
      <w:r>
        <w:rPr>
          <w:rStyle w:val="OtherTok"/>
        </w:rPr>
        <w:t xml:space="preserve">&lt;-</w:t>
      </w:r>
      <w:r>
        <w:rPr>
          <w:rStyle w:val="NormalTok"/>
        </w:rPr>
        <w:t xml:space="preserve"> ceatable_w_DST</w:t>
      </w:r>
      <w:r>
        <w:rPr>
          <w:rStyle w:val="SpecialCharTok"/>
        </w:rPr>
        <w:t xml:space="preserve">$</w:t>
      </w:r>
      <w:r>
        <w:rPr>
          <w:rStyle w:val="NormalTok"/>
        </w:rPr>
        <w:t xml:space="preserve">RandomcumulativeCosts </w:t>
      </w:r>
      <w:r>
        <w:rPr>
          <w:rStyle w:val="SpecialCharTok"/>
        </w:rPr>
        <w:t xml:space="preserve">-</w:t>
      </w:r>
      <w:r>
        <w:rPr>
          <w:rStyle w:val="NormalTok"/>
        </w:rPr>
        <w:t xml:space="preserve"> ceatable_w_DST</w:t>
      </w:r>
      <w:r>
        <w:rPr>
          <w:rStyle w:val="SpecialCharTok"/>
        </w:rPr>
        <w:t xml:space="preserve">$</w:t>
      </w:r>
      <w:r>
        <w:rPr>
          <w:rStyle w:val="NormalTok"/>
        </w:rPr>
        <w:t xml:space="preserve">GISPcumulativeCosts</w:t>
      </w:r>
      <w:r>
        <w:br/>
      </w:r>
      <w:r>
        <w:rPr>
          <w:rStyle w:val="NormalTok"/>
        </w:rPr>
        <w:t xml:space="preserve">ceatable_w_DST</w:t>
      </w:r>
      <w:r>
        <w:rPr>
          <w:rStyle w:val="SpecialCharTok"/>
        </w:rPr>
        <w:t xml:space="preserve">$</w:t>
      </w:r>
      <w:r>
        <w:rPr>
          <w:rStyle w:val="NormalTok"/>
        </w:rPr>
        <w:t xml:space="preserve">IncrementalCostsRTtoTOC </w:t>
      </w:r>
      <w:r>
        <w:rPr>
          <w:rStyle w:val="OtherTok"/>
        </w:rPr>
        <w:t xml:space="preserve">&lt;-</w:t>
      </w:r>
      <w:r>
        <w:rPr>
          <w:rStyle w:val="NormalTok"/>
        </w:rPr>
        <w:t xml:space="preserve"> ceatable_w_DST</w:t>
      </w:r>
      <w:r>
        <w:rPr>
          <w:rStyle w:val="SpecialCharTok"/>
        </w:rPr>
        <w:t xml:space="preserve">$</w:t>
      </w:r>
      <w:r>
        <w:rPr>
          <w:rStyle w:val="NormalTok"/>
        </w:rPr>
        <w:t xml:space="preserve">TOCcumulativeCosts </w:t>
      </w:r>
      <w:r>
        <w:rPr>
          <w:rStyle w:val="SpecialCharTok"/>
        </w:rPr>
        <w:t xml:space="preserve">-</w:t>
      </w:r>
      <w:r>
        <w:rPr>
          <w:rStyle w:val="NormalTok"/>
        </w:rPr>
        <w:t xml:space="preserve"> ceatable_w_DST</w:t>
      </w:r>
      <w:r>
        <w:rPr>
          <w:rStyle w:val="SpecialCharTok"/>
        </w:rPr>
        <w:t xml:space="preserve">$</w:t>
      </w:r>
      <w:r>
        <w:rPr>
          <w:rStyle w:val="NormalTok"/>
        </w:rPr>
        <w:t xml:space="preserve">RandomcumulativeCosts </w:t>
      </w:r>
      <w:r>
        <w:br/>
      </w:r>
      <w:r>
        <w:rPr>
          <w:rStyle w:val="NormalTok"/>
        </w:rPr>
        <w:t xml:space="preserve">ceatable_w_DST</w:t>
      </w:r>
      <w:r>
        <w:rPr>
          <w:rStyle w:val="SpecialCharTok"/>
        </w:rPr>
        <w:t xml:space="preserve">$</w:t>
      </w:r>
      <w:r>
        <w:rPr>
          <w:rStyle w:val="NormalTok"/>
        </w:rPr>
        <w:t xml:space="preserve">IncrementalCostsTOCtoDST </w:t>
      </w:r>
      <w:r>
        <w:rPr>
          <w:rStyle w:val="OtherTok"/>
        </w:rPr>
        <w:t xml:space="preserve">&lt;-</w:t>
      </w:r>
      <w:r>
        <w:rPr>
          <w:rStyle w:val="NormalTok"/>
        </w:rPr>
        <w:t xml:space="preserve"> ceatable_w_DST</w:t>
      </w:r>
      <w:r>
        <w:rPr>
          <w:rStyle w:val="SpecialCharTok"/>
        </w:rPr>
        <w:t xml:space="preserve">$</w:t>
      </w:r>
      <w:r>
        <w:rPr>
          <w:rStyle w:val="NormalTok"/>
        </w:rPr>
        <w:t xml:space="preserve">DSTcumulativeCosts </w:t>
      </w:r>
      <w:r>
        <w:rPr>
          <w:rStyle w:val="SpecialCharTok"/>
        </w:rPr>
        <w:t xml:space="preserve">-</w:t>
      </w:r>
      <w:r>
        <w:rPr>
          <w:rStyle w:val="NormalTok"/>
        </w:rPr>
        <w:t xml:space="preserve"> ceatable_w_DST</w:t>
      </w:r>
      <w:r>
        <w:rPr>
          <w:rStyle w:val="SpecialCharTok"/>
        </w:rPr>
        <w:t xml:space="preserve">$</w:t>
      </w:r>
      <w:r>
        <w:rPr>
          <w:rStyle w:val="NormalTok"/>
        </w:rPr>
        <w:t xml:space="preserve">TOCcumulativeCosts</w:t>
      </w:r>
      <w:r>
        <w:br/>
      </w:r>
      <w:r>
        <w:rPr>
          <w:rStyle w:val="NormalTok"/>
        </w:rPr>
        <w:t xml:space="preserve">ceatable_w_DST</w:t>
      </w:r>
      <w:r>
        <w:rPr>
          <w:rStyle w:val="SpecialCharTok"/>
        </w:rPr>
        <w:t xml:space="preserve">$</w:t>
      </w:r>
      <w:r>
        <w:rPr>
          <w:rStyle w:val="NormalTok"/>
        </w:rPr>
        <w:t xml:space="preserve">IncrementalCostsGISPtoDST </w:t>
      </w:r>
      <w:r>
        <w:rPr>
          <w:rStyle w:val="OtherTok"/>
        </w:rPr>
        <w:t xml:space="preserve">&lt;-</w:t>
      </w:r>
      <w:r>
        <w:rPr>
          <w:rStyle w:val="NormalTok"/>
        </w:rPr>
        <w:t xml:space="preserve"> ceatable_w_DST</w:t>
      </w:r>
      <w:r>
        <w:rPr>
          <w:rStyle w:val="SpecialCharTok"/>
        </w:rPr>
        <w:t xml:space="preserve">$</w:t>
      </w:r>
      <w:r>
        <w:rPr>
          <w:rStyle w:val="NormalTok"/>
        </w:rPr>
        <w:t xml:space="preserve">DSTcumulativeCosts </w:t>
      </w:r>
      <w:r>
        <w:rPr>
          <w:rStyle w:val="SpecialCharTok"/>
        </w:rPr>
        <w:t xml:space="preserve">-</w:t>
      </w:r>
      <w:r>
        <w:rPr>
          <w:rStyle w:val="NormalTok"/>
        </w:rPr>
        <w:t xml:space="preserve"> ceatable_w_DST</w:t>
      </w:r>
      <w:r>
        <w:rPr>
          <w:rStyle w:val="SpecialCharTok"/>
        </w:rPr>
        <w:t xml:space="preserve">$</w:t>
      </w:r>
      <w:r>
        <w:rPr>
          <w:rStyle w:val="NormalTok"/>
        </w:rPr>
        <w:t xml:space="preserve">GISPcumulativeCosts</w:t>
      </w:r>
      <w:r>
        <w:br/>
      </w:r>
      <w:r>
        <w:br/>
      </w:r>
      <w:r>
        <w:br/>
      </w:r>
      <w:r>
        <w:br/>
      </w:r>
      <w:r>
        <w:rPr>
          <w:rStyle w:val="FunctionTok"/>
        </w:rPr>
        <w:t xml:space="preserve">mean</w:t>
      </w:r>
      <w:r>
        <w:rPr>
          <w:rStyle w:val="NormalTok"/>
        </w:rPr>
        <w:t xml:space="preserve">(ceatable_w_DST</w:t>
      </w:r>
      <w:r>
        <w:rPr>
          <w:rStyle w:val="SpecialCharTok"/>
        </w:rPr>
        <w:t xml:space="preserve">$</w:t>
      </w:r>
      <w:r>
        <w:rPr>
          <w:rStyle w:val="NormalTok"/>
        </w:rPr>
        <w:t xml:space="preserve">IncrementalCostsMTtoGISP) </w:t>
      </w:r>
      <w:r>
        <w:rPr>
          <w:rStyle w:val="SpecialCharTok"/>
        </w:rPr>
        <w:t xml:space="preserve">/</w:t>
      </w:r>
      <w:r>
        <w:rPr>
          <w:rStyle w:val="NormalTok"/>
        </w:rPr>
        <w:t xml:space="preserve"> </w:t>
      </w:r>
      <w:r>
        <w:rPr>
          <w:rStyle w:val="DecValTok"/>
        </w:rPr>
        <w:t xml:space="preserve">1000000</w:t>
      </w:r>
    </w:p>
    <w:p>
      <w:pPr>
        <w:pStyle w:val="SourceCode"/>
      </w:pPr>
      <w:r>
        <w:rPr>
          <w:rStyle w:val="VerbatimChar"/>
        </w:rPr>
        <w:t xml:space="preserve">## [1] -18.0835</w:t>
      </w:r>
    </w:p>
    <w:p>
      <w:pPr>
        <w:pStyle w:val="SourceCode"/>
      </w:pPr>
      <w:r>
        <w:rPr>
          <w:rStyle w:val="FunctionTok"/>
        </w:rPr>
        <w:t xml:space="preserve">quantile</w:t>
      </w:r>
      <w:r>
        <w:rPr>
          <w:rStyle w:val="NormalTok"/>
        </w:rPr>
        <w:t xml:space="preserve">(ceatable_w_DST</w:t>
      </w:r>
      <w:r>
        <w:rPr>
          <w:rStyle w:val="SpecialCharTok"/>
        </w:rPr>
        <w:t xml:space="preserve">$</w:t>
      </w:r>
      <w:r>
        <w:rPr>
          <w:rStyle w:val="NormalTok"/>
        </w:rPr>
        <w:t xml:space="preserve">IncrementalCostsMTtoGISP,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SpecialCharTok"/>
        </w:rPr>
        <w:t xml:space="preserve">/</w:t>
      </w:r>
      <w:r>
        <w:rPr>
          <w:rStyle w:val="NormalTok"/>
        </w:rPr>
        <w:t xml:space="preserve"> </w:t>
      </w:r>
      <w:r>
        <w:rPr>
          <w:rStyle w:val="DecValTok"/>
        </w:rPr>
        <w:t xml:space="preserve">1000000</w:t>
      </w:r>
    </w:p>
    <w:p>
      <w:pPr>
        <w:pStyle w:val="SourceCode"/>
      </w:pPr>
      <w:r>
        <w:rPr>
          <w:rStyle w:val="VerbatimChar"/>
        </w:rPr>
        <w:t xml:space="preserve">##       2.5%      97.5% </w:t>
      </w:r>
      <w:r>
        <w:br/>
      </w:r>
      <w:r>
        <w:rPr>
          <w:rStyle w:val="VerbatimChar"/>
        </w:rPr>
        <w:t xml:space="preserve">## -71.361465   9.154755</w:t>
      </w:r>
    </w:p>
    <w:p>
      <w:pPr>
        <w:pStyle w:val="SourceCode"/>
      </w:pPr>
      <w:r>
        <w:rPr>
          <w:rStyle w:val="FunctionTok"/>
        </w:rPr>
        <w:t xml:space="preserve">mean</w:t>
      </w:r>
      <w:r>
        <w:rPr>
          <w:rStyle w:val="NormalTok"/>
        </w:rPr>
        <w:t xml:space="preserve">(ceatable_w_DST</w:t>
      </w:r>
      <w:r>
        <w:rPr>
          <w:rStyle w:val="SpecialCharTok"/>
        </w:rPr>
        <w:t xml:space="preserve">$</w:t>
      </w:r>
      <w:r>
        <w:rPr>
          <w:rStyle w:val="NormalTok"/>
        </w:rPr>
        <w:t xml:space="preserve">IncrementalCostsGISPtoRT) </w:t>
      </w:r>
      <w:r>
        <w:rPr>
          <w:rStyle w:val="SpecialCharTok"/>
        </w:rPr>
        <w:t xml:space="preserve">/</w:t>
      </w:r>
      <w:r>
        <w:rPr>
          <w:rStyle w:val="NormalTok"/>
        </w:rPr>
        <w:t xml:space="preserve"> </w:t>
      </w:r>
      <w:r>
        <w:rPr>
          <w:rStyle w:val="DecValTok"/>
        </w:rPr>
        <w:t xml:space="preserve">1000000</w:t>
      </w:r>
    </w:p>
    <w:p>
      <w:pPr>
        <w:pStyle w:val="SourceCode"/>
      </w:pPr>
      <w:r>
        <w:rPr>
          <w:rStyle w:val="VerbatimChar"/>
        </w:rPr>
        <w:t xml:space="preserve">## [1] 7.722486</w:t>
      </w:r>
    </w:p>
    <w:p>
      <w:pPr>
        <w:pStyle w:val="SourceCode"/>
      </w:pPr>
      <w:r>
        <w:rPr>
          <w:rStyle w:val="FunctionTok"/>
        </w:rPr>
        <w:t xml:space="preserve">quantile</w:t>
      </w:r>
      <w:r>
        <w:rPr>
          <w:rStyle w:val="NormalTok"/>
        </w:rPr>
        <w:t xml:space="preserve">(ceatable_w_DST</w:t>
      </w:r>
      <w:r>
        <w:rPr>
          <w:rStyle w:val="SpecialCharTok"/>
        </w:rPr>
        <w:t xml:space="preserve">$</w:t>
      </w:r>
      <w:r>
        <w:rPr>
          <w:rStyle w:val="NormalTok"/>
        </w:rPr>
        <w:t xml:space="preserve">IncrementalCostsGISPtoRT,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SpecialCharTok"/>
        </w:rPr>
        <w:t xml:space="preserve">/</w:t>
      </w:r>
      <w:r>
        <w:rPr>
          <w:rStyle w:val="NormalTok"/>
        </w:rPr>
        <w:t xml:space="preserve"> </w:t>
      </w:r>
      <w:r>
        <w:rPr>
          <w:rStyle w:val="DecValTok"/>
        </w:rPr>
        <w:t xml:space="preserve">1000000</w:t>
      </w:r>
    </w:p>
    <w:p>
      <w:pPr>
        <w:pStyle w:val="SourceCode"/>
      </w:pPr>
      <w:r>
        <w:rPr>
          <w:rStyle w:val="VerbatimChar"/>
        </w:rPr>
        <w:t xml:space="preserve">##      2.5%     97.5% </w:t>
      </w:r>
      <w:r>
        <w:br/>
      </w:r>
      <w:r>
        <w:rPr>
          <w:rStyle w:val="VerbatimChar"/>
        </w:rPr>
        <w:t xml:space="preserve">## -16.53422  40.24117</w:t>
      </w:r>
    </w:p>
    <w:p>
      <w:pPr>
        <w:pStyle w:val="SourceCode"/>
      </w:pPr>
      <w:r>
        <w:rPr>
          <w:rStyle w:val="FunctionTok"/>
        </w:rPr>
        <w:t xml:space="preserve">mean</w:t>
      </w:r>
      <w:r>
        <w:rPr>
          <w:rStyle w:val="NormalTok"/>
        </w:rPr>
        <w:t xml:space="preserve">(ceatable_w_DST</w:t>
      </w:r>
      <w:r>
        <w:rPr>
          <w:rStyle w:val="SpecialCharTok"/>
        </w:rPr>
        <w:t xml:space="preserve">$</w:t>
      </w:r>
      <w:r>
        <w:rPr>
          <w:rStyle w:val="NormalTok"/>
        </w:rPr>
        <w:t xml:space="preserve">IncrementalCostsRTtoTOC) </w:t>
      </w:r>
      <w:r>
        <w:rPr>
          <w:rStyle w:val="SpecialCharTok"/>
        </w:rPr>
        <w:t xml:space="preserve">/</w:t>
      </w:r>
      <w:r>
        <w:rPr>
          <w:rStyle w:val="NormalTok"/>
        </w:rPr>
        <w:t xml:space="preserve"> </w:t>
      </w:r>
      <w:r>
        <w:rPr>
          <w:rStyle w:val="DecValTok"/>
        </w:rPr>
        <w:t xml:space="preserve">1000000</w:t>
      </w:r>
    </w:p>
    <w:p>
      <w:pPr>
        <w:pStyle w:val="SourceCode"/>
      </w:pPr>
      <w:r>
        <w:rPr>
          <w:rStyle w:val="VerbatimChar"/>
        </w:rPr>
        <w:t xml:space="preserve">## [1] 23.46895</w:t>
      </w:r>
    </w:p>
    <w:p>
      <w:pPr>
        <w:pStyle w:val="SourceCode"/>
      </w:pPr>
      <w:r>
        <w:rPr>
          <w:rStyle w:val="FunctionTok"/>
        </w:rPr>
        <w:t xml:space="preserve">quantile</w:t>
      </w:r>
      <w:r>
        <w:rPr>
          <w:rStyle w:val="NormalTok"/>
        </w:rPr>
        <w:t xml:space="preserve">(ceatable_w_DST</w:t>
      </w:r>
      <w:r>
        <w:rPr>
          <w:rStyle w:val="SpecialCharTok"/>
        </w:rPr>
        <w:t xml:space="preserve">$</w:t>
      </w:r>
      <w:r>
        <w:rPr>
          <w:rStyle w:val="NormalTok"/>
        </w:rPr>
        <w:t xml:space="preserve">IncrementalCostsRTtoTOC,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SpecialCharTok"/>
        </w:rPr>
        <w:t xml:space="preserve">/</w:t>
      </w:r>
      <w:r>
        <w:rPr>
          <w:rStyle w:val="NormalTok"/>
        </w:rPr>
        <w:t xml:space="preserve"> </w:t>
      </w:r>
      <w:r>
        <w:rPr>
          <w:rStyle w:val="DecValTok"/>
        </w:rPr>
        <w:t xml:space="preserve">1000000</w:t>
      </w:r>
    </w:p>
    <w:p>
      <w:pPr>
        <w:pStyle w:val="SourceCode"/>
      </w:pPr>
      <w:r>
        <w:rPr>
          <w:rStyle w:val="VerbatimChar"/>
        </w:rPr>
        <w:t xml:space="preserve">##      2.5%     97.5% </w:t>
      </w:r>
      <w:r>
        <w:br/>
      </w:r>
      <w:r>
        <w:rPr>
          <w:rStyle w:val="VerbatimChar"/>
        </w:rPr>
        <w:t xml:space="preserve">## -19.56706  96.18329</w:t>
      </w:r>
    </w:p>
    <w:p>
      <w:pPr>
        <w:pStyle w:val="SourceCode"/>
      </w:pPr>
      <w:r>
        <w:rPr>
          <w:rStyle w:val="FunctionTok"/>
        </w:rPr>
        <w:t xml:space="preserve">mean</w:t>
      </w:r>
      <w:r>
        <w:rPr>
          <w:rStyle w:val="NormalTok"/>
        </w:rPr>
        <w:t xml:space="preserve">(ceatable_w_DST</w:t>
      </w:r>
      <w:r>
        <w:rPr>
          <w:rStyle w:val="SpecialCharTok"/>
        </w:rPr>
        <w:t xml:space="preserve">$</w:t>
      </w:r>
      <w:r>
        <w:rPr>
          <w:rStyle w:val="NormalTok"/>
        </w:rPr>
        <w:t xml:space="preserve">IncrementalCostsTOCtoDST) </w:t>
      </w:r>
      <w:r>
        <w:rPr>
          <w:rStyle w:val="SpecialCharTok"/>
        </w:rPr>
        <w:t xml:space="preserve">/</w:t>
      </w:r>
      <w:r>
        <w:rPr>
          <w:rStyle w:val="NormalTok"/>
        </w:rPr>
        <w:t xml:space="preserve"> </w:t>
      </w:r>
      <w:r>
        <w:rPr>
          <w:rStyle w:val="DecValTok"/>
        </w:rPr>
        <w:t xml:space="preserve">1000000</w:t>
      </w:r>
    </w:p>
    <w:p>
      <w:pPr>
        <w:pStyle w:val="SourceCode"/>
      </w:pPr>
      <w:r>
        <w:rPr>
          <w:rStyle w:val="VerbatimChar"/>
        </w:rPr>
        <w:t xml:space="preserve">## [1] -3.973932</w:t>
      </w:r>
    </w:p>
    <w:p>
      <w:pPr>
        <w:pStyle w:val="SourceCode"/>
      </w:pPr>
      <w:r>
        <w:rPr>
          <w:rStyle w:val="FunctionTok"/>
        </w:rPr>
        <w:t xml:space="preserve">quantile</w:t>
      </w:r>
      <w:r>
        <w:rPr>
          <w:rStyle w:val="NormalTok"/>
        </w:rPr>
        <w:t xml:space="preserve">(ceatable_w_DST</w:t>
      </w:r>
      <w:r>
        <w:rPr>
          <w:rStyle w:val="SpecialCharTok"/>
        </w:rPr>
        <w:t xml:space="preserve">$</w:t>
      </w:r>
      <w:r>
        <w:rPr>
          <w:rStyle w:val="NormalTok"/>
        </w:rPr>
        <w:t xml:space="preserve">IncrementalCostsTOCtoDST,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SpecialCharTok"/>
        </w:rPr>
        <w:t xml:space="preserve">/</w:t>
      </w:r>
      <w:r>
        <w:rPr>
          <w:rStyle w:val="NormalTok"/>
        </w:rPr>
        <w:t xml:space="preserve"> </w:t>
      </w:r>
      <w:r>
        <w:rPr>
          <w:rStyle w:val="DecValTok"/>
        </w:rPr>
        <w:t xml:space="preserve">1000000</w:t>
      </w:r>
    </w:p>
    <w:p>
      <w:pPr>
        <w:pStyle w:val="SourceCode"/>
      </w:pPr>
      <w:r>
        <w:rPr>
          <w:rStyle w:val="VerbatimChar"/>
        </w:rPr>
        <w:t xml:space="preserve">##      2.5%     97.5% </w:t>
      </w:r>
      <w:r>
        <w:br/>
      </w:r>
      <w:r>
        <w:rPr>
          <w:rStyle w:val="VerbatimChar"/>
        </w:rPr>
        <w:t xml:space="preserve">## -76.47588  54.46639</w:t>
      </w:r>
    </w:p>
    <w:p>
      <w:pPr>
        <w:pStyle w:val="SourceCode"/>
      </w:pPr>
      <w:r>
        <w:rPr>
          <w:rStyle w:val="FunctionTok"/>
        </w:rPr>
        <w:t xml:space="preserve">mean</w:t>
      </w:r>
      <w:r>
        <w:rPr>
          <w:rStyle w:val="NormalTok"/>
        </w:rPr>
        <w:t xml:space="preserve">(ceatable_w_DST</w:t>
      </w:r>
      <w:r>
        <w:rPr>
          <w:rStyle w:val="SpecialCharTok"/>
        </w:rPr>
        <w:t xml:space="preserve">$</w:t>
      </w:r>
      <w:r>
        <w:rPr>
          <w:rStyle w:val="NormalTok"/>
        </w:rPr>
        <w:t xml:space="preserve">IncrementalCostsGISPtoDST) </w:t>
      </w:r>
      <w:r>
        <w:rPr>
          <w:rStyle w:val="SpecialCharTok"/>
        </w:rPr>
        <w:t xml:space="preserve">/</w:t>
      </w:r>
      <w:r>
        <w:rPr>
          <w:rStyle w:val="NormalTok"/>
        </w:rPr>
        <w:t xml:space="preserve"> </w:t>
      </w:r>
      <w:r>
        <w:rPr>
          <w:rStyle w:val="DecValTok"/>
        </w:rPr>
        <w:t xml:space="preserve">1000000</w:t>
      </w:r>
    </w:p>
    <w:p>
      <w:pPr>
        <w:pStyle w:val="SourceCode"/>
      </w:pPr>
      <w:r>
        <w:rPr>
          <w:rStyle w:val="VerbatimChar"/>
        </w:rPr>
        <w:t xml:space="preserve">## [1] 27.21751</w:t>
      </w:r>
    </w:p>
    <w:p>
      <w:pPr>
        <w:pStyle w:val="SourceCode"/>
      </w:pPr>
      <w:r>
        <w:rPr>
          <w:rStyle w:val="FunctionTok"/>
        </w:rPr>
        <w:t xml:space="preserve">quantile</w:t>
      </w:r>
      <w:r>
        <w:rPr>
          <w:rStyle w:val="NormalTok"/>
        </w:rPr>
        <w:t xml:space="preserve">(ceatable_w_DST</w:t>
      </w:r>
      <w:r>
        <w:rPr>
          <w:rStyle w:val="SpecialCharTok"/>
        </w:rPr>
        <w:t xml:space="preserve">$</w:t>
      </w:r>
      <w:r>
        <w:rPr>
          <w:rStyle w:val="NormalTok"/>
        </w:rPr>
        <w:t xml:space="preserve">IncrementalCostsGISPtoDST,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SpecialCharTok"/>
        </w:rPr>
        <w:t xml:space="preserve">/</w:t>
      </w:r>
      <w:r>
        <w:rPr>
          <w:rStyle w:val="NormalTok"/>
        </w:rPr>
        <w:t xml:space="preserve"> </w:t>
      </w:r>
      <w:r>
        <w:rPr>
          <w:rStyle w:val="DecValTok"/>
        </w:rPr>
        <w:t xml:space="preserve">1000000</w:t>
      </w:r>
    </w:p>
    <w:p>
      <w:pPr>
        <w:pStyle w:val="SourceCode"/>
      </w:pPr>
      <w:r>
        <w:rPr>
          <w:rStyle w:val="VerbatimChar"/>
        </w:rPr>
        <w:t xml:space="preserve">##      2.5%     97.5% </w:t>
      </w:r>
      <w:r>
        <w:br/>
      </w:r>
      <w:r>
        <w:rPr>
          <w:rStyle w:val="VerbatimChar"/>
        </w:rPr>
        <w:t xml:space="preserve">##  3.275732 75.731129</w:t>
      </w:r>
    </w:p>
    <w:p>
      <w:pPr>
        <w:pStyle w:val="SourceCode"/>
      </w:pPr>
      <w:r>
        <w:rPr>
          <w:rStyle w:val="NormalTok"/>
        </w:rPr>
        <w:t xml:space="preserve">ceatable_w_DST</w:t>
      </w:r>
      <w:r>
        <w:rPr>
          <w:rStyle w:val="SpecialCharTok"/>
        </w:rPr>
        <w:t xml:space="preserve">$</w:t>
      </w:r>
      <w:r>
        <w:rPr>
          <w:rStyle w:val="NormalTok"/>
        </w:rPr>
        <w:t xml:space="preserve">IncrementalQALYsMTtoGISP </w:t>
      </w:r>
      <w:r>
        <w:rPr>
          <w:rStyle w:val="OtherTok"/>
        </w:rPr>
        <w:t xml:space="preserve">&lt;-</w:t>
      </w:r>
      <w:r>
        <w:rPr>
          <w:rStyle w:val="NormalTok"/>
        </w:rPr>
        <w:t xml:space="preserve"> ceatable_w_DST</w:t>
      </w:r>
      <w:r>
        <w:rPr>
          <w:rStyle w:val="SpecialCharTok"/>
        </w:rPr>
        <w:t xml:space="preserve">$</w:t>
      </w:r>
      <w:r>
        <w:rPr>
          <w:rStyle w:val="NormalTok"/>
        </w:rPr>
        <w:t xml:space="preserve">GISPcumulativeQALYs </w:t>
      </w:r>
      <w:r>
        <w:rPr>
          <w:rStyle w:val="SpecialCharTok"/>
        </w:rPr>
        <w:t xml:space="preserve">-</w:t>
      </w:r>
      <w:r>
        <w:rPr>
          <w:rStyle w:val="NormalTok"/>
        </w:rPr>
        <w:t xml:space="preserve"> ceatable_w_DST</w:t>
      </w:r>
      <w:r>
        <w:rPr>
          <w:rStyle w:val="SpecialCharTok"/>
        </w:rPr>
        <w:t xml:space="preserve">$</w:t>
      </w:r>
      <w:r>
        <w:rPr>
          <w:rStyle w:val="NormalTok"/>
        </w:rPr>
        <w:t xml:space="preserve">RCcumulativeQALYs</w:t>
      </w:r>
      <w:r>
        <w:br/>
      </w:r>
      <w:r>
        <w:br/>
      </w:r>
      <w:r>
        <w:rPr>
          <w:rStyle w:val="NormalTok"/>
        </w:rPr>
        <w:t xml:space="preserve">ceatable_w_DST</w:t>
      </w:r>
      <w:r>
        <w:rPr>
          <w:rStyle w:val="SpecialCharTok"/>
        </w:rPr>
        <w:t xml:space="preserve">$</w:t>
      </w:r>
      <w:r>
        <w:rPr>
          <w:rStyle w:val="NormalTok"/>
        </w:rPr>
        <w:t xml:space="preserve">IncrementalQALYsGISPtoDST </w:t>
      </w:r>
      <w:r>
        <w:rPr>
          <w:rStyle w:val="OtherTok"/>
        </w:rPr>
        <w:t xml:space="preserve">&lt;-</w:t>
      </w:r>
      <w:r>
        <w:rPr>
          <w:rStyle w:val="NormalTok"/>
        </w:rPr>
        <w:t xml:space="preserve"> ceatable_w_DST</w:t>
      </w:r>
      <w:r>
        <w:rPr>
          <w:rStyle w:val="SpecialCharTok"/>
        </w:rPr>
        <w:t xml:space="preserve">$</w:t>
      </w:r>
      <w:r>
        <w:rPr>
          <w:rStyle w:val="NormalTok"/>
        </w:rPr>
        <w:t xml:space="preserve">DSTcumulativeQALYs </w:t>
      </w:r>
      <w:r>
        <w:rPr>
          <w:rStyle w:val="SpecialCharTok"/>
        </w:rPr>
        <w:t xml:space="preserve">-</w:t>
      </w:r>
      <w:r>
        <w:rPr>
          <w:rStyle w:val="NormalTok"/>
        </w:rPr>
        <w:t xml:space="preserve"> ceatable_w_DST</w:t>
      </w:r>
      <w:r>
        <w:rPr>
          <w:rStyle w:val="SpecialCharTok"/>
        </w:rPr>
        <w:t xml:space="preserve">$</w:t>
      </w:r>
      <w:r>
        <w:rPr>
          <w:rStyle w:val="NormalTok"/>
        </w:rPr>
        <w:t xml:space="preserve">GISPcumulativeQALYs</w:t>
      </w:r>
      <w:r>
        <w:br/>
      </w:r>
      <w:r>
        <w:br/>
      </w:r>
      <w:r>
        <w:rPr>
          <w:rStyle w:val="FunctionTok"/>
        </w:rPr>
        <w:t xml:space="preserve">mean</w:t>
      </w:r>
      <w:r>
        <w:rPr>
          <w:rStyle w:val="NormalTok"/>
        </w:rPr>
        <w:t xml:space="preserve">(ceatable_w_DST</w:t>
      </w:r>
      <w:r>
        <w:rPr>
          <w:rStyle w:val="SpecialCharTok"/>
        </w:rPr>
        <w:t xml:space="preserve">$</w:t>
      </w:r>
      <w:r>
        <w:rPr>
          <w:rStyle w:val="NormalTok"/>
        </w:rPr>
        <w:t xml:space="preserve">IncrementalQALYsMTtoGISP) </w:t>
      </w:r>
    </w:p>
    <w:p>
      <w:pPr>
        <w:pStyle w:val="SourceCode"/>
      </w:pPr>
      <w:r>
        <w:rPr>
          <w:rStyle w:val="VerbatimChar"/>
        </w:rPr>
        <w:t xml:space="preserve">## [1] -69.93091</w:t>
      </w:r>
    </w:p>
    <w:p>
      <w:pPr>
        <w:pStyle w:val="SourceCode"/>
      </w:pPr>
      <w:r>
        <w:rPr>
          <w:rStyle w:val="FunctionTok"/>
        </w:rPr>
        <w:t xml:space="preserve">quantile</w:t>
      </w:r>
      <w:r>
        <w:rPr>
          <w:rStyle w:val="NormalTok"/>
        </w:rPr>
        <w:t xml:space="preserve">(ceatable_w_DST</w:t>
      </w:r>
      <w:r>
        <w:rPr>
          <w:rStyle w:val="SpecialCharTok"/>
        </w:rPr>
        <w:t xml:space="preserve">$</w:t>
      </w:r>
      <w:r>
        <w:rPr>
          <w:rStyle w:val="NormalTok"/>
        </w:rPr>
        <w:t xml:space="preserve">IncrementalQALYsMTtoGISP,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p>
    <w:p>
      <w:pPr>
        <w:pStyle w:val="SourceCode"/>
      </w:pPr>
      <w:r>
        <w:rPr>
          <w:rStyle w:val="VerbatimChar"/>
        </w:rPr>
        <w:t xml:space="preserve">##      2.5%     97.5% </w:t>
      </w:r>
      <w:r>
        <w:br/>
      </w:r>
      <w:r>
        <w:rPr>
          <w:rStyle w:val="VerbatimChar"/>
        </w:rPr>
        <w:t xml:space="preserve">## -609.2708  282.0677</w:t>
      </w:r>
    </w:p>
    <w:p>
      <w:pPr>
        <w:pStyle w:val="SourceCode"/>
      </w:pPr>
      <w:r>
        <w:rPr>
          <w:rStyle w:val="FunctionTok"/>
        </w:rPr>
        <w:t xml:space="preserve">mean</w:t>
      </w:r>
      <w:r>
        <w:rPr>
          <w:rStyle w:val="NormalTok"/>
        </w:rPr>
        <w:t xml:space="preserve">(ceatable_w_DST</w:t>
      </w:r>
      <w:r>
        <w:rPr>
          <w:rStyle w:val="SpecialCharTok"/>
        </w:rPr>
        <w:t xml:space="preserve">$</w:t>
      </w:r>
      <w:r>
        <w:rPr>
          <w:rStyle w:val="NormalTok"/>
        </w:rPr>
        <w:t xml:space="preserve">IncrementalQALYsGISPtoDST) </w:t>
      </w:r>
    </w:p>
    <w:p>
      <w:pPr>
        <w:pStyle w:val="SourceCode"/>
      </w:pPr>
      <w:r>
        <w:rPr>
          <w:rStyle w:val="VerbatimChar"/>
        </w:rPr>
        <w:t xml:space="preserve">## [1] 12.17719</w:t>
      </w:r>
    </w:p>
    <w:p>
      <w:pPr>
        <w:pStyle w:val="SourceCode"/>
      </w:pPr>
      <w:r>
        <w:rPr>
          <w:rStyle w:val="FunctionTok"/>
        </w:rPr>
        <w:t xml:space="preserve">quantile</w:t>
      </w:r>
      <w:r>
        <w:rPr>
          <w:rStyle w:val="NormalTok"/>
        </w:rPr>
        <w:t xml:space="preserve">(ceatable_w_DST</w:t>
      </w:r>
      <w:r>
        <w:rPr>
          <w:rStyle w:val="SpecialCharTok"/>
        </w:rPr>
        <w:t xml:space="preserve">$</w:t>
      </w:r>
      <w:r>
        <w:rPr>
          <w:rStyle w:val="NormalTok"/>
        </w:rPr>
        <w:t xml:space="preserve">IncrementalQALYsGISPtoDST,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p>
    <w:p>
      <w:pPr>
        <w:pStyle w:val="SourceCode"/>
      </w:pPr>
      <w:r>
        <w:rPr>
          <w:rStyle w:val="VerbatimChar"/>
        </w:rPr>
        <w:t xml:space="preserve">##      2.5%     97.5% </w:t>
      </w:r>
      <w:r>
        <w:br/>
      </w:r>
      <w:r>
        <w:rPr>
          <w:rStyle w:val="VerbatimChar"/>
        </w:rPr>
        <w:t xml:space="preserve">## -385.7836  696.1098</w:t>
      </w:r>
    </w:p>
    <w:p>
      <w:pPr>
        <w:pStyle w:val="SourceCode"/>
      </w:pPr>
      <w:r>
        <w:rPr>
          <w:rStyle w:val="NormalTok"/>
        </w:rPr>
        <w:t xml:space="preserve">ceatable_w_DST</w:t>
      </w:r>
      <w:r>
        <w:rPr>
          <w:rStyle w:val="SpecialCharTok"/>
        </w:rPr>
        <w:t xml:space="preserve">$</w:t>
      </w:r>
      <w:r>
        <w:rPr>
          <w:rStyle w:val="NormalTok"/>
        </w:rPr>
        <w:t xml:space="preserve">ICERGISPtoDST </w:t>
      </w:r>
      <w:r>
        <w:rPr>
          <w:rStyle w:val="OtherTok"/>
        </w:rPr>
        <w:t xml:space="preserve">&lt;-</w:t>
      </w:r>
      <w:r>
        <w:rPr>
          <w:rStyle w:val="NormalTok"/>
        </w:rPr>
        <w:t xml:space="preserve"> ceatable_w_DST</w:t>
      </w:r>
      <w:r>
        <w:rPr>
          <w:rStyle w:val="SpecialCharTok"/>
        </w:rPr>
        <w:t xml:space="preserve">$</w:t>
      </w:r>
      <w:r>
        <w:rPr>
          <w:rStyle w:val="NormalTok"/>
        </w:rPr>
        <w:t xml:space="preserve">IncrementalCostsGISPtoDST </w:t>
      </w:r>
      <w:r>
        <w:rPr>
          <w:rStyle w:val="SpecialCharTok"/>
        </w:rPr>
        <w:t xml:space="preserve">/</w:t>
      </w:r>
      <w:r>
        <w:rPr>
          <w:rStyle w:val="NormalTok"/>
        </w:rPr>
        <w:t xml:space="preserve"> (</w:t>
      </w:r>
      <w:r>
        <w:rPr>
          <w:rStyle w:val="SpecialCharTok"/>
        </w:rPr>
        <w:t xml:space="preserve">-</w:t>
      </w:r>
      <w:r>
        <w:rPr>
          <w:rStyle w:val="NormalTok"/>
        </w:rPr>
        <w:t xml:space="preserve">ceatable_w_DST</w:t>
      </w:r>
      <w:r>
        <w:rPr>
          <w:rStyle w:val="SpecialCharTok"/>
        </w:rPr>
        <w:t xml:space="preserve">$</w:t>
      </w:r>
      <w:r>
        <w:rPr>
          <w:rStyle w:val="NormalTok"/>
        </w:rPr>
        <w:t xml:space="preserve">IncrementalQALYsGISPtoDST) </w:t>
      </w:r>
      <w:r>
        <w:br/>
      </w:r>
      <w:r>
        <w:br/>
      </w:r>
      <w:r>
        <w:rPr>
          <w:rStyle w:val="FunctionTok"/>
        </w:rPr>
        <w:t xml:space="preserve">mean</w:t>
      </w:r>
      <w:r>
        <w:rPr>
          <w:rStyle w:val="NormalTok"/>
        </w:rPr>
        <w:t xml:space="preserve">(ceatable_w_DST</w:t>
      </w:r>
      <w:r>
        <w:rPr>
          <w:rStyle w:val="SpecialCharTok"/>
        </w:rPr>
        <w:t xml:space="preserve">$</w:t>
      </w:r>
      <w:r>
        <w:rPr>
          <w:rStyle w:val="NormalTok"/>
        </w:rPr>
        <w:t xml:space="preserve">ICERGISPtoDST) </w:t>
      </w:r>
      <w:r>
        <w:rPr>
          <w:rStyle w:val="SpecialCharTok"/>
        </w:rPr>
        <w:t xml:space="preserve">/</w:t>
      </w:r>
      <w:r>
        <w:rPr>
          <w:rStyle w:val="NormalTok"/>
        </w:rPr>
        <w:t xml:space="preserve"> </w:t>
      </w:r>
      <w:r>
        <w:rPr>
          <w:rStyle w:val="DecValTok"/>
        </w:rPr>
        <w:t xml:space="preserve">1000000</w:t>
      </w:r>
    </w:p>
    <w:p>
      <w:pPr>
        <w:pStyle w:val="SourceCode"/>
      </w:pPr>
      <w:r>
        <w:rPr>
          <w:rStyle w:val="VerbatimChar"/>
        </w:rPr>
        <w:t xml:space="preserve">## [1] -1.836917</w:t>
      </w:r>
    </w:p>
    <w:p>
      <w:pPr>
        <w:pStyle w:val="SourceCode"/>
      </w:pPr>
      <w:r>
        <w:rPr>
          <w:rStyle w:val="FunctionTok"/>
        </w:rPr>
        <w:t xml:space="preserve">quantile</w:t>
      </w:r>
      <w:r>
        <w:rPr>
          <w:rStyle w:val="NormalTok"/>
        </w:rPr>
        <w:t xml:space="preserve">(ceatable_w_DST</w:t>
      </w:r>
      <w:r>
        <w:rPr>
          <w:rStyle w:val="SpecialCharTok"/>
        </w:rPr>
        <w:t xml:space="preserve">$</w:t>
      </w:r>
      <w:r>
        <w:rPr>
          <w:rStyle w:val="NormalTok"/>
        </w:rPr>
        <w:t xml:space="preserve">ICERGISPtoDST,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SpecialCharTok"/>
        </w:rPr>
        <w:t xml:space="preserve">/</w:t>
      </w:r>
      <w:r>
        <w:rPr>
          <w:rStyle w:val="DecValTok"/>
        </w:rPr>
        <w:t xml:space="preserve">1000000</w:t>
      </w:r>
    </w:p>
    <w:p>
      <w:pPr>
        <w:pStyle w:val="SourceCode"/>
      </w:pPr>
      <w:r>
        <w:rPr>
          <w:rStyle w:val="VerbatimChar"/>
        </w:rPr>
        <w:t xml:space="preserve">##      2.5%     97.5% </w:t>
      </w:r>
      <w:r>
        <w:br/>
      </w:r>
      <w:r>
        <w:rPr>
          <w:rStyle w:val="VerbatimChar"/>
        </w:rPr>
        <w:t xml:space="preserve">## -48.62389  25.32397</w:t>
      </w:r>
    </w:p>
    <w:bookmarkEnd w:id="153"/>
    <w:bookmarkStart w:id="160" w:name="figure-s21-varying-rdst-summary-figure"/>
    <w:p>
      <w:pPr>
        <w:pStyle w:val="Heading2"/>
      </w:pPr>
      <w:r>
        <w:t xml:space="preserve">Figure S21, varying rDST summary figure</w:t>
      </w:r>
    </w:p>
    <w:p>
      <w:pPr>
        <w:pStyle w:val="FirstParagraph"/>
      </w:pPr>
      <w:r>
        <w:drawing>
          <wp:inline>
            <wp:extent cx="5334000" cy="2000250"/>
            <wp:effectExtent b="0" l="0" r="0" t="0"/>
            <wp:docPr descr="" title="" id="155" name="Picture"/>
            <a:graphic>
              <a:graphicData uri="http://schemas.openxmlformats.org/drawingml/2006/picture">
                <pic:pic>
                  <pic:nvPicPr>
                    <pic:cNvPr descr="Analysis-and-visualization_files/figure-docx/figureS21-1.png" id="156" name="Picture"/>
                    <pic:cNvPicPr>
                      <a:picLocks noChangeArrowheads="1" noChangeAspect="1"/>
                    </pic:cNvPicPr>
                  </pic:nvPicPr>
                  <pic:blipFill>
                    <a:blip r:embed="rId154"/>
                    <a:stretch>
                      <a:fillRect/>
                    </a:stretch>
                  </pic:blipFill>
                  <pic:spPr bwMode="auto">
                    <a:xfrm>
                      <a:off x="0" y="0"/>
                      <a:ext cx="5334000" cy="2000250"/>
                    </a:xfrm>
                    <a:prstGeom prst="rect">
                      <a:avLst/>
                    </a:prstGeom>
                    <a:noFill/>
                    <a:ln w="9525">
                      <a:noFill/>
                      <a:headEnd/>
                      <a:tailEnd/>
                    </a:ln>
                  </pic:spPr>
                </pic:pic>
              </a:graphicData>
            </a:graphic>
          </wp:inline>
        </w:drawing>
      </w:r>
      <w:r>
        <w:drawing>
          <wp:inline>
            <wp:extent cx="5334000" cy="2000250"/>
            <wp:effectExtent b="0" l="0" r="0" t="0"/>
            <wp:docPr descr="" title="" id="158" name="Picture"/>
            <a:graphic>
              <a:graphicData uri="http://schemas.openxmlformats.org/drawingml/2006/picture">
                <pic:pic>
                  <pic:nvPicPr>
                    <pic:cNvPr descr="Analysis-and-visualization_files/figure-docx/figureS21-2.png" id="159" name="Picture"/>
                    <pic:cNvPicPr>
                      <a:picLocks noChangeArrowheads="1" noChangeAspect="1"/>
                    </pic:cNvPicPr>
                  </pic:nvPicPr>
                  <pic:blipFill>
                    <a:blip r:embed="rId157"/>
                    <a:stretch>
                      <a:fillRect/>
                    </a:stretch>
                  </pic:blipFill>
                  <pic:spPr bwMode="auto">
                    <a:xfrm>
                      <a:off x="0" y="0"/>
                      <a:ext cx="5334000" cy="2000250"/>
                    </a:xfrm>
                    <a:prstGeom prst="rect">
                      <a:avLst/>
                    </a:prstGeom>
                    <a:noFill/>
                    <a:ln w="9525">
                      <a:noFill/>
                      <a:headEnd/>
                      <a:tailEnd/>
                    </a:ln>
                  </pic:spPr>
                </pic:pic>
              </a:graphicData>
            </a:graphic>
          </wp:inline>
        </w:drawing>
      </w:r>
    </w:p>
    <w:bookmarkEnd w:id="160"/>
    <w:bookmarkStart w:id="164" w:name="figure-s22-varying-rdst-cea-figure"/>
    <w:p>
      <w:pPr>
        <w:pStyle w:val="Heading2"/>
      </w:pPr>
      <w:r>
        <w:t xml:space="preserve">Figure S22, varying rDST CEA figure</w:t>
      </w:r>
    </w:p>
    <w:p>
      <w:pPr>
        <w:pStyle w:val="FirstParagraph"/>
      </w:pPr>
      <w:r>
        <w:drawing>
          <wp:inline>
            <wp:extent cx="5334000" cy="7334250"/>
            <wp:effectExtent b="0" l="0" r="0" t="0"/>
            <wp:docPr descr="" title="" id="162" name="Picture"/>
            <a:graphic>
              <a:graphicData uri="http://schemas.openxmlformats.org/drawingml/2006/picture">
                <pic:pic>
                  <pic:nvPicPr>
                    <pic:cNvPr descr="Analysis-and-visualization_files/figure-docx/figureS22-1.png" id="163" name="Picture"/>
                    <pic:cNvPicPr>
                      <a:picLocks noChangeArrowheads="1" noChangeAspect="1"/>
                    </pic:cNvPicPr>
                  </pic:nvPicPr>
                  <pic:blipFill>
                    <a:blip r:embed="rId161"/>
                    <a:stretch>
                      <a:fillRect/>
                    </a:stretch>
                  </pic:blipFill>
                  <pic:spPr bwMode="auto">
                    <a:xfrm>
                      <a:off x="0" y="0"/>
                      <a:ext cx="5334000" cy="7334250"/>
                    </a:xfrm>
                    <a:prstGeom prst="rect">
                      <a:avLst/>
                    </a:prstGeom>
                    <a:noFill/>
                    <a:ln w="9525">
                      <a:noFill/>
                      <a:headEnd/>
                      <a:tailEnd/>
                    </a:ln>
                  </pic:spPr>
                </pic:pic>
              </a:graphicData>
            </a:graphic>
          </wp:inline>
        </w:drawing>
      </w:r>
    </w:p>
    <w:bookmarkEnd w:id="164"/>
    <w:bookmarkStart w:id="171" w:name="figure-s23-varying-mt-summary-figure"/>
    <w:p>
      <w:pPr>
        <w:pStyle w:val="Heading2"/>
      </w:pPr>
      <w:r>
        <w:t xml:space="preserve">Figure S23, varying MT summary figure</w:t>
      </w:r>
    </w:p>
    <w:p>
      <w:pPr>
        <w:pStyle w:val="FirstParagraph"/>
      </w:pPr>
      <w:r>
        <w:drawing>
          <wp:inline>
            <wp:extent cx="5334000" cy="2667000"/>
            <wp:effectExtent b="0" l="0" r="0" t="0"/>
            <wp:docPr descr="" title="" id="166" name="Picture"/>
            <a:graphic>
              <a:graphicData uri="http://schemas.openxmlformats.org/drawingml/2006/picture">
                <pic:pic>
                  <pic:nvPicPr>
                    <pic:cNvPr descr="Analysis-and-visualization_files/figure-docx/figureS23-1.png" id="167" name="Picture"/>
                    <pic:cNvPicPr>
                      <a:picLocks noChangeArrowheads="1" noChangeAspect="1"/>
                    </pic:cNvPicPr>
                  </pic:nvPicPr>
                  <pic:blipFill>
                    <a:blip r:embed="rId165"/>
                    <a:stretch>
                      <a:fillRect/>
                    </a:stretch>
                  </pic:blipFill>
                  <pic:spPr bwMode="auto">
                    <a:xfrm>
                      <a:off x="0" y="0"/>
                      <a:ext cx="5334000" cy="2667000"/>
                    </a:xfrm>
                    <a:prstGeom prst="rect">
                      <a:avLst/>
                    </a:prstGeom>
                    <a:noFill/>
                    <a:ln w="9525">
                      <a:noFill/>
                      <a:headEnd/>
                      <a:tailEnd/>
                    </a:ln>
                  </pic:spPr>
                </pic:pic>
              </a:graphicData>
            </a:graphic>
          </wp:inline>
        </w:drawing>
      </w:r>
      <w:r>
        <w:drawing>
          <wp:inline>
            <wp:extent cx="5334000" cy="2667000"/>
            <wp:effectExtent b="0" l="0" r="0" t="0"/>
            <wp:docPr descr="" title="" id="169" name="Picture"/>
            <a:graphic>
              <a:graphicData uri="http://schemas.openxmlformats.org/drawingml/2006/picture">
                <pic:pic>
                  <pic:nvPicPr>
                    <pic:cNvPr descr="Analysis-and-visualization_files/figure-docx/figureS23-2.png" id="170" name="Picture"/>
                    <pic:cNvPicPr>
                      <a:picLocks noChangeArrowheads="1" noChangeAspect="1"/>
                    </pic:cNvPicPr>
                  </pic:nvPicPr>
                  <pic:blipFill>
                    <a:blip r:embed="rId168"/>
                    <a:stretch>
                      <a:fillRect/>
                    </a:stretch>
                  </pic:blipFill>
                  <pic:spPr bwMode="auto">
                    <a:xfrm>
                      <a:off x="0" y="0"/>
                      <a:ext cx="5334000" cy="2667000"/>
                    </a:xfrm>
                    <a:prstGeom prst="rect">
                      <a:avLst/>
                    </a:prstGeom>
                    <a:noFill/>
                    <a:ln w="9525">
                      <a:noFill/>
                      <a:headEnd/>
                      <a:tailEnd/>
                    </a:ln>
                  </pic:spPr>
                </pic:pic>
              </a:graphicData>
            </a:graphic>
          </wp:inline>
        </w:drawing>
      </w:r>
    </w:p>
    <w:bookmarkEnd w:id="171"/>
    <w:bookmarkStart w:id="175" w:name="figure-s24-varying-mt-cea-figure"/>
    <w:p>
      <w:pPr>
        <w:pStyle w:val="Heading2"/>
      </w:pPr>
      <w:r>
        <w:t xml:space="preserve">Figure S24, varying MT CEA figure</w:t>
      </w:r>
    </w:p>
    <w:p>
      <w:pPr>
        <w:pStyle w:val="FirstParagraph"/>
      </w:pPr>
      <w:r>
        <w:drawing>
          <wp:inline>
            <wp:extent cx="5334000" cy="7334250"/>
            <wp:effectExtent b="0" l="0" r="0" t="0"/>
            <wp:docPr descr="" title="" id="173" name="Picture"/>
            <a:graphic>
              <a:graphicData uri="http://schemas.openxmlformats.org/drawingml/2006/picture">
                <pic:pic>
                  <pic:nvPicPr>
                    <pic:cNvPr descr="Analysis-and-visualization_files/figure-docx/figure%20S24-1.png" id="174" name="Picture"/>
                    <pic:cNvPicPr>
                      <a:picLocks noChangeArrowheads="1" noChangeAspect="1"/>
                    </pic:cNvPicPr>
                  </pic:nvPicPr>
                  <pic:blipFill>
                    <a:blip r:embed="rId172"/>
                    <a:stretch>
                      <a:fillRect/>
                    </a:stretch>
                  </pic:blipFill>
                  <pic:spPr bwMode="auto">
                    <a:xfrm>
                      <a:off x="0" y="0"/>
                      <a:ext cx="5334000" cy="7334250"/>
                    </a:xfrm>
                    <a:prstGeom prst="rect">
                      <a:avLst/>
                    </a:prstGeom>
                    <a:noFill/>
                    <a:ln w="9525">
                      <a:noFill/>
                      <a:headEnd/>
                      <a:tailEnd/>
                    </a:ln>
                  </pic:spPr>
                </pic:pic>
              </a:graphicData>
            </a:graphic>
          </wp:inline>
        </w:drawing>
      </w:r>
    </w:p>
    <w:bookmarkEnd w:id="175"/>
    <w:bookmarkEnd w:id="176"/>
    <w:bookmarkStart w:id="243" w:name="X9ea7cdc65cf2473061889b199809da217f066f3"/>
    <w:p>
      <w:pPr>
        <w:pStyle w:val="Heading1"/>
      </w:pPr>
      <w:r>
        <w:t xml:space="preserve">Supplement 6 Screening Heterogeneity (not updating)</w:t>
      </w:r>
    </w:p>
    <w:bookmarkStart w:id="180" w:name="figure-s25-posterior-distributions"/>
    <w:p>
      <w:pPr>
        <w:pStyle w:val="Heading2"/>
      </w:pPr>
      <w:r>
        <w:t xml:space="preserve">Figure S25, posterior distributions</w:t>
      </w:r>
    </w:p>
    <w:p>
      <w:pPr>
        <w:pStyle w:val="CaptionedFigure"/>
      </w:pPr>
      <w:r>
        <w:drawing>
          <wp:inline>
            <wp:extent cx="4947780" cy="5331912"/>
            <wp:effectExtent b="0" l="0" r="0" t="0"/>
            <wp:docPr descr="Figure S20." title="" id="178" name="Picture"/>
            <a:graphic>
              <a:graphicData uri="http://schemas.openxmlformats.org/drawingml/2006/picture">
                <pic:pic>
                  <pic:nvPicPr>
                    <pic:cNvPr descr="FigureS25.png" id="179" name="Picture"/>
                    <pic:cNvPicPr>
                      <a:picLocks noChangeArrowheads="1" noChangeAspect="1"/>
                    </pic:cNvPicPr>
                  </pic:nvPicPr>
                  <pic:blipFill>
                    <a:blip r:embed="rId177"/>
                    <a:stretch>
                      <a:fillRect/>
                    </a:stretch>
                  </pic:blipFill>
                  <pic:spPr bwMode="auto">
                    <a:xfrm>
                      <a:off x="0" y="0"/>
                      <a:ext cx="4947780" cy="5331912"/>
                    </a:xfrm>
                    <a:prstGeom prst="rect">
                      <a:avLst/>
                    </a:prstGeom>
                    <a:noFill/>
                    <a:ln w="9525">
                      <a:noFill/>
                      <a:headEnd/>
                      <a:tailEnd/>
                    </a:ln>
                  </pic:spPr>
                </pic:pic>
              </a:graphicData>
            </a:graphic>
          </wp:inline>
        </w:drawing>
      </w:r>
    </w:p>
    <w:p>
      <w:pPr>
        <w:pStyle w:val="ImageCaption"/>
      </w:pPr>
      <w:r>
        <w:rPr>
          <w:b/>
          <w:bCs/>
        </w:rPr>
        <w:t xml:space="preserve">Figure S20.</w:t>
      </w:r>
    </w:p>
    <w:bookmarkEnd w:id="180"/>
    <w:bookmarkStart w:id="184" w:name="figure-s26-calibrated-trajectories"/>
    <w:p>
      <w:pPr>
        <w:pStyle w:val="Heading2"/>
      </w:pPr>
      <w:r>
        <w:t xml:space="preserve">Figure S26, calibrated trajectories</w:t>
      </w:r>
    </w:p>
    <w:p>
      <w:pPr>
        <w:pStyle w:val="CaptionedFigure"/>
      </w:pPr>
      <w:r>
        <w:drawing>
          <wp:inline>
            <wp:extent cx="5334000" cy="1641230"/>
            <wp:effectExtent b="0" l="0" r="0" t="0"/>
            <wp:docPr descr="Figure S20." title="" id="182" name="Picture"/>
            <a:graphic>
              <a:graphicData uri="http://schemas.openxmlformats.org/drawingml/2006/picture">
                <pic:pic>
                  <pic:nvPicPr>
                    <pic:cNvPr descr="FigureS26.png" id="183" name="Picture"/>
                    <pic:cNvPicPr>
                      <a:picLocks noChangeArrowheads="1" noChangeAspect="1"/>
                    </pic:cNvPicPr>
                  </pic:nvPicPr>
                  <pic:blipFill>
                    <a:blip r:embed="rId181"/>
                    <a:stretch>
                      <a:fillRect/>
                    </a:stretch>
                  </pic:blipFill>
                  <pic:spPr bwMode="auto">
                    <a:xfrm>
                      <a:off x="0" y="0"/>
                      <a:ext cx="5334000" cy="1641230"/>
                    </a:xfrm>
                    <a:prstGeom prst="rect">
                      <a:avLst/>
                    </a:prstGeom>
                    <a:noFill/>
                    <a:ln w="9525">
                      <a:noFill/>
                      <a:headEnd/>
                      <a:tailEnd/>
                    </a:ln>
                  </pic:spPr>
                </pic:pic>
              </a:graphicData>
            </a:graphic>
          </wp:inline>
        </w:drawing>
      </w:r>
    </w:p>
    <w:p>
      <w:pPr>
        <w:pStyle w:val="ImageCaption"/>
      </w:pPr>
      <w:r>
        <w:rPr>
          <w:b/>
          <w:bCs/>
        </w:rPr>
        <w:t xml:space="preserve">Figure S20.</w:t>
      </w:r>
    </w:p>
    <w:bookmarkEnd w:id="184"/>
    <w:bookmarkStart w:id="188" w:name="figure-s27-summary-results"/>
    <w:p>
      <w:pPr>
        <w:pStyle w:val="Heading2"/>
      </w:pPr>
      <w:r>
        <w:t xml:space="preserve">Figure S27, summary results</w:t>
      </w:r>
    </w:p>
    <w:p>
      <w:pPr>
        <w:pStyle w:val="CaptionedFigure"/>
      </w:pPr>
      <w:r>
        <w:drawing>
          <wp:inline>
            <wp:extent cx="5334000" cy="1641230"/>
            <wp:effectExtent b="0" l="0" r="0" t="0"/>
            <wp:docPr descr="Figure S20." title="" id="186" name="Picture"/>
            <a:graphic>
              <a:graphicData uri="http://schemas.openxmlformats.org/drawingml/2006/picture">
                <pic:pic>
                  <pic:nvPicPr>
                    <pic:cNvPr descr="FigureS27.png" id="187" name="Picture"/>
                    <pic:cNvPicPr>
                      <a:picLocks noChangeArrowheads="1" noChangeAspect="1"/>
                    </pic:cNvPicPr>
                  </pic:nvPicPr>
                  <pic:blipFill>
                    <a:blip r:embed="rId185"/>
                    <a:stretch>
                      <a:fillRect/>
                    </a:stretch>
                  </pic:blipFill>
                  <pic:spPr bwMode="auto">
                    <a:xfrm>
                      <a:off x="0" y="0"/>
                      <a:ext cx="5334000" cy="1641230"/>
                    </a:xfrm>
                    <a:prstGeom prst="rect">
                      <a:avLst/>
                    </a:prstGeom>
                    <a:noFill/>
                    <a:ln w="9525">
                      <a:noFill/>
                      <a:headEnd/>
                      <a:tailEnd/>
                    </a:ln>
                  </pic:spPr>
                </pic:pic>
              </a:graphicData>
            </a:graphic>
          </wp:inline>
        </w:drawing>
      </w:r>
    </w:p>
    <w:p>
      <w:pPr>
        <w:pStyle w:val="ImageCaption"/>
      </w:pPr>
      <w:r>
        <w:rPr>
          <w:b/>
          <w:bCs/>
        </w:rPr>
        <w:t xml:space="preserve">Figure S20.</w:t>
      </w:r>
    </w:p>
    <w:bookmarkEnd w:id="188"/>
    <w:bookmarkStart w:id="192" w:name="figure-s28-trends-over-time"/>
    <w:p>
      <w:pPr>
        <w:pStyle w:val="Heading2"/>
      </w:pPr>
      <w:r>
        <w:t xml:space="preserve">Figure S28, trends over time</w:t>
      </w:r>
    </w:p>
    <w:p>
      <w:pPr>
        <w:pStyle w:val="CaptionedFigure"/>
      </w:pPr>
      <w:r>
        <w:drawing>
          <wp:inline>
            <wp:extent cx="5334000" cy="6827064"/>
            <wp:effectExtent b="0" l="0" r="0" t="0"/>
            <wp:docPr descr="Figure S20." title="" id="190" name="Picture"/>
            <a:graphic>
              <a:graphicData uri="http://schemas.openxmlformats.org/drawingml/2006/picture">
                <pic:pic>
                  <pic:nvPicPr>
                    <pic:cNvPr descr="FigureS28.png" id="191" name="Picture"/>
                    <pic:cNvPicPr>
                      <a:picLocks noChangeArrowheads="1" noChangeAspect="1"/>
                    </pic:cNvPicPr>
                  </pic:nvPicPr>
                  <pic:blipFill>
                    <a:blip r:embed="rId189"/>
                    <a:stretch>
                      <a:fillRect/>
                    </a:stretch>
                  </pic:blipFill>
                  <pic:spPr bwMode="auto">
                    <a:xfrm>
                      <a:off x="0" y="0"/>
                      <a:ext cx="5334000" cy="6827064"/>
                    </a:xfrm>
                    <a:prstGeom prst="rect">
                      <a:avLst/>
                    </a:prstGeom>
                    <a:noFill/>
                    <a:ln w="9525">
                      <a:noFill/>
                      <a:headEnd/>
                      <a:tailEnd/>
                    </a:ln>
                  </pic:spPr>
                </pic:pic>
              </a:graphicData>
            </a:graphic>
          </wp:inline>
        </w:drawing>
      </w:r>
    </w:p>
    <w:p>
      <w:pPr>
        <w:pStyle w:val="ImageCaption"/>
      </w:pPr>
      <w:r>
        <w:rPr>
          <w:b/>
          <w:bCs/>
        </w:rPr>
        <w:t xml:space="preserve">Figure S20.</w:t>
      </w:r>
    </w:p>
    <w:bookmarkEnd w:id="192"/>
    <w:bookmarkStart w:id="196" w:name="figure-s29-cea-figure"/>
    <w:p>
      <w:pPr>
        <w:pStyle w:val="Heading2"/>
      </w:pPr>
      <w:r>
        <w:t xml:space="preserve">Figure S29, CEA figure</w:t>
      </w:r>
    </w:p>
    <w:p>
      <w:pPr>
        <w:pStyle w:val="CaptionedFigure"/>
      </w:pPr>
      <w:r>
        <w:drawing>
          <wp:inline>
            <wp:extent cx="3990109" cy="3887798"/>
            <wp:effectExtent b="0" l="0" r="0" t="0"/>
            <wp:docPr descr="Figure S20." title="" id="194" name="Picture"/>
            <a:graphic>
              <a:graphicData uri="http://schemas.openxmlformats.org/drawingml/2006/picture">
                <pic:pic>
                  <pic:nvPicPr>
                    <pic:cNvPr descr="FigureS29.png" id="195" name="Picture"/>
                    <pic:cNvPicPr>
                      <a:picLocks noChangeArrowheads="1" noChangeAspect="1"/>
                    </pic:cNvPicPr>
                  </pic:nvPicPr>
                  <pic:blipFill>
                    <a:blip r:embed="rId193"/>
                    <a:stretch>
                      <a:fillRect/>
                    </a:stretch>
                  </pic:blipFill>
                  <pic:spPr bwMode="auto">
                    <a:xfrm>
                      <a:off x="0" y="0"/>
                      <a:ext cx="3990109" cy="3887798"/>
                    </a:xfrm>
                    <a:prstGeom prst="rect">
                      <a:avLst/>
                    </a:prstGeom>
                    <a:noFill/>
                    <a:ln w="9525">
                      <a:noFill/>
                      <a:headEnd/>
                      <a:tailEnd/>
                    </a:ln>
                  </pic:spPr>
                </pic:pic>
              </a:graphicData>
            </a:graphic>
          </wp:inline>
        </w:drawing>
      </w:r>
    </w:p>
    <w:p>
      <w:pPr>
        <w:pStyle w:val="ImageCaption"/>
      </w:pPr>
      <w:r>
        <w:rPr>
          <w:b/>
          <w:bCs/>
        </w:rPr>
        <w:t xml:space="preserve">Figure S20.</w:t>
      </w:r>
    </w:p>
    <w:bookmarkEnd w:id="196"/>
    <w:bookmarkStart w:id="197" w:name="table-s10-main-results-table"/>
    <w:p>
      <w:pPr>
        <w:pStyle w:val="Heading2"/>
      </w:pPr>
      <w:r>
        <w:t xml:space="preserve">Table S10, main results table</w:t>
      </w:r>
    </w:p>
    <w:bookmarkEnd w:id="197"/>
    <w:bookmarkStart w:id="198" w:name="table-s11-cea-results-table"/>
    <w:p>
      <w:pPr>
        <w:pStyle w:val="Heading2"/>
      </w:pPr>
      <w:r>
        <w:t xml:space="preserve">Table S11, CEA results table</w:t>
      </w:r>
    </w:p>
    <w:p>
      <w:pPr>
        <w:pStyle w:val="FirstParagraph"/>
      </w:pPr>
      <w:r>
        <w:t xml:space="preserve">#Supplement 7 Fitness Costs</w:t>
      </w:r>
    </w:p>
    <w:bookmarkEnd w:id="198"/>
    <w:bookmarkStart w:id="202" w:name="figure-s30"/>
    <w:p>
      <w:pPr>
        <w:pStyle w:val="Heading2"/>
      </w:pPr>
      <w:r>
        <w:t xml:space="preserve">Figure S30</w:t>
      </w:r>
    </w:p>
    <w:p>
      <w:pPr>
        <w:pStyle w:val="FirstParagraph"/>
      </w:pPr>
      <w:r>
        <w:drawing>
          <wp:inline>
            <wp:extent cx="5334000" cy="2000250"/>
            <wp:effectExtent b="0" l="0" r="0" t="0"/>
            <wp:docPr descr="" title="" id="200" name="Picture"/>
            <a:graphic>
              <a:graphicData uri="http://schemas.openxmlformats.org/drawingml/2006/picture">
                <pic:pic>
                  <pic:nvPicPr>
                    <pic:cNvPr descr="Analysis-and-visualization_files/figure-docx/fitnessCostsSummary0-1.png" id="201" name="Picture"/>
                    <pic:cNvPicPr>
                      <a:picLocks noChangeArrowheads="1" noChangeAspect="1"/>
                    </pic:cNvPicPr>
                  </pic:nvPicPr>
                  <pic:blipFill>
                    <a:blip r:embed="rId199"/>
                    <a:stretch>
                      <a:fillRect/>
                    </a:stretch>
                  </pic:blipFill>
                  <pic:spPr bwMode="auto">
                    <a:xfrm>
                      <a:off x="0" y="0"/>
                      <a:ext cx="5334000" cy="2000250"/>
                    </a:xfrm>
                    <a:prstGeom prst="rect">
                      <a:avLst/>
                    </a:prstGeom>
                    <a:noFill/>
                    <a:ln w="9525">
                      <a:noFill/>
                      <a:headEnd/>
                      <a:tailEnd/>
                    </a:ln>
                  </pic:spPr>
                </pic:pic>
              </a:graphicData>
            </a:graphic>
          </wp:inline>
        </w:drawing>
      </w:r>
      <w:r>
        <w:t xml:space="preserve"> </w:t>
      </w:r>
      <w:r>
        <w:t xml:space="preserve">Figure S30. Summary plot when fitness costs were 0%. Identical to figure 3 in main text.</w:t>
      </w:r>
    </w:p>
    <w:bookmarkEnd w:id="202"/>
    <w:bookmarkStart w:id="206" w:name="figure-s31"/>
    <w:p>
      <w:pPr>
        <w:pStyle w:val="Heading2"/>
      </w:pPr>
      <w:r>
        <w:t xml:space="preserve">Figure S31</w:t>
      </w:r>
    </w:p>
    <w:p>
      <w:pPr>
        <w:pStyle w:val="FirstParagraph"/>
      </w:pPr>
      <w:r>
        <w:drawing>
          <wp:inline>
            <wp:extent cx="5334000" cy="2000250"/>
            <wp:effectExtent b="0" l="0" r="0" t="0"/>
            <wp:docPr descr="" title="" id="204" name="Picture"/>
            <a:graphic>
              <a:graphicData uri="http://schemas.openxmlformats.org/drawingml/2006/picture">
                <pic:pic>
                  <pic:nvPicPr>
                    <pic:cNvPr descr="Analysis-and-visualization_files/figure-docx/fitnessCostsSummary1-1.png" id="205" name="Picture"/>
                    <pic:cNvPicPr>
                      <a:picLocks noChangeArrowheads="1" noChangeAspect="1"/>
                    </pic:cNvPicPr>
                  </pic:nvPicPr>
                  <pic:blipFill>
                    <a:blip r:embed="rId203"/>
                    <a:stretch>
                      <a:fillRect/>
                    </a:stretch>
                  </pic:blipFill>
                  <pic:spPr bwMode="auto">
                    <a:xfrm>
                      <a:off x="0" y="0"/>
                      <a:ext cx="5334000" cy="2000250"/>
                    </a:xfrm>
                    <a:prstGeom prst="rect">
                      <a:avLst/>
                    </a:prstGeom>
                    <a:noFill/>
                    <a:ln w="9525">
                      <a:noFill/>
                      <a:headEnd/>
                      <a:tailEnd/>
                    </a:ln>
                  </pic:spPr>
                </pic:pic>
              </a:graphicData>
            </a:graphic>
          </wp:inline>
        </w:drawing>
      </w:r>
      <w:r>
        <w:t xml:space="preserve"> </w:t>
      </w:r>
      <w:r>
        <w:t xml:space="preserve">Figure S31. Summary plot when fitness costs were 1% for both strain resistant to drug A and strain resistant to drug B.</w:t>
      </w:r>
    </w:p>
    <w:bookmarkEnd w:id="206"/>
    <w:bookmarkStart w:id="210" w:name="figure-s32"/>
    <w:p>
      <w:pPr>
        <w:pStyle w:val="Heading2"/>
      </w:pPr>
      <w:r>
        <w:t xml:space="preserve">Figure S32</w:t>
      </w:r>
    </w:p>
    <w:p>
      <w:pPr>
        <w:pStyle w:val="FirstParagraph"/>
      </w:pPr>
      <w:r>
        <w:drawing>
          <wp:inline>
            <wp:extent cx="5334000" cy="2000250"/>
            <wp:effectExtent b="0" l="0" r="0" t="0"/>
            <wp:docPr descr="" title="" id="208" name="Picture"/>
            <a:graphic>
              <a:graphicData uri="http://schemas.openxmlformats.org/drawingml/2006/picture">
                <pic:pic>
                  <pic:nvPicPr>
                    <pic:cNvPr descr="Analysis-and-visualization_files/figure-docx/fitnessCostsSummary2.5-1.png" id="209" name="Picture"/>
                    <pic:cNvPicPr>
                      <a:picLocks noChangeArrowheads="1" noChangeAspect="1"/>
                    </pic:cNvPicPr>
                  </pic:nvPicPr>
                  <pic:blipFill>
                    <a:blip r:embed="rId207"/>
                    <a:stretch>
                      <a:fillRect/>
                    </a:stretch>
                  </pic:blipFill>
                  <pic:spPr bwMode="auto">
                    <a:xfrm>
                      <a:off x="0" y="0"/>
                      <a:ext cx="5334000" cy="2000250"/>
                    </a:xfrm>
                    <a:prstGeom prst="rect">
                      <a:avLst/>
                    </a:prstGeom>
                    <a:noFill/>
                    <a:ln w="9525">
                      <a:noFill/>
                      <a:headEnd/>
                      <a:tailEnd/>
                    </a:ln>
                  </pic:spPr>
                </pic:pic>
              </a:graphicData>
            </a:graphic>
          </wp:inline>
        </w:drawing>
      </w:r>
      <w:r>
        <w:t xml:space="preserve"> </w:t>
      </w:r>
      <w:r>
        <w:t xml:space="preserve">Figure S32. Summary plot when fitness costs were 2.5% for both strain resistant to drug A and strain resistant to drug B.</w:t>
      </w:r>
    </w:p>
    <w:bookmarkEnd w:id="210"/>
    <w:bookmarkStart w:id="214" w:name="figure-s33"/>
    <w:p>
      <w:pPr>
        <w:pStyle w:val="Heading2"/>
      </w:pPr>
      <w:r>
        <w:t xml:space="preserve">Figure S33</w:t>
      </w:r>
    </w:p>
    <w:p>
      <w:pPr>
        <w:pStyle w:val="FirstParagraph"/>
      </w:pPr>
      <w:r>
        <w:drawing>
          <wp:inline>
            <wp:extent cx="5334000" cy="2000250"/>
            <wp:effectExtent b="0" l="0" r="0" t="0"/>
            <wp:docPr descr="" title="" id="212" name="Picture"/>
            <a:graphic>
              <a:graphicData uri="http://schemas.openxmlformats.org/drawingml/2006/picture">
                <pic:pic>
                  <pic:nvPicPr>
                    <pic:cNvPr descr="Analysis-and-visualization_files/figure-docx/fitnessCostsSummary5-1.png" id="213" name="Picture"/>
                    <pic:cNvPicPr>
                      <a:picLocks noChangeArrowheads="1" noChangeAspect="1"/>
                    </pic:cNvPicPr>
                  </pic:nvPicPr>
                  <pic:blipFill>
                    <a:blip r:embed="rId211"/>
                    <a:stretch>
                      <a:fillRect/>
                    </a:stretch>
                  </pic:blipFill>
                  <pic:spPr bwMode="auto">
                    <a:xfrm>
                      <a:off x="0" y="0"/>
                      <a:ext cx="5334000" cy="2000250"/>
                    </a:xfrm>
                    <a:prstGeom prst="rect">
                      <a:avLst/>
                    </a:prstGeom>
                    <a:noFill/>
                    <a:ln w="9525">
                      <a:noFill/>
                      <a:headEnd/>
                      <a:tailEnd/>
                    </a:ln>
                  </pic:spPr>
                </pic:pic>
              </a:graphicData>
            </a:graphic>
          </wp:inline>
        </w:drawing>
      </w:r>
      <w:r>
        <w:t xml:space="preserve"> </w:t>
      </w:r>
      <w:r>
        <w:t xml:space="preserve">Figure S33. Summary plot when fitness costs were 5% for both strain resistant to drug A and strain resistant to drug B.</w:t>
      </w:r>
    </w:p>
    <w:bookmarkEnd w:id="214"/>
    <w:bookmarkStart w:id="218" w:name="figure-s34"/>
    <w:p>
      <w:pPr>
        <w:pStyle w:val="Heading2"/>
      </w:pPr>
      <w:r>
        <w:t xml:space="preserve">Figure S34</w:t>
      </w:r>
    </w:p>
    <w:p>
      <w:pPr>
        <w:pStyle w:val="FirstParagraph"/>
      </w:pPr>
      <w:r>
        <w:drawing>
          <wp:inline>
            <wp:extent cx="5334000" cy="2000250"/>
            <wp:effectExtent b="0" l="0" r="0" t="0"/>
            <wp:docPr descr="" title="" id="216" name="Picture"/>
            <a:graphic>
              <a:graphicData uri="http://schemas.openxmlformats.org/drawingml/2006/picture">
                <pic:pic>
                  <pic:nvPicPr>
                    <pic:cNvPr descr="Analysis-and-visualization_files/figure-docx/fitnessCostsSummary10-1.png" id="217" name="Picture"/>
                    <pic:cNvPicPr>
                      <a:picLocks noChangeArrowheads="1" noChangeAspect="1"/>
                    </pic:cNvPicPr>
                  </pic:nvPicPr>
                  <pic:blipFill>
                    <a:blip r:embed="rId215"/>
                    <a:stretch>
                      <a:fillRect/>
                    </a:stretch>
                  </pic:blipFill>
                  <pic:spPr bwMode="auto">
                    <a:xfrm>
                      <a:off x="0" y="0"/>
                      <a:ext cx="5334000" cy="2000250"/>
                    </a:xfrm>
                    <a:prstGeom prst="rect">
                      <a:avLst/>
                    </a:prstGeom>
                    <a:noFill/>
                    <a:ln w="9525">
                      <a:noFill/>
                      <a:headEnd/>
                      <a:tailEnd/>
                    </a:ln>
                  </pic:spPr>
                </pic:pic>
              </a:graphicData>
            </a:graphic>
          </wp:inline>
        </w:drawing>
      </w:r>
      <w:r>
        <w:t xml:space="preserve"> </w:t>
      </w:r>
      <w:r>
        <w:t xml:space="preserve">Figure S34. Summary plot when fitness costs were 10% for both strain resistant to drug A and strain resistant to drug B.</w:t>
      </w:r>
    </w:p>
    <w:bookmarkEnd w:id="218"/>
    <w:bookmarkStart w:id="222" w:name="figure-s35"/>
    <w:p>
      <w:pPr>
        <w:pStyle w:val="Heading2"/>
      </w:pPr>
      <w:r>
        <w:t xml:space="preserve">Figure S35</w:t>
      </w:r>
    </w:p>
    <w:p>
      <w:pPr>
        <w:pStyle w:val="FirstParagraph"/>
      </w:pPr>
      <w:r>
        <w:drawing>
          <wp:inline>
            <wp:extent cx="5334000" cy="7334250"/>
            <wp:effectExtent b="0" l="0" r="0" t="0"/>
            <wp:docPr descr="" title="" id="220" name="Picture"/>
            <a:graphic>
              <a:graphicData uri="http://schemas.openxmlformats.org/drawingml/2006/picture">
                <pic:pic>
                  <pic:nvPicPr>
                    <pic:cNvPr descr="Analysis-and-visualization_files/figure-docx/fitnessCostsFigureFour0-1.png" id="221" name="Picture"/>
                    <pic:cNvPicPr>
                      <a:picLocks noChangeArrowheads="1" noChangeAspect="1"/>
                    </pic:cNvPicPr>
                  </pic:nvPicPr>
                  <pic:blipFill>
                    <a:blip r:embed="rId219"/>
                    <a:stretch>
                      <a:fillRect/>
                    </a:stretch>
                  </pic:blipFill>
                  <pic:spPr bwMode="auto">
                    <a:xfrm>
                      <a:off x="0" y="0"/>
                      <a:ext cx="5334000" cy="7334250"/>
                    </a:xfrm>
                    <a:prstGeom prst="rect">
                      <a:avLst/>
                    </a:prstGeom>
                    <a:noFill/>
                    <a:ln w="9525">
                      <a:noFill/>
                      <a:headEnd/>
                      <a:tailEnd/>
                    </a:ln>
                  </pic:spPr>
                </pic:pic>
              </a:graphicData>
            </a:graphic>
          </wp:inline>
        </w:drawing>
      </w:r>
      <w:r>
        <w:t xml:space="preserve"> </w:t>
      </w:r>
      <w:r>
        <w:t xml:space="preserve">Figure S35. Trends in incidence and resistance when fitness costs were 0%. Identical to figure 4 in main text.</w:t>
      </w:r>
    </w:p>
    <w:bookmarkEnd w:id="222"/>
    <w:bookmarkStart w:id="226" w:name="figure-s36"/>
    <w:p>
      <w:pPr>
        <w:pStyle w:val="Heading2"/>
      </w:pPr>
      <w:r>
        <w:t xml:space="preserve">Figure S36</w:t>
      </w:r>
    </w:p>
    <w:p>
      <w:pPr>
        <w:pStyle w:val="FirstParagraph"/>
      </w:pPr>
      <w:r>
        <w:drawing>
          <wp:inline>
            <wp:extent cx="5334000" cy="7334250"/>
            <wp:effectExtent b="0" l="0" r="0" t="0"/>
            <wp:docPr descr="" title="" id="224" name="Picture"/>
            <a:graphic>
              <a:graphicData uri="http://schemas.openxmlformats.org/drawingml/2006/picture">
                <pic:pic>
                  <pic:nvPicPr>
                    <pic:cNvPr descr="Analysis-and-visualization_files/figure-docx/fitnessCostsFigureFour1-1.png" id="225" name="Picture"/>
                    <pic:cNvPicPr>
                      <a:picLocks noChangeArrowheads="1" noChangeAspect="1"/>
                    </pic:cNvPicPr>
                  </pic:nvPicPr>
                  <pic:blipFill>
                    <a:blip r:embed="rId223"/>
                    <a:stretch>
                      <a:fillRect/>
                    </a:stretch>
                  </pic:blipFill>
                  <pic:spPr bwMode="auto">
                    <a:xfrm>
                      <a:off x="0" y="0"/>
                      <a:ext cx="5334000" cy="7334250"/>
                    </a:xfrm>
                    <a:prstGeom prst="rect">
                      <a:avLst/>
                    </a:prstGeom>
                    <a:noFill/>
                    <a:ln w="9525">
                      <a:noFill/>
                      <a:headEnd/>
                      <a:tailEnd/>
                    </a:ln>
                  </pic:spPr>
                </pic:pic>
              </a:graphicData>
            </a:graphic>
          </wp:inline>
        </w:drawing>
      </w:r>
      <w:r>
        <w:t xml:space="preserve"> </w:t>
      </w:r>
      <w:r>
        <w:t xml:space="preserve">Figure S36. Trends in incidence and resistance when fitness costs were 1%for both strain resistant to drug A and strain resistant to drug B.</w:t>
      </w:r>
    </w:p>
    <w:bookmarkEnd w:id="226"/>
    <w:bookmarkStart w:id="230" w:name="figure-s37"/>
    <w:p>
      <w:pPr>
        <w:pStyle w:val="Heading2"/>
      </w:pPr>
      <w:r>
        <w:t xml:space="preserve">Figure S37</w:t>
      </w:r>
    </w:p>
    <w:p>
      <w:pPr>
        <w:pStyle w:val="FirstParagraph"/>
      </w:pPr>
      <w:r>
        <w:drawing>
          <wp:inline>
            <wp:extent cx="5334000" cy="7334250"/>
            <wp:effectExtent b="0" l="0" r="0" t="0"/>
            <wp:docPr descr="" title="" id="228" name="Picture"/>
            <a:graphic>
              <a:graphicData uri="http://schemas.openxmlformats.org/drawingml/2006/picture">
                <pic:pic>
                  <pic:nvPicPr>
                    <pic:cNvPr descr="Analysis-and-visualization_files/figure-docx/fitnessCostsFigureFour2.5-1.png" id="229" name="Picture"/>
                    <pic:cNvPicPr>
                      <a:picLocks noChangeArrowheads="1" noChangeAspect="1"/>
                    </pic:cNvPicPr>
                  </pic:nvPicPr>
                  <pic:blipFill>
                    <a:blip r:embed="rId227"/>
                    <a:stretch>
                      <a:fillRect/>
                    </a:stretch>
                  </pic:blipFill>
                  <pic:spPr bwMode="auto">
                    <a:xfrm>
                      <a:off x="0" y="0"/>
                      <a:ext cx="5334000" cy="7334250"/>
                    </a:xfrm>
                    <a:prstGeom prst="rect">
                      <a:avLst/>
                    </a:prstGeom>
                    <a:noFill/>
                    <a:ln w="9525">
                      <a:noFill/>
                      <a:headEnd/>
                      <a:tailEnd/>
                    </a:ln>
                  </pic:spPr>
                </pic:pic>
              </a:graphicData>
            </a:graphic>
          </wp:inline>
        </w:drawing>
      </w:r>
      <w:r>
        <w:t xml:space="preserve"> </w:t>
      </w:r>
      <w:r>
        <w:t xml:space="preserve">Figure S37. Trends in incidence and resistance when fitness costs were 2.5% for both strain resistant to drug A and strain resistant to drug B.</w:t>
      </w:r>
    </w:p>
    <w:bookmarkEnd w:id="230"/>
    <w:bookmarkStart w:id="234" w:name="figure-s38"/>
    <w:p>
      <w:pPr>
        <w:pStyle w:val="Heading2"/>
      </w:pPr>
      <w:r>
        <w:t xml:space="preserve">Figure S38</w:t>
      </w:r>
    </w:p>
    <w:p>
      <w:pPr>
        <w:pStyle w:val="FirstParagraph"/>
      </w:pPr>
      <w:r>
        <w:drawing>
          <wp:inline>
            <wp:extent cx="5334000" cy="7334250"/>
            <wp:effectExtent b="0" l="0" r="0" t="0"/>
            <wp:docPr descr="" title="" id="232" name="Picture"/>
            <a:graphic>
              <a:graphicData uri="http://schemas.openxmlformats.org/drawingml/2006/picture">
                <pic:pic>
                  <pic:nvPicPr>
                    <pic:cNvPr descr="Analysis-and-visualization_files/figure-docx/fitnessCostsFigureFour5-1.png" id="233" name="Picture"/>
                    <pic:cNvPicPr>
                      <a:picLocks noChangeArrowheads="1" noChangeAspect="1"/>
                    </pic:cNvPicPr>
                  </pic:nvPicPr>
                  <pic:blipFill>
                    <a:blip r:embed="rId231"/>
                    <a:stretch>
                      <a:fillRect/>
                    </a:stretch>
                  </pic:blipFill>
                  <pic:spPr bwMode="auto">
                    <a:xfrm>
                      <a:off x="0" y="0"/>
                      <a:ext cx="5334000" cy="7334250"/>
                    </a:xfrm>
                    <a:prstGeom prst="rect">
                      <a:avLst/>
                    </a:prstGeom>
                    <a:noFill/>
                    <a:ln w="9525">
                      <a:noFill/>
                      <a:headEnd/>
                      <a:tailEnd/>
                    </a:ln>
                  </pic:spPr>
                </pic:pic>
              </a:graphicData>
            </a:graphic>
          </wp:inline>
        </w:drawing>
      </w:r>
      <w:r>
        <w:t xml:space="preserve"> </w:t>
      </w:r>
      <w:r>
        <w:t xml:space="preserve">Figure S38. Trends in incidence and resistance when fitness costs were 5% for both strain resistant to drug A and strain resistant to drug B.</w:t>
      </w:r>
    </w:p>
    <w:bookmarkEnd w:id="234"/>
    <w:bookmarkStart w:id="238" w:name="figure-s39"/>
    <w:p>
      <w:pPr>
        <w:pStyle w:val="Heading2"/>
      </w:pPr>
      <w:r>
        <w:t xml:space="preserve">Figure S39</w:t>
      </w:r>
    </w:p>
    <w:p>
      <w:pPr>
        <w:pStyle w:val="FirstParagraph"/>
      </w:pPr>
      <w:r>
        <w:drawing>
          <wp:inline>
            <wp:extent cx="5334000" cy="7334250"/>
            <wp:effectExtent b="0" l="0" r="0" t="0"/>
            <wp:docPr descr="" title="" id="236" name="Picture"/>
            <a:graphic>
              <a:graphicData uri="http://schemas.openxmlformats.org/drawingml/2006/picture">
                <pic:pic>
                  <pic:nvPicPr>
                    <pic:cNvPr descr="Analysis-and-visualization_files/figure-docx/fitnessCostsFigureFour10-1.png" id="237" name="Picture"/>
                    <pic:cNvPicPr>
                      <a:picLocks noChangeArrowheads="1" noChangeAspect="1"/>
                    </pic:cNvPicPr>
                  </pic:nvPicPr>
                  <pic:blipFill>
                    <a:blip r:embed="rId235"/>
                    <a:stretch>
                      <a:fillRect/>
                    </a:stretch>
                  </pic:blipFill>
                  <pic:spPr bwMode="auto">
                    <a:xfrm>
                      <a:off x="0" y="0"/>
                      <a:ext cx="5334000" cy="7334250"/>
                    </a:xfrm>
                    <a:prstGeom prst="rect">
                      <a:avLst/>
                    </a:prstGeom>
                    <a:noFill/>
                    <a:ln w="9525">
                      <a:noFill/>
                      <a:headEnd/>
                      <a:tailEnd/>
                    </a:ln>
                  </pic:spPr>
                </pic:pic>
              </a:graphicData>
            </a:graphic>
          </wp:inline>
        </w:drawing>
      </w:r>
      <w:r>
        <w:t xml:space="preserve"> </w:t>
      </w:r>
      <w:r>
        <w:t xml:space="preserve">Figure S39. Trends in incidence and resistance when fitness costs were 10% for both strain resistant to drug A and strain resistant to drug B.</w:t>
      </w:r>
    </w:p>
    <w:bookmarkEnd w:id="238"/>
    <w:bookmarkStart w:id="242" w:name="figure-s40"/>
    <w:p>
      <w:pPr>
        <w:pStyle w:val="Heading2"/>
      </w:pPr>
      <w:r>
        <w:t xml:space="preserve">Figure S40</w:t>
      </w:r>
    </w:p>
    <w:p>
      <w:pPr>
        <w:pStyle w:val="FirstParagraph"/>
      </w:pPr>
      <w:r>
        <w:drawing>
          <wp:inline>
            <wp:extent cx="5334000" cy="7334250"/>
            <wp:effectExtent b="0" l="0" r="0" t="0"/>
            <wp:docPr descr="" title="" id="240" name="Picture"/>
            <a:graphic>
              <a:graphicData uri="http://schemas.openxmlformats.org/drawingml/2006/picture">
                <pic:pic>
                  <pic:nvPicPr>
                    <pic:cNvPr descr="Analysis-and-visualization_files/figure-docx/fitnessCostsCEA-1.png" id="241" name="Picture"/>
                    <pic:cNvPicPr>
                      <a:picLocks noChangeArrowheads="1" noChangeAspect="1"/>
                    </pic:cNvPicPr>
                  </pic:nvPicPr>
                  <pic:blipFill>
                    <a:blip r:embed="rId239"/>
                    <a:stretch>
                      <a:fillRect/>
                    </a:stretch>
                  </pic:blipFill>
                  <pic:spPr bwMode="auto">
                    <a:xfrm>
                      <a:off x="0" y="0"/>
                      <a:ext cx="5334000" cy="7334250"/>
                    </a:xfrm>
                    <a:prstGeom prst="rect">
                      <a:avLst/>
                    </a:prstGeom>
                    <a:noFill/>
                    <a:ln w="9525">
                      <a:noFill/>
                      <a:headEnd/>
                      <a:tailEnd/>
                    </a:ln>
                  </pic:spPr>
                </pic:pic>
              </a:graphicData>
            </a:graphic>
          </wp:inline>
        </w:drawing>
      </w:r>
    </w:p>
    <w:p>
      <w:pPr>
        <w:pStyle w:val="BodyText"/>
      </w:pPr>
      <w:r>
        <w:t xml:space="preserve">Figure. Cost-effectiveness analysis for different levels of fitness costs for resistant strains. A and B, 0% (same as main text results). C and D, 1%. E and F, 2.5%. G and H, 10%. As resistance becomes more costly for the bacteria, and therefore resistant strains are less prevalent, the counterfactuals converge in both costs and QALYs. GISP and randomized treatment are similar in terms of cost when there is little to no resistance in the population. Given that available evidence indicates that</w:t>
      </w:r>
      <w:r>
        <w:t xml:space="preserve"> </w:t>
      </w:r>
      <w:r>
        <w:rPr>
          <w:i/>
          <w:iCs/>
        </w:rPr>
        <w:t xml:space="preserve">N gonorhoeae</w:t>
      </w:r>
      <w:r>
        <w:t xml:space="preserve"> </w:t>
      </w:r>
      <w:r>
        <w:t xml:space="preserve">has very low fitness costs, and/or might quickly evolve compensatory mechanisms to overcome fitness costs, we maintain our conclusion that GISP is preferable over alternatives.</w:t>
      </w:r>
    </w:p>
    <w:bookmarkEnd w:id="242"/>
    <w:bookmarkEnd w:id="2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172" Target="media/rId172.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7" Target="media/rId37.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34" Target="media/rId134.png" /><Relationship Type="http://schemas.openxmlformats.org/officeDocument/2006/relationships/image" Id="rId154" Target="media/rId154.png" /><Relationship Type="http://schemas.openxmlformats.org/officeDocument/2006/relationships/image" Id="rId157" Target="media/rId157.png" /><Relationship Type="http://schemas.openxmlformats.org/officeDocument/2006/relationships/image" Id="rId161" Target="media/rId161.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239" Target="media/rId239.png" /><Relationship Type="http://schemas.openxmlformats.org/officeDocument/2006/relationships/image" Id="rId219" Target="media/rId219.png" /><Relationship Type="http://schemas.openxmlformats.org/officeDocument/2006/relationships/image" Id="rId223" Target="media/rId223.png" /><Relationship Type="http://schemas.openxmlformats.org/officeDocument/2006/relationships/image" Id="rId235" Target="media/rId235.png" /><Relationship Type="http://schemas.openxmlformats.org/officeDocument/2006/relationships/image" Id="rId227" Target="media/rId227.png" /><Relationship Type="http://schemas.openxmlformats.org/officeDocument/2006/relationships/image" Id="rId231" Target="media/rId231.png" /><Relationship Type="http://schemas.openxmlformats.org/officeDocument/2006/relationships/image" Id="rId199" Target="media/rId199.png" /><Relationship Type="http://schemas.openxmlformats.org/officeDocument/2006/relationships/image" Id="rId203" Target="media/rId203.png" /><Relationship Type="http://schemas.openxmlformats.org/officeDocument/2006/relationships/image" Id="rId215" Target="media/rId215.png" /><Relationship Type="http://schemas.openxmlformats.org/officeDocument/2006/relationships/image" Id="rId207" Target="media/rId207.png" /><Relationship Type="http://schemas.openxmlformats.org/officeDocument/2006/relationships/image" Id="rId211" Target="media/rId211.png" /><Relationship Type="http://schemas.openxmlformats.org/officeDocument/2006/relationships/image" Id="rId20" Target="media/rId20.jpg" /><Relationship Type="http://schemas.openxmlformats.org/officeDocument/2006/relationships/image" Id="rId45" Target="media/rId45.jpg" /><Relationship Type="http://schemas.openxmlformats.org/officeDocument/2006/relationships/image" Id="rId140" Target="media/rId140.jpg" /><Relationship Type="http://schemas.openxmlformats.org/officeDocument/2006/relationships/image" Id="rId144" Target="media/rId144.jpg" /><Relationship Type="http://schemas.openxmlformats.org/officeDocument/2006/relationships/image" Id="rId49" Target="media/rId49.jpg" /><Relationship Type="http://schemas.openxmlformats.org/officeDocument/2006/relationships/image" Id="rId148" Target="media/rId148.jpg" /><Relationship Type="http://schemas.openxmlformats.org/officeDocument/2006/relationships/image" Id="rId177" Target="media/rId177.png" /><Relationship Type="http://schemas.openxmlformats.org/officeDocument/2006/relationships/image" Id="rId181" Target="media/rId181.png" /><Relationship Type="http://schemas.openxmlformats.org/officeDocument/2006/relationships/image" Id="rId185" Target="media/rId185.png" /><Relationship Type="http://schemas.openxmlformats.org/officeDocument/2006/relationships/image" Id="rId189" Target="media/rId189.png" /><Relationship Type="http://schemas.openxmlformats.org/officeDocument/2006/relationships/image" Id="rId193" Target="media/rId19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and visualization</dc:title>
  <dc:creator/>
  <cp:keywords/>
  <dcterms:created xsi:type="dcterms:W3CDTF">2026-05-11T01:18:55Z</dcterms:created>
  <dcterms:modified xsi:type="dcterms:W3CDTF">2026-05-11T01:18:55Z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2026-05-10</vt:lpwstr>
  </property>
  <property fmtid="{D5CDD505-2E9C-101B-9397-08002B2CF9AE}" pid="3" name="output">
    <vt:lpwstr/>
  </property>
</Properties>
</file>