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24.png" ContentType="image/png"/>
  <Override PartName="/word/media/rId28.png" ContentType="image/png"/>
  <Override PartName="/word/media/rId31.png" ContentType="image/png"/>
  <Override PartName="/word/media/rId42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and visualization</w:t>
      </w:r>
    </w:p>
    <w:p>
      <w:pPr>
        <w:pStyle w:val="Date"/>
      </w:pPr>
      <w:r>
        <w:t xml:space="preserve">2026-01-08</w:t>
      </w:r>
    </w:p>
    <w:p>
      <w:pPr>
        <w:pStyle w:val="FirstParagraph"/>
      </w:pPr>
      <w:r>
        <w:t xml:space="preserve">This is an R Markdown document for easy access to and recreation of the figures</w:t>
      </w:r>
      <w:r>
        <w:t xml:space="preserve"> </w:t>
      </w:r>
      <w:r>
        <w:t xml:space="preserve">for the manuscript</w:t>
      </w:r>
      <w:r>
        <w:t xml:space="preserve"> </w:t>
      </w:r>
      <w:r>
        <w:t xml:space="preserve">“Measuring the health benefits, costs, and cost-effectiveness of antimicrobial-resistant gonorrhea surveillance in the United States”</w:t>
      </w:r>
      <w:r>
        <w:t xml:space="preserve">, currently in revision at</w:t>
      </w:r>
      <w:r>
        <w:t xml:space="preserve"> </w:t>
      </w:r>
      <w:r>
        <w:rPr>
          <w:i/>
          <w:iCs/>
        </w:rPr>
        <w:t xml:space="preserve">Lancet Public Health Americas.</w:t>
      </w:r>
    </w:p>
    <w:bookmarkStart w:id="23" w:name="figure-1"/>
    <w:p>
      <w:pPr>
        <w:pStyle w:val="Heading1"/>
      </w:pPr>
      <w:r>
        <w:t xml:space="preserve">Figure 1</w:t>
      </w:r>
    </w:p>
    <w:p>
      <w:pPr>
        <w:pStyle w:val="CaptionedFigure"/>
      </w:pPr>
      <w:r>
        <w:drawing>
          <wp:inline>
            <wp:extent cx="5334000" cy="2456971"/>
            <wp:effectExtent b="0" l="0" r="0" t="0"/>
            <wp:docPr descr="Figure 1." title="" id="21" name="Picture"/>
            <a:graphic>
              <a:graphicData uri="http://schemas.openxmlformats.org/drawingml/2006/picture">
                <pic:pic>
                  <pic:nvPicPr>
                    <pic:cNvPr descr="Figure%20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</w:p>
    <w:bookmarkEnd w:id="23"/>
    <w:bookmarkStart w:id="27" w:name="figure-2"/>
    <w:p>
      <w:pPr>
        <w:pStyle w:val="Heading1"/>
      </w:pPr>
      <w:r>
        <w:t xml:space="preserve">Figure 2</w:t>
      </w:r>
    </w:p>
    <w:p>
      <w:pPr>
        <w:pStyle w:val="FirstParagraph"/>
      </w:pPr>
      <w:r>
        <w:drawing>
          <wp:inline>
            <wp:extent cx="5334000" cy="2000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nalysis-and-visualization_files/figure-docx/figure2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9"/>
        <w:gridCol w:w="599"/>
        <w:gridCol w:w="820"/>
        <w:gridCol w:w="599"/>
        <w:gridCol w:w="599"/>
        <w:gridCol w:w="694"/>
        <w:gridCol w:w="694"/>
        <w:gridCol w:w="473"/>
        <w:gridCol w:w="599"/>
        <w:gridCol w:w="252"/>
        <w:gridCol w:w="915"/>
        <w:gridCol w:w="4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Calibration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estimate (mean)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Posterior 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Posterior 50%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Within 95% CI?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Within 50% CI?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Absolute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Error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Z-score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Predictive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Prevalence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(3.94, 5.02)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(4.28, 4.67)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(5251.75, 7878.00)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(5883.75, 6936.75)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Proportion detected cases symptomatic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(0.65, 0.71)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(0.67, 0.69)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</w:tr>
    </w:tbl>
    <w:bookmarkEnd w:id="27"/>
    <w:bookmarkStart w:id="34" w:name="figure-3"/>
    <w:p>
      <w:pPr>
        <w:pStyle w:val="Heading1"/>
      </w:pPr>
      <w:r>
        <w:t xml:space="preserve">Figure 3</w:t>
      </w:r>
    </w:p>
    <w:p>
      <w:pPr>
        <w:pStyle w:val="FirstParagraph"/>
      </w:pPr>
      <w:r>
        <w:drawing>
          <wp:inline>
            <wp:extent cx="5334000" cy="2000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alysis-and-visualization_files/figure-docx/figure3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2000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alysis-and-visualization_files/figure-docx/figure3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figure-4"/>
    <w:p>
      <w:pPr>
        <w:pStyle w:val="Heading1"/>
      </w:pPr>
      <w:r>
        <w:t xml:space="preserve">Figure 4</w:t>
      </w:r>
    </w:p>
    <w:p>
      <w:pPr>
        <w:pStyle w:val="FirstParagraph"/>
      </w:pPr>
      <w:r>
        <w:drawing>
          <wp:inline>
            <wp:extent cx="5334000" cy="73342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alysis-and-visualization_files/figure-docx/Figure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34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73342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nalysis-and-visualization_files/figure-docx/Figure4-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34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figure-5"/>
    <w:p>
      <w:pPr>
        <w:pStyle w:val="Heading1"/>
      </w:pPr>
      <w:r>
        <w:t xml:space="preserve">Figure 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nalysis-and-visualization_files/figure-docx/figure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1475"/>
        <w:gridCol w:w="2018"/>
        <w:gridCol w:w="1475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Randomized Treatment (RT)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of Cure (TOC)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Incidence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722095.921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744986.708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759672.086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748081.591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Incidence Quantiles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415122.18, 1225184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435195.78, 1262317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443702, 1301533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435395, 1234573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28756.018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99272.8630000001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155983.158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120252.208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 Quantiles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151, 143318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111.97, 592069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156.62, 745978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98, 584297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0.604406028982691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7.68185619844353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16.1107209437809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10.6754909902712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Quantiles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0.02, 2.13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0.01, 44.99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0.03, 51.47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0.02, 44.15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Ertapenem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2817.918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668.415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508.224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Ertapenem Quantiles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0, 42129.17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0, 8805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0, 8991.25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[1] 18.28059</w:t>
      </w:r>
    </w:p>
    <w:p>
      <w:pPr>
        <w:pStyle w:val="SourceCode"/>
      </w:pPr>
      <w:r>
        <w:rPr>
          <w:rStyle w:val="VerbatimChar"/>
        </w:rPr>
        <w:t xml:space="preserve">##     2.5%    97.5% </w:t>
      </w:r>
      <w:r>
        <w:br/>
      </w:r>
      <w:r>
        <w:rPr>
          <w:rStyle w:val="VerbatimChar"/>
        </w:rPr>
        <w:t xml:space="preserve">## 14.24854 28.46493</w:t>
      </w:r>
    </w:p>
    <w:p>
      <w:pPr>
        <w:pStyle w:val="SourceCode"/>
      </w:pPr>
      <w:r>
        <w:rPr>
          <w:rStyle w:val="VerbatimChar"/>
        </w:rPr>
        <w:t xml:space="preserve">## [1] 18.68125</w:t>
      </w:r>
    </w:p>
    <w:p>
      <w:pPr>
        <w:pStyle w:val="SourceCode"/>
      </w:pPr>
      <w:r>
        <w:rPr>
          <w:rStyle w:val="VerbatimChar"/>
        </w:rPr>
        <w:t xml:space="preserve">##     2.5%    97.5% </w:t>
      </w:r>
      <w:r>
        <w:br/>
      </w:r>
      <w:r>
        <w:rPr>
          <w:rStyle w:val="VerbatimChar"/>
        </w:rPr>
        <w:t xml:space="preserve">## 14.06936 29.35861</w:t>
      </w:r>
    </w:p>
    <w:p>
      <w:pPr>
        <w:pStyle w:val="SourceCode"/>
      </w:pPr>
      <w:r>
        <w:rPr>
          <w:rStyle w:val="VerbatimChar"/>
        </w:rPr>
        <w:t xml:space="preserve">## [1] 24.30013</w:t>
      </w:r>
    </w:p>
    <w:p>
      <w:pPr>
        <w:pStyle w:val="SourceCode"/>
      </w:pPr>
      <w:r>
        <w:rPr>
          <w:rStyle w:val="VerbatimChar"/>
        </w:rPr>
        <w:t xml:space="preserve">##     2.5%    97.5% </w:t>
      </w:r>
      <w:r>
        <w:br/>
      </w:r>
      <w:r>
        <w:rPr>
          <w:rStyle w:val="VerbatimChar"/>
        </w:rPr>
        <w:t xml:space="preserve">## 17.29253 40.14487</w:t>
      </w:r>
    </w:p>
    <w:p>
      <w:pPr>
        <w:pStyle w:val="SourceCode"/>
      </w:pPr>
      <w:r>
        <w:rPr>
          <w:rStyle w:val="VerbatimChar"/>
        </w:rPr>
        <w:t xml:space="preserve">## [1] 20.87264</w:t>
      </w:r>
    </w:p>
    <w:p>
      <w:pPr>
        <w:pStyle w:val="SourceCode"/>
      </w:pPr>
      <w:r>
        <w:rPr>
          <w:rStyle w:val="VerbatimChar"/>
        </w:rPr>
        <w:t xml:space="preserve">##     2.5%    97.5% </w:t>
      </w:r>
      <w:r>
        <w:br/>
      </w:r>
      <w:r>
        <w:rPr>
          <w:rStyle w:val="VerbatimChar"/>
        </w:rPr>
        <w:t xml:space="preserve">## 15.56149 33.83249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VerbatimChar"/>
        </w:rPr>
        <w:t xml:space="preserve">##     2.5%    97.5% </w:t>
      </w:r>
      <w:r>
        <w:br/>
      </w:r>
      <w:r>
        <w:rPr>
          <w:rStyle w:val="VerbatimChar"/>
        </w:rPr>
        <w:t xml:space="preserve">## 147.9210 389.3321</w:t>
      </w:r>
    </w:p>
    <w:p>
      <w:pPr>
        <w:pStyle w:val="SourceCode"/>
      </w:pPr>
      <w:r>
        <w:rPr>
          <w:rStyle w:val="VerbatimChar"/>
        </w:rPr>
        <w:t xml:space="preserve">## [1] 230.6751</w:t>
      </w:r>
    </w:p>
    <w:p>
      <w:pPr>
        <w:pStyle w:val="SourceCode"/>
      </w:pPr>
      <w:r>
        <w:rPr>
          <w:rStyle w:val="VerbatimChar"/>
        </w:rPr>
        <w:t xml:space="preserve">##     2.5%    97.5% </w:t>
      </w:r>
      <w:r>
        <w:br/>
      </w:r>
      <w:r>
        <w:rPr>
          <w:rStyle w:val="VerbatimChar"/>
        </w:rPr>
        <w:t xml:space="preserve">## 147.1901 400.7693</w:t>
      </w:r>
    </w:p>
    <w:p>
      <w:pPr>
        <w:pStyle w:val="SourceCode"/>
      </w:pPr>
      <w:r>
        <w:rPr>
          <w:rStyle w:val="VerbatimChar"/>
        </w:rPr>
        <w:t xml:space="preserve">## [1] 240.8352</w:t>
      </w:r>
    </w:p>
    <w:p>
      <w:pPr>
        <w:pStyle w:val="SourceCode"/>
      </w:pPr>
      <w:r>
        <w:rPr>
          <w:rStyle w:val="VerbatimChar"/>
        </w:rPr>
        <w:t xml:space="preserve">##     2.5%    97.5% </w:t>
      </w:r>
      <w:r>
        <w:br/>
      </w:r>
      <w:r>
        <w:rPr>
          <w:rStyle w:val="VerbatimChar"/>
        </w:rPr>
        <w:t xml:space="preserve">## 148.6698 385.5724</w:t>
      </w:r>
    </w:p>
    <w:p>
      <w:pPr>
        <w:pStyle w:val="SourceCode"/>
      </w:pPr>
      <w:r>
        <w:rPr>
          <w:rStyle w:val="VerbatimChar"/>
        </w:rPr>
        <w:t xml:space="preserve">## [1] 229.4356</w:t>
      </w:r>
    </w:p>
    <w:p>
      <w:pPr>
        <w:pStyle w:val="SourceCode"/>
      </w:pPr>
      <w:r>
        <w:rPr>
          <w:rStyle w:val="VerbatimChar"/>
        </w:rPr>
        <w:t xml:space="preserve">##     2.5%    97.5% </w:t>
      </w:r>
      <w:r>
        <w:br/>
      </w:r>
      <w:r>
        <w:rPr>
          <w:rStyle w:val="VerbatimChar"/>
        </w:rPr>
        <w:t xml:space="preserve">## 145.0009 367.7745</w:t>
      </w:r>
    </w:p>
    <w:p>
      <w:pPr>
        <w:pStyle w:val="FirstParagraph"/>
      </w:pPr>
      <w:r>
        <w:t xml:space="preserve">Supplement</w:t>
      </w:r>
    </w:p>
    <w:p>
      <w:pPr>
        <w:pStyle w:val="BodyText"/>
      </w:pPr>
      <w:r>
        <w:t xml:space="preserve">Validation: results of the partial-rank correlation coefficient (PRCC) analysis</w:t>
      </w:r>
    </w:p>
    <w:p>
      <w:pPr>
        <w:pStyle w:val="TableCaption"/>
      </w:pPr>
      <w:r>
        <w:t xml:space="preserve">Prevalence PRCC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evalence PRCC"/>
      </w:tblPr>
      <w:tblGrid>
        <w:gridCol w:w="244"/>
        <w:gridCol w:w="2531"/>
        <w:gridCol w:w="898"/>
        <w:gridCol w:w="898"/>
        <w:gridCol w:w="898"/>
        <w:gridCol w:w="1224"/>
        <w:gridCol w:w="408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test.statistic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PercentResistantA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0.2535614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0.1979813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0.3091416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8.9508162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activityGroupTransmissionRatio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0.2033518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0.1470944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0.2596091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7.0919823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propHighActivity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0.1808790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0.1243689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0.2373892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6.2800159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Assortativity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-0.1348897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-0.1918225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-0.0779569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-4.6485276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NaturalRecoveryTime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0.1029694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0.0458169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0.1601219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3.5348604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activityGroupTransferProp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-0.0912771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-0.1484952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-0.0340591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-3.1298827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0.0017922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ProbSymptomaticMSM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-0.0843176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-0.1415709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-0.0270643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-2.8894620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0.0039304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DelayToRetreatmentMSM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0.0265129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2.8705219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0.0651600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0.1224958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2.2297413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DelayToSeekCareMSM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0.0604411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0.0030882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0.1177940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2.0676474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0.0388934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ImportingBInterval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-0.0601478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-0.1175017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-0.0027939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-2.0575770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0.0398527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DrugBTreatmentCost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0.0556475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-0.0017214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0.1130164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1.9031292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0.0572698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DrugETreatmentCost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-0.0536052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-0.1109805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-1.8330794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0.0670456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StrainTestCost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0.0520410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-0.0053390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0.1094211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1.7794433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0.0754275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0.0450640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-0.0123356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0.1024635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1.5403523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0.1237458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DrugXTreatmentCost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0.0384264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-0.0189891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0.0958419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1.3131069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0.1894053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DrugATreatmentCost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0.0821365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0.8435494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0.3990942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DSTspecificity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-0.0234547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-0.0808968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0.0339874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-0.8011231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0.4232236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BeginImportingB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0.0226664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-0.0347768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0.7741820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0.4389801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-0.0194631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-0.0769101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0.0379840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-0.6647266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0.5063568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-0.0185374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-0.0759855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0.0389106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-0.6331022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0.5267910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ScreenIntervalMSM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-0.0174241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-0.0748733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0.0400251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-0.5950655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0.5519152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InitialInfected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-0.0125112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-0.0699647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0.0449422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-0.4272516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0.6692749</w:t>
            </w:r>
          </w:p>
        </w:tc>
      </w:tr>
    </w:tbl>
    <w:p/>
    <w:p>
      <w:pPr>
        <w:pStyle w:val="TableCaption"/>
      </w:pPr>
      <w:r>
        <w:t xml:space="preserve">Incidence PRCC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cidence PRCC"/>
      </w:tblPr>
      <w:tblGrid>
        <w:gridCol w:w="244"/>
        <w:gridCol w:w="2531"/>
        <w:gridCol w:w="898"/>
        <w:gridCol w:w="898"/>
        <w:gridCol w:w="898"/>
        <w:gridCol w:w="1224"/>
        <w:gridCol w:w="408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test.statistic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PercentResistantA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0.2296460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0.1737237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0.2855683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8.0569937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activityGroupTransmissionRatio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0.2154684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0.1593601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0.2715767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7.5345234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activityGroupTransferProp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-0.2018606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-0.2581357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-0.1455855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-7.0377588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0.1835534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0.2400351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6.3760834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ScreenIntervalMSM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-0.1817040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-0.2382054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-0.1252025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-6.3096326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ProbSymptomaticMSM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-0.1523458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-0.2091330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-0.0955586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-5.2635537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Assortativity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0.1377399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0.0808296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0.1946501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4.7486290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propHighActivity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0.1184966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0.0614435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0.1755496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4.0749817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0.0000491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DelayToRetreatmentMSM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0.0807836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0.1380538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2.7675433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0.0057374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NaturalRecoveryTime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-0.0793179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-0.1365948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-0.0220410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-2.7170091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ImportingBInterval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-0.0713769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-0.1286882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-0.0140655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-2.4435196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DelayToSeekCareMSM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0.0663483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0.1236796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2.2705809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DrugETreatmentCost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-0.0576198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-0.1149823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-0.0002574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-1.9708038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0.0489826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StrainTestCost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0.0522913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0.1096706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1.7880221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0.0740320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InitialInfected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-0.0516667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-0.1090479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0.0057145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-1.7666098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0.0775552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0.0369661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-0.0204526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0.0943847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1.2631336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0.2067937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DrugBTreatmentCost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0.0304292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-0.0270021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0.0878605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1.0395398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0.2987693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-0.0246001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-0.0820406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0.0328405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-0.8402667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0.4009311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DrugXTreatmentCost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-0.0145497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-0.0720016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0.0429021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-0.4968783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0.6193685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DSTspecificity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-0.0137254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-0.0711779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0.0437271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-0.4687233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0.6393551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-0.0469336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0.0679759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0.3592831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0.7194484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DrugATreatmentCost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0.0060372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-0.0514196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0.2061558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0.8367052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BeginImportingB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-0.0038647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-0.0613222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0.0535928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-0.1319686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0.8950319</w:t>
            </w:r>
          </w:p>
        </w:tc>
      </w:tr>
    </w:tbl>
    <w:p/>
    <w:p>
      <w:pPr>
        <w:pStyle w:val="TableCaption"/>
      </w:pPr>
      <w:r>
        <w:t xml:space="preserve">Symptomatic Proportion PRCC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ymptomatic Proportion PRCC"/>
      </w:tblPr>
      <w:tblGrid>
        <w:gridCol w:w="244"/>
        <w:gridCol w:w="2531"/>
        <w:gridCol w:w="898"/>
        <w:gridCol w:w="898"/>
        <w:gridCol w:w="898"/>
        <w:gridCol w:w="1224"/>
        <w:gridCol w:w="408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test.statistic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DelayToSeekCareMSM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0.5846784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0.5380648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0.6312920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24.6095407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ProbSymptomaticMSM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0.3045867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0.2498589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0.3593145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10.9194862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PercentResistantA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0.2229015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0.1668891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7.8077954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ImportingBInterval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-0.1544772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-0.2112454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-0.0977090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-5.3389799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DelayToRetreatmentMSM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0.1505846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0.0937819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0.2073874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5.2012842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activityGroupTransmissionRatio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0.1314284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0.0744689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0.1883879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4.5271222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ScreenIntervalMSM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-0.1241793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-0.1811925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-0.0671661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-4.2733950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0.1095215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0.0524092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0.1666338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3.7624349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Assortativity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0.1040184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0.0468722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0.1611646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3.5712622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0.0003697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NaturalRecoveryTime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-0.1020879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-0.1592456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-0.0449301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-3.5042766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-0.0946308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-0.1518309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-0.0374307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-3.2458996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0.0630594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0.0057158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0.1204029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2.1575667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0.0311653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activityGroupTransferProp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-0.0525981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-0.1099765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0.0047803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-1.7985425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0.0723496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DrugBTreatmentCost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0.0398068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0.0972192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1.3603520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0.1739815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BeginImportingB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0.0372399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-0.0201782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0.0946580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1.2725041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0.2034478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DrugATreatmentCost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-0.0371133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-0.0945317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0.0203050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-1.2681731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0.2049893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InitialInfected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-0.0348305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-0.0922536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0.0225925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-1.1900716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0.2342605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DrugXTreatmentCost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-0.0318961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-0.0893248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0.0255326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-1.0897025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0.2760694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StrainTestCost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0.0247802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-0.0326601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0.8464214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0.3974914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DrugETreatmentCost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-0.0174700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-0.0749192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0.0399791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-0.5966362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0.5508661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propHighActivity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-0.0138701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-0.0713225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0.0435823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-0.4736653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0.6358273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DSTspecificity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-0.0707089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0.0441968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-0.4526907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0.6508557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-0.0102659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-0.0677208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-0.3505662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0.7259772</w:t>
            </w:r>
          </w:p>
        </w:tc>
      </w:tr>
    </w:tbl>
    <w:p/>
    <w:p>
      <w:pPr>
        <w:pStyle w:val="TableCaption"/>
      </w:pPr>
      <w:r>
        <w:t xml:space="preserve">Costs PRCC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sts PRCC"/>
      </w:tblPr>
      <w:tblGrid>
        <w:gridCol w:w="244"/>
        <w:gridCol w:w="2531"/>
        <w:gridCol w:w="898"/>
        <w:gridCol w:w="898"/>
        <w:gridCol w:w="898"/>
        <w:gridCol w:w="1224"/>
        <w:gridCol w:w="408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test.statistic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PercentResistantA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0.2198044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0.2758571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7.6937614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activityGroupTransmissionRatio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0.1753205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0.1187525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0.2318884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6.0808059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ScreenIntervalMSM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-0.1574026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-0.2141443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-0.1006610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-5.4426322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activityGroupTransferProp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-0.1478093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-0.2046361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-0.0909825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-5.1032614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0.1238503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0.1808658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4.2618966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0.1238213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0.1808370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4.2608827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propHighActivity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0.1132104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0.0561219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0.1702989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3.8907806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0.0001056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ImportingBInterval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-0.0680948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-0.1254194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-0.0107703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-2.3306264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ProbSymptomaticMSM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0.0617498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0.1190981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2.1125871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0.0348482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StrainTestCost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0.0521692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-0.0052105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0.1095488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1.7838361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0.0747103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DrugETreatmentCost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-0.0368407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-0.0942596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0.0205782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-1.2588454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0.2083382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-0.0240695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-0.0815107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0.0333718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-0.8221319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0.4111699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DelayToRetreatmentMSM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0.0240356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0.0814769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0.8209742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0.4118288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Assortativity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-0.0364238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0.0784666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0.7179715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0.4729187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DSTspecificity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-0.0200762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-0.0775225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-0.6856749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0.4930544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DrugBTreatmentCost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0.0193749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-0.0380722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0.0768220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0.5082850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BeginImportingB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0.0181673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-0.0392811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0.0756157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0.6204561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0.5350788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InitialInfected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-0.0750949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0.0398031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-0.6026440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0.5468627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NaturalRecoveryTime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-0.0419704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0.0729316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0.5971315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DrugATreatmentCost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-0.0481006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0.3194515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0.7494414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DrugXTreatmentCost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-0.0510817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0.8277087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DelayToSeekCareMSM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0.0052532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-0.0522040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0.0627103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0.1793808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0.8576699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-0.0529204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0.1549226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0.8769092</w:t>
            </w:r>
          </w:p>
        </w:tc>
      </w:tr>
    </w:tbl>
    <w:p/>
    <w:p>
      <w:pPr>
        <w:pStyle w:val="TableCaption"/>
      </w:pPr>
      <w:r>
        <w:t xml:space="preserve">QALYs PRCC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ALYs PRCC"/>
      </w:tblPr>
      <w:tblGrid>
        <w:gridCol w:w="244"/>
        <w:gridCol w:w="2531"/>
        <w:gridCol w:w="898"/>
        <w:gridCol w:w="898"/>
        <w:gridCol w:w="898"/>
        <w:gridCol w:w="1224"/>
        <w:gridCol w:w="408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test.statistic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DelayToSeekCareMSM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0.4699680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0.5681896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20.7374556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PercentResistantA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0.2542642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0.1986946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0.3098337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8.9773342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activityGroupTransmissionRatio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0.1947824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0.1384250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0.2511398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6.7810654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ProbSymptomaticMSM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0.1823259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0.1258311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0.2388207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6.3319715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activityGroupTransferProp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-0.1667266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-0.2233803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-0.1100730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-5.7739893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0.1530299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0.0962487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0.2098110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5.2877524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propHighActivity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0.1303775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0.1873450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4.4902948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ScreenIntervalMSM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-0.1104149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-0.1675215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-0.0533083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-3.7935033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0.0001562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ImportingBInterval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-0.1574783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-0.0431421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-3.4426318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DelayToRetreatmentMSM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0.0953444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0.0381482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0.1525406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3.2706005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StrainTestCost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0.0660775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0.0087452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0.1234098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2.2612731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0.0239260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DrugETreatmentCost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-0.0637800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-0.1211209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-2.1823222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0.0292848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-0.0586369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-0.1159960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-2.0057115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0.0451177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0.0570996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-0.0002646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0.1144638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1.9529510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0.0510644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Assortativity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0.0459118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-0.0114856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0.1033091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1.5693921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0.1168279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DrugBTreatmentCost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0.0406167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-0.0167938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1.3880720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0.1653803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-0.0326525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-0.0900797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-1.1155704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0.2648359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DSTspecificity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-0.0315958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-0.0890250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-1.0794332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0.2806179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DrugATreatmentCost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-0.0278146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-0.0852502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0.0296211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-0.9501439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0.3422360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InitialInfected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-0.0761250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0.0387708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-0.6378728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0.5236817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BeginImportingB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-0.0404802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0.0744191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0.5795359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0.5623396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NaturalRecoveryTime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-0.0684819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0.0464269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-0.3765762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0.7065571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DrugXTreatmentCost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0.0665286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0.3098285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0.7567468</w:t>
            </w:r>
          </w:p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42" Target="media/rId42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and visualization</dc:title>
  <dc:creator/>
  <cp:keywords/>
  <dcterms:created xsi:type="dcterms:W3CDTF">2026-01-09T19:05:55Z</dcterms:created>
  <dcterms:modified xsi:type="dcterms:W3CDTF">2026-01-09T19:05:55Z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2026-01-08</vt:lpwstr>
  </property>
  <property fmtid="{D5CDD505-2E9C-101B-9397-08002B2CF9AE}" pid="3" name="output">
    <vt:lpwstr/>
  </property>
</Properties>
</file>