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26.png" ContentType="image/png"/>
  <Override PartName="/word/media/rId71.png" ContentType="image/png"/>
  <Override PartName="/word/media/rId29.png" ContentType="image/png"/>
  <Override PartName="/word/media/rId32.png" ContentType="image/png"/>
  <Override PartName="/word/media/rId35.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Figures</w:t>
      </w:r>
      <w:r>
        <w:t xml:space="preserve"> </w:t>
      </w:r>
      <w:r>
        <w:t xml:space="preserve">for</w:t>
      </w:r>
      <w:r>
        <w:t xml:space="preserve"> </w:t>
      </w:r>
      <w:r>
        <w:t xml:space="preserve">Ekanayake-Weber</w:t>
      </w:r>
      <w:r>
        <w:t xml:space="preserve"> </w:t>
      </w:r>
      <w:r>
        <w:t xml:space="preserve">et</w:t>
      </w:r>
      <w:r>
        <w:t xml:space="preserve"> </w:t>
      </w:r>
      <w:r>
        <w:t xml:space="preserve">al. 2026</w:t>
      </w:r>
    </w:p>
    <w:p>
      <w:pPr>
        <w:pStyle w:val="Date"/>
      </w:pPr>
      <w:r>
        <w:t xml:space="preserve">2025-12-12</w:t>
      </w:r>
    </w:p>
    <w:p>
      <w:pPr>
        <w:pStyle w:val="FirstParagraph"/>
      </w:pPr>
      <w:r>
        <w:t xml:space="preserve">This is an R Markdown document for easy access to and recreation of the figures</w:t>
      </w:r>
      <w:r>
        <w:t xml:space="preserve"> </w:t>
      </w:r>
      <w:r>
        <w:t xml:space="preserve">for the manuscript</w:t>
      </w:r>
      <w:r>
        <w:t xml:space="preserve"> </w:t>
      </w:r>
      <w:r>
        <w:t xml:space="preserve">“</w:t>
      </w:r>
      <w:r>
        <w:t xml:space="preserve">More Mouths to Feed?</w:t>
      </w:r>
      <w:r>
        <w:t xml:space="preserve">”</w:t>
      </w:r>
      <w:r>
        <w:t xml:space="preserve">, which is in prep for submission</w:t>
      </w:r>
      <w:r>
        <w:t xml:space="preserve"> </w:t>
      </w:r>
      <w:r>
        <w:t xml:space="preserve">to the journal PNAS.</w:t>
      </w:r>
    </w:p>
    <w:p>
      <w:pPr>
        <w:pStyle w:val="BodyText"/>
      </w:pPr>
      <w:r>
        <w:t xml:space="preserve">There is first a setup chunk which loads the appropriate packages and data.</w:t>
      </w:r>
    </w:p>
    <w:bookmarkStart w:id="38" w:name="main-text-tables-and-figures"/>
    <w:p>
      <w:pPr>
        <w:pStyle w:val="Heading1"/>
      </w:pPr>
      <w:r>
        <w:t xml:space="preserve">Main Text Tables and Figures</w:t>
      </w:r>
    </w:p>
    <w:p>
      <w:pPr>
        <w:pStyle w:val="FirstParagraph"/>
      </w:pPr>
      <w:r>
        <w:rPr>
          <w:b/>
          <w:bCs/>
        </w:rPr>
        <w:t xml:space="preserve">Table 1.</w:t>
      </w:r>
      <w:r>
        <w:t xml:space="preserve"> </w:t>
      </w:r>
      <w:r>
        <w:t xml:space="preserve">Most influential parameters, parameter ranges, and parameter values when held constant.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Variable Name in NetLogo</w:t>
            </w:r>
          </w:p>
        </w:tc>
        <w:tc>
          <w:tcPr/>
          <w:p>
            <w:pPr>
              <w:pStyle w:val="Compact"/>
              <w:jc w:val="left"/>
            </w:pPr>
            <w:r>
              <w:t xml:space="preserve">Range for Global Sensitivity Analysis</w:t>
            </w:r>
          </w:p>
        </w:tc>
        <w:tc>
          <w:tcPr/>
          <w:p>
            <w:pPr>
              <w:pStyle w:val="Compact"/>
              <w:jc w:val="left"/>
            </w:pPr>
            <w:r>
              <w:t xml:space="preserve">Setting(s) for experiment to address H2</w:t>
            </w:r>
          </w:p>
        </w:tc>
        <w:tc>
          <w:tcPr/>
          <w:p>
            <w:pPr>
              <w:pStyle w:val="Compact"/>
              <w:jc w:val="left"/>
            </w:pPr>
            <w:r>
              <w:t xml:space="preserve">Setting(s) for experiment to address H3</w:t>
            </w:r>
          </w:p>
        </w:tc>
      </w:tr>
      <w:tr>
        <w:tc>
          <w:tcPr/>
          <w:p>
            <w:pPr>
              <w:pStyle w:val="Compact"/>
              <w:jc w:val="left"/>
            </w:pPr>
            <w:r>
              <w:t xml:space="preserve">Clump size</w:t>
            </w:r>
          </w:p>
        </w:tc>
        <w:tc>
          <w:tcPr/>
          <w:p>
            <w:pPr>
              <w:pStyle w:val="Compact"/>
              <w:jc w:val="left"/>
            </w:pPr>
            <w:r>
              <w:t xml:space="preserve">clump-size</w:t>
            </w:r>
          </w:p>
        </w:tc>
        <w:tc>
          <w:tcPr/>
          <w:p>
            <w:pPr>
              <w:pStyle w:val="Compact"/>
              <w:jc w:val="left"/>
            </w:pPr>
            <w:r>
              <w:t xml:space="preserve">1-500</w:t>
            </w:r>
          </w:p>
        </w:tc>
        <w:tc>
          <w:tcPr/>
          <w:p>
            <w:pPr>
              <w:pStyle w:val="Compact"/>
              <w:jc w:val="left"/>
            </w:pPr>
            <w:r>
              <w:t xml:space="preserve">1, 63, 126, 251, 376, 501</w:t>
            </w:r>
          </w:p>
        </w:tc>
        <w:tc>
          <w:tcPr/>
          <w:p>
            <w:pPr>
              <w:pStyle w:val="Compact"/>
              <w:jc w:val="left"/>
            </w:pPr>
            <w:r>
              <w:t xml:space="preserve">250</w:t>
            </w:r>
          </w:p>
        </w:tc>
      </w:tr>
      <w:tr>
        <w:tc>
          <w:tcPr/>
          <w:p>
            <w:pPr>
              <w:pStyle w:val="Compact"/>
              <w:jc w:val="left"/>
            </w:pPr>
            <w:r>
              <w:t xml:space="preserve">Abundance</w:t>
            </w:r>
          </w:p>
        </w:tc>
        <w:tc>
          <w:tcPr/>
          <w:p>
            <w:pPr>
              <w:pStyle w:val="Compact"/>
              <w:jc w:val="left"/>
            </w:pPr>
            <w:r>
              <w:t xml:space="preserve">abundance</w:t>
            </w:r>
          </w:p>
        </w:tc>
        <w:tc>
          <w:tcPr/>
          <w:p>
            <w:pPr>
              <w:pStyle w:val="Compact"/>
              <w:jc w:val="left"/>
            </w:pPr>
            <w:r>
              <w:t xml:space="preserve">200,000 - 1,200,000</w:t>
            </w:r>
          </w:p>
        </w:tc>
        <w:tc>
          <w:tcPr/>
          <w:p>
            <w:pPr>
              <w:pStyle w:val="Compact"/>
              <w:jc w:val="left"/>
            </w:pPr>
            <w:r>
              <w:t xml:space="preserve">200,000 to 1,200,000 in steps of 225,000</w:t>
            </w:r>
          </w:p>
        </w:tc>
        <w:tc>
          <w:tcPr/>
          <w:p>
            <w:pPr>
              <w:pStyle w:val="Compact"/>
              <w:jc w:val="left"/>
            </w:pPr>
            <w:r>
              <w:t xml:space="preserve">600,000</w:t>
            </w:r>
          </w:p>
        </w:tc>
      </w:tr>
      <w:tr>
        <w:tc>
          <w:tcPr/>
          <w:p>
            <w:pPr>
              <w:pStyle w:val="Compact"/>
              <w:jc w:val="left"/>
            </w:pPr>
            <w:r>
              <w:t xml:space="preserve">Energy per capita</w:t>
            </w:r>
          </w:p>
        </w:tc>
        <w:tc>
          <w:tcPr/>
          <w:p>
            <w:pPr>
              <w:pStyle w:val="Compact"/>
              <w:jc w:val="left"/>
            </w:pPr>
            <w:r>
              <w:t xml:space="preserve">energy-per-capita</w:t>
            </w:r>
          </w:p>
        </w:tc>
        <w:tc>
          <w:tcPr/>
          <w:p>
            <w:pPr>
              <w:pStyle w:val="Compact"/>
              <w:jc w:val="left"/>
            </w:pPr>
            <w:r>
              <w:t xml:space="preserve">4,000 - 9,000</w:t>
            </w:r>
          </w:p>
        </w:tc>
        <w:tc>
          <w:tcPr/>
          <w:p>
            <w:pPr>
              <w:pStyle w:val="Compact"/>
              <w:jc w:val="left"/>
            </w:pPr>
            <w:r>
              <w:t xml:space="preserve">4,000 to 9,000 in steps of 1250</w:t>
            </w:r>
          </w:p>
        </w:tc>
        <w:tc>
          <w:tcPr/>
          <w:p>
            <w:pPr>
              <w:pStyle w:val="Compact"/>
              <w:jc w:val="left"/>
            </w:pPr>
            <w:r>
              <w:t xml:space="preserve">6,500</w:t>
            </w:r>
          </w:p>
        </w:tc>
      </w:tr>
      <w:tr>
        <w:tc>
          <w:tcPr/>
          <w:p>
            <w:pPr>
              <w:pStyle w:val="Compact"/>
              <w:jc w:val="left"/>
            </w:pPr>
            <w:r>
              <w:t xml:space="preserve">Patch regrowth interval</w:t>
            </w:r>
          </w:p>
        </w:tc>
        <w:tc>
          <w:tcPr/>
          <w:p>
            <w:pPr>
              <w:pStyle w:val="Compact"/>
              <w:jc w:val="left"/>
            </w:pPr>
            <w:r>
              <w:t xml:space="preserve">patch-regrowth-interval</w:t>
            </w:r>
          </w:p>
        </w:tc>
        <w:tc>
          <w:tcPr/>
          <w:p>
            <w:pPr>
              <w:pStyle w:val="Compact"/>
              <w:jc w:val="left"/>
            </w:pPr>
            <w:r>
              <w:t xml:space="preserve">500 - 2500</w:t>
            </w:r>
          </w:p>
        </w:tc>
        <w:tc>
          <w:tcPr/>
          <w:p>
            <w:pPr>
              <w:pStyle w:val="Compact"/>
              <w:jc w:val="left"/>
            </w:pPr>
            <w:r>
              <w:t xml:space="preserve">1000</w:t>
            </w:r>
          </w:p>
        </w:tc>
        <w:tc>
          <w:tcPr/>
          <w:p>
            <w:pPr>
              <w:pStyle w:val="Compact"/>
              <w:jc w:val="left"/>
            </w:pPr>
            <w:r>
              <w:t xml:space="preserve">1000</w:t>
            </w:r>
          </w:p>
        </w:tc>
      </w:tr>
      <w:tr>
        <w:tc>
          <w:tcPr/>
          <w:p>
            <w:pPr>
              <w:pStyle w:val="Compact"/>
              <w:jc w:val="left"/>
            </w:pPr>
            <w:r>
              <w:t xml:space="preserve">Extraction rate mean</w:t>
            </w:r>
          </w:p>
        </w:tc>
        <w:tc>
          <w:tcPr/>
          <w:p>
            <w:pPr>
              <w:pStyle w:val="Compact"/>
              <w:jc w:val="left"/>
            </w:pPr>
            <w:r>
              <w:t xml:space="preserve">extraction-rate-mean</w:t>
            </w:r>
          </w:p>
        </w:tc>
        <w:tc>
          <w:tcPr/>
          <w:p>
            <w:pPr>
              <w:pStyle w:val="Compact"/>
              <w:jc w:val="left"/>
            </w:pPr>
            <w:r>
              <w:t xml:space="preserve">2 - 8</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Target distance</w:t>
            </w:r>
          </w:p>
        </w:tc>
        <w:tc>
          <w:tcPr/>
          <w:p>
            <w:pPr>
              <w:pStyle w:val="Compact"/>
              <w:jc w:val="left"/>
            </w:pPr>
            <w:r>
              <w:t xml:space="preserve">tgt-dist</w:t>
            </w:r>
          </w:p>
        </w:tc>
        <w:tc>
          <w:tcPr/>
          <w:p>
            <w:pPr>
              <w:pStyle w:val="Compact"/>
              <w:jc w:val="left"/>
            </w:pPr>
            <w:r>
              <w:t xml:space="preserve">1 - 40</w:t>
            </w:r>
          </w:p>
        </w:tc>
        <w:tc>
          <w:tcPr/>
          <w:p>
            <w:pPr>
              <w:pStyle w:val="Compact"/>
              <w:jc w:val="left"/>
            </w:pPr>
            <w:r>
              <w:t xml:space="preserve">1, 11, 21, 31, 41</w:t>
            </w:r>
          </w:p>
        </w:tc>
        <w:tc>
          <w:tcPr/>
          <w:p>
            <w:pPr>
              <w:pStyle w:val="Compact"/>
              <w:jc w:val="left"/>
            </w:pPr>
            <w:r>
              <w:t xml:space="preserve">1 to 41 in steps of 4</w:t>
            </w:r>
          </w:p>
        </w:tc>
      </w:tr>
      <w:tr>
        <w:tc>
          <w:tcPr/>
          <w:p>
            <w:pPr>
              <w:pStyle w:val="Compact"/>
              <w:jc w:val="left"/>
            </w:pPr>
            <w:r>
              <w:t xml:space="preserve">Target neighbors</w:t>
            </w:r>
          </w:p>
        </w:tc>
        <w:tc>
          <w:tcPr/>
          <w:p>
            <w:pPr>
              <w:pStyle w:val="Compact"/>
              <w:jc w:val="left"/>
            </w:pPr>
            <w:r>
              <w:t xml:space="preserve">tgt-neighbors</w:t>
            </w:r>
          </w:p>
        </w:tc>
        <w:tc>
          <w:tcPr/>
          <w:p>
            <w:pPr>
              <w:pStyle w:val="Compact"/>
              <w:jc w:val="left"/>
            </w:pPr>
            <w:r>
              <w:t xml:space="preserve">3 - 11</w:t>
            </w:r>
          </w:p>
        </w:tc>
        <w:tc>
          <w:tcPr/>
          <w:p>
            <w:pPr>
              <w:pStyle w:val="Compact"/>
              <w:jc w:val="left"/>
            </w:pPr>
            <w:r>
              <w:t xml:space="preserve">3, 5, 7, 9, 11</w:t>
            </w:r>
          </w:p>
        </w:tc>
        <w:tc>
          <w:tcPr/>
          <w:p>
            <w:pPr>
              <w:pStyle w:val="Compact"/>
              <w:jc w:val="left"/>
            </w:pPr>
            <w:r>
              <w:t xml:space="preserve">3 - 11</w:t>
            </w:r>
          </w:p>
        </w:tc>
      </w:tr>
    </w:tbl>
    <w:p>
      <w:r>
        <w:pict>
          <v:rect style="width:0;height:1.5pt" o:hralign="center" o:hrstd="t" o:hr="t"/>
        </w:pict>
      </w:r>
    </w:p>
    <w:p>
      <w:pPr>
        <w:pStyle w:val="CaptionedFigure"/>
      </w:pPr>
      <w:r>
        <w:drawing>
          <wp:inline>
            <wp:extent cx="5240054" cy="4538597"/>
            <wp:effectExtent b="0" l="0" r="0" t="0"/>
            <wp:docPr descr="Figure 1. Illustration of the two major categories of food resource characteristics, availability (left) and distribution (right). For demonstration of each parameterized characteristic, all other resource parameters are held constant. For example, when increasing patch quality (lower right), the same amount of calories are available on the landscape, but concentrated in fewer resource patches. Rather than controlling resources directly, energy per capita (EpC, lower left) determines the size of the agent population relative to the amount of calories on the landscape." title="" id="21" name="Picture"/>
            <a:graphic>
              <a:graphicData uri="http://schemas.openxmlformats.org/drawingml/2006/picture">
                <pic:pic>
                  <pic:nvPicPr>
                    <pic:cNvPr descr="images/Figure1.png" id="22" name="Picture"/>
                    <pic:cNvPicPr>
                      <a:picLocks noChangeArrowheads="1" noChangeAspect="1"/>
                    </pic:cNvPicPr>
                  </pic:nvPicPr>
                  <pic:blipFill>
                    <a:blip r:embed="rId20"/>
                    <a:stretch>
                      <a:fillRect/>
                    </a:stretch>
                  </pic:blipFill>
                  <pic:spPr bwMode="auto">
                    <a:xfrm>
                      <a:off x="0" y="0"/>
                      <a:ext cx="5240054" cy="45385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Illustration of the two major categories of food resource characteristics, availability (left) and distribution (right). For demonstration of each parameterized characteristic, all other resource parameters are held constant. For example, when increasing patch quality (lower right), the same amount of calories are available on the landscape, but concentrated in fewer resource patches. Rather than controlling resources directly, energy per capita (EpC, lower left) determines the size of the agent population relative to the amount of calories on the landscape.</w:t>
      </w:r>
    </w:p>
    <w:p>
      <w:r>
        <w:pict>
          <v:rect style="width:0;height:1.5pt" o:hralign="center" o:hrstd="t" o:hr="t"/>
        </w:pict>
      </w:r>
    </w:p>
    <w:p>
      <w:pPr>
        <w:pStyle w:val="CaptionedFigure"/>
      </w:pPr>
      <w:r>
        <w:drawing>
          <wp:inline>
            <wp:extent cx="5334000" cy="4855307"/>
            <wp:effectExtent b="0" l="0" r="0" t="0"/>
            <wp:docPr descr="Figure 2. How the gregariousness rules worked in the model using the two parameters, target distance and target neighbors. Sensory range covers the entire square for all scenarios. Green and yellow squares are resource patches of high and low energy contents, respectively; black squares are empty patches. The red star is the perspective agent; the white arrowheads are the non-perspective agents. The white dashed line indicates the area with target distance of the perspective agent. The red arrow represents the new heading of the perspective agent. Agents would orient themselves towards the best visible resource patch unless they did not have enough other agents within target distance of themselves. In the left column (A, C), target distance is 6. In the right column (B, D), target distance is 12. In the upper row (A, B), target neighbors is 2. In the lower row (C, D), target neighbors is 5. In A, B, and D, the perspective agent has satisfied gregariousness rules, and will orient towards the highest-energy resource patch. In C, the gregariousness rules are not satisfied, so the perspective agent will orient towards any visible agents farther away than target distance." title="" id="24" name="Picture"/>
            <a:graphic>
              <a:graphicData uri="http://schemas.openxmlformats.org/drawingml/2006/picture">
                <pic:pic>
                  <pic:nvPicPr>
                    <pic:cNvPr descr="images/Figure2.png" id="25" name="Picture"/>
                    <pic:cNvPicPr>
                      <a:picLocks noChangeArrowheads="1" noChangeAspect="1"/>
                    </pic:cNvPicPr>
                  </pic:nvPicPr>
                  <pic:blipFill>
                    <a:blip r:embed="rId23"/>
                    <a:stretch>
                      <a:fillRect/>
                    </a:stretch>
                  </pic:blipFill>
                  <pic:spPr bwMode="auto">
                    <a:xfrm>
                      <a:off x="0" y="0"/>
                      <a:ext cx="5334000" cy="485530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How the gregariousness rules worked in the model using the two parameters, target distance and target neighbors. Sensory range covers the entire square for all scenarios. Green and yellow squares are resource patches of high and low energy contents, respectively; black squares are empty patches. The red star is the perspective agent; the white arrowheads are the non-perspective agents. The white dashed line indicates the area with target distance of the perspective agent. The red arrow represents the new heading of the perspective agent. Agents would orient themselves towards the best visible resource patch unless they did not have enough other agents within target distance of themselves. In the left column (A, C), target distance is 6. In the right column (B, D), target distance is 12. In the upper row (A, B), target neighbors is 2. In the lower row (C, D), target neighbors is 5. In A, B, and D, the perspective agent has satisfied gregariousness rules, and will orient towards the highest-energy resource patch. In C, the gregariousness rules are not satisfied, so the perspective agent will orient towards any visible agents farther away than target distance.</w:t>
      </w:r>
    </w:p>
    <w:p>
      <w:r>
        <w:pict>
          <v:rect style="width:0;height:1.5pt" o:hralign="center" o:hrstd="t" o:hr="t"/>
        </w:pict>
      </w:r>
    </w:p>
    <w:p>
      <w:pPr>
        <w:pStyle w:val="SourceCode"/>
      </w:pPr>
      <w:r>
        <w:rPr>
          <w:rStyle w:val="VerbatimChar"/>
        </w:rPr>
        <w:t xml:space="preserve">## [1] "Mean group size:  13.4482859622658"</w:t>
      </w:r>
    </w:p>
    <w:p>
      <w:pPr>
        <w:pStyle w:val="SourceCode"/>
      </w:pPr>
      <w:r>
        <w:rPr>
          <w:rStyle w:val="VerbatimChar"/>
        </w:rPr>
        <w:t xml:space="preserve">## [1] "Median group size:  10.1458333333333"</w:t>
      </w:r>
    </w:p>
    <w:p>
      <w:pPr>
        <w:pStyle w:val="FirstParagraph"/>
      </w:pPr>
      <w:r>
        <w:drawing>
          <wp:inline>
            <wp:extent cx="5334000" cy="4445000"/>
            <wp:effectExtent b="0" l="0" r="0" t="0"/>
            <wp:docPr descr="" title="" id="27" name="Picture"/>
            <a:graphic>
              <a:graphicData uri="http://schemas.openxmlformats.org/drawingml/2006/picture">
                <pic:pic>
                  <pic:nvPicPr>
                    <pic:cNvPr descr="figureCode_files/figure-docx/figure3-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Distribution of and major resource influences on population mean group size.</w:t>
      </w:r>
      <w:r>
        <w:t xml:space="preserve"> </w:t>
      </w:r>
      <w:r>
        <w:rPr>
          <w:b/>
          <w:bCs/>
        </w:rPr>
        <w:t xml:space="preserve">A.,</w:t>
      </w:r>
      <w:r>
        <w:t xml:space="preserve"> </w:t>
      </w:r>
      <w:r>
        <w:t xml:space="preserve">the distribution of mean group sizes produced by the model across the primate-relevant parameter space. The x-axis (group size) is on a log10 scale. Grand mean group size was 13.45 (median 10.15).</w:t>
      </w:r>
      <w:r>
        <w:t xml:space="preserve"> </w:t>
      </w:r>
      <w:r>
        <w:rPr>
          <w:b/>
          <w:bCs/>
        </w:rPr>
        <w:t xml:space="preserve">B., C., and D.,</w:t>
      </w:r>
      <w:r>
        <w:t xml:space="preserve"> </w:t>
      </w:r>
      <w:r>
        <w:t xml:space="preserve">heatmaps showing interactions of the three most influential resource parameters on mean group size. Each cell represents the mean outcome of 5 simulation replicates. Simulations used to produce these heatmaps had all other parameters held constant. In</w:t>
      </w:r>
      <w:r>
        <w:t xml:space="preserve"> </w:t>
      </w:r>
      <w:r>
        <w:rPr>
          <w:b/>
          <w:bCs/>
        </w:rPr>
        <w:t xml:space="preserve">B. and D.,</w:t>
      </w:r>
      <w:r>
        <w:t xml:space="preserve"> </w:t>
      </w:r>
      <w:r>
        <w:t xml:space="preserve">energy abundance is divided by 1000 for display purposes. Mean group size tended to be higher when clumps were large, abundance was low, and/or energy per capita was low.</w:t>
      </w:r>
    </w:p>
    <w:p>
      <w:r>
        <w:pict>
          <v:rect style="width:0;height:1.5pt" o:hralign="center" o:hrstd="t" o:hr="t"/>
        </w:pict>
      </w:r>
    </w:p>
    <w:p>
      <w:pPr>
        <w:pStyle w:val="FirstParagraph"/>
      </w:pPr>
      <w:r>
        <w:drawing>
          <wp:inline>
            <wp:extent cx="5334000" cy="1524000"/>
            <wp:effectExtent b="0" l="0" r="0" t="0"/>
            <wp:docPr descr="" title="" id="30" name="Picture"/>
            <a:graphic>
              <a:graphicData uri="http://schemas.openxmlformats.org/drawingml/2006/picture">
                <pic:pic>
                  <pic:nvPicPr>
                    <pic:cNvPr descr="figureCode_files/figure-docx/figure4-1.png" id="31" name="Picture"/>
                    <pic:cNvPicPr>
                      <a:picLocks noChangeArrowheads="1" noChangeAspect="1"/>
                    </pic:cNvPicPr>
                  </pic:nvPicPr>
                  <pic:blipFill>
                    <a:blip r:embed="rId29"/>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Relationships between population mean group size and population mean energy intake rate, for clump sizes ranging from 1 to 501 (A), and separated for small (B), medium (C), and large (D) clumps. Resource abundance, energy per capita, and gregariousness were also allowed to vary, but all other parameters were held constant. Each dot represents a population mean of a single simulation. Each line corresponds to a linear regression, with formulae (using the log10 group size) displayed on each plot. A. when clump size was 1. B. when clump size was 1. C. when clump size was 126. D. when clump size was 501.</w:t>
      </w:r>
    </w:p>
    <w:p>
      <w:r>
        <w:pict>
          <v:rect style="width:0;height:1.5pt" o:hralign="center" o:hrstd="t" o:hr="t"/>
        </w:pict>
      </w:r>
    </w:p>
    <w:p>
      <w:pPr>
        <w:pStyle w:val="FirstParagraph"/>
      </w:pPr>
      <w:r>
        <w:drawing>
          <wp:inline>
            <wp:extent cx="5334000" cy="1524000"/>
            <wp:effectExtent b="0" l="0" r="0" t="0"/>
            <wp:docPr descr="" title="" id="33" name="Picture"/>
            <a:graphic>
              <a:graphicData uri="http://schemas.openxmlformats.org/drawingml/2006/picture">
                <pic:pic>
                  <pic:nvPicPr>
                    <pic:cNvPr descr="figureCode_files/figure-docx/figure5-1.png" id="34" name="Picture"/>
                    <pic:cNvPicPr>
                      <a:picLocks noChangeArrowheads="1" noChangeAspect="1"/>
                    </pic:cNvPicPr>
                  </pic:nvPicPr>
                  <pic:blipFill>
                    <a:blip r:embed="rId32"/>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Relationships between population mean group size and population mean daily travel distance, for clump sizes ranging from 1 to 501 (A), and separated for small (B), medium (C), and large (D) clumps. Resource abundance, energy per capita, and gregariousness were also allowed to vary, but all other parameters were held constant. Each dot represents a population mean of a single simulation. Each line corresponds to a linear regression, with formulae (using the log10 group size) displayed on each plot. A. all clump sizes (1 to 501) combined . B. when clump size was 1. C. when clump size was 126. D. when clump size was 501.</w:t>
      </w:r>
    </w:p>
    <w:p>
      <w:r>
        <w:pict>
          <v:rect style="width:0;height:1.5pt" o:hralign="center" o:hrstd="t" o:hr="t"/>
        </w:pict>
      </w:r>
    </w:p>
    <w:p>
      <w:pPr>
        <w:pStyle w:val="FirstParagraph"/>
      </w:pPr>
      <w:r>
        <w:drawing>
          <wp:inline>
            <wp:extent cx="5334000" cy="5334000"/>
            <wp:effectExtent b="0" l="0" r="0" t="0"/>
            <wp:docPr descr="" title="" id="36" name="Picture"/>
            <a:graphic>
              <a:graphicData uri="http://schemas.openxmlformats.org/drawingml/2006/picture">
                <pic:pic>
                  <pic:nvPicPr>
                    <pic:cNvPr descr="figureCode_files/figure-docx/figure6-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The relationship between group size and foraging efficiency, mediated by the maximum distance that agents would tolerate being from group members (</w:t>
      </w:r>
      <w:r>
        <w:t xml:space="preserve">“</w:t>
      </w:r>
      <w:r>
        <w:t xml:space="preserve">target distance</w:t>
      </w:r>
      <w:r>
        <w:t xml:space="preserve">”</w:t>
      </w:r>
      <w:r>
        <w:t xml:space="preserve">). The number of group members that each agent attempted to keep in proximity (</w:t>
      </w:r>
      <w:r>
        <w:t xml:space="preserve">“</w:t>
      </w:r>
      <w:r>
        <w:t xml:space="preserve">target neighbors</w:t>
      </w:r>
      <w:r>
        <w:t xml:space="preserve">”</w:t>
      </w:r>
      <w:r>
        <w:t xml:space="preserve">) was also allowed to vary across these simulations. Each dot represents a population mean of a single simulation. The black lines are linear regressions for each category of target distance. Formulae for the regression lines (using the log group size) are displayed on each plot.</w:t>
      </w:r>
      <w:r>
        <w:t xml:space="preserve"> </w:t>
      </w:r>
      <w:r>
        <w:rPr>
          <w:b/>
          <w:bCs/>
        </w:rPr>
        <w:t xml:space="preserve">A.</w:t>
      </w:r>
      <w:r>
        <w:t xml:space="preserve"> </w:t>
      </w:r>
      <w:r>
        <w:t xml:space="preserve">when target distance was less than 20, which meant that agents maintained closer proximity to other group members.</w:t>
      </w:r>
      <w:r>
        <w:t xml:space="preserve"> </w:t>
      </w:r>
      <w:r>
        <w:rPr>
          <w:b/>
          <w:bCs/>
        </w:rPr>
        <w:t xml:space="preserve">B.</w:t>
      </w:r>
      <w:r>
        <w:t xml:space="preserve"> </w:t>
      </w:r>
      <w:r>
        <w:t xml:space="preserve">when target distance was greater than 20, which meant that group members tolerated being more spread out.</w:t>
      </w:r>
    </w:p>
    <w:p>
      <w:r>
        <w:pict>
          <v:rect style="width:0;height:1.5pt" o:hralign="center" o:hrstd="t" o:hr="t"/>
        </w:pict>
      </w:r>
    </w:p>
    <w:bookmarkEnd w:id="38"/>
    <w:bookmarkStart w:id="39" w:name="supplementappendix-1---odd-protocol"/>
    <w:p>
      <w:pPr>
        <w:pStyle w:val="Heading1"/>
      </w:pPr>
      <w:r>
        <w:t xml:space="preserve">Supplement/Appendix 1 - ODD Protocol</w:t>
      </w:r>
    </w:p>
    <w:p>
      <w:pPr>
        <w:pStyle w:val="FirstParagraph"/>
      </w:pPr>
      <w:r>
        <w:rPr>
          <w:b/>
          <w:bCs/>
        </w:rPr>
        <w:t xml:space="preserve">Table 1.1.</w:t>
      </w:r>
      <w:r>
        <w:t xml:space="preserve"> </w:t>
      </w:r>
      <w:r>
        <w:t xml:space="preserve">Agent attribute variables in the agent-based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 name</w:t>
            </w:r>
          </w:p>
        </w:tc>
        <w:tc>
          <w:tcPr/>
          <w:p>
            <w:pPr>
              <w:pStyle w:val="Compact"/>
              <w:jc w:val="left"/>
            </w:pPr>
            <w:r>
              <w:t xml:space="preserve">Description</w:t>
            </w:r>
          </w:p>
        </w:tc>
        <w:tc>
          <w:tcPr/>
          <w:p>
            <w:pPr>
              <w:pStyle w:val="Compact"/>
              <w:jc w:val="left"/>
            </w:pPr>
            <w:r>
              <w:t xml:space="preserve">states/data structure</w:t>
            </w:r>
          </w:p>
        </w:tc>
      </w:tr>
      <w:tr>
        <w:tc>
          <w:tcPr/>
          <w:p>
            <w:pPr>
              <w:pStyle w:val="Compact"/>
              <w:jc w:val="left"/>
            </w:pPr>
            <w:r>
              <w:t xml:space="preserve">stored-energy</w:t>
            </w:r>
          </w:p>
        </w:tc>
        <w:tc>
          <w:tcPr/>
          <w:p>
            <w:pPr>
              <w:pStyle w:val="Compact"/>
              <w:jc w:val="left"/>
            </w:pPr>
            <w:r>
              <w:t xml:space="preserve">The amount of energy (in relative units) that the agent has accumulated; all agents start at 30</w:t>
            </w:r>
          </w:p>
        </w:tc>
        <w:tc>
          <w:tcPr/>
          <w:p>
            <w:pPr>
              <w:pStyle w:val="Compact"/>
              <w:jc w:val="left"/>
            </w:pPr>
            <w:r>
              <w:t xml:space="preserve">Real number (float)</w:t>
            </w:r>
          </w:p>
        </w:tc>
      </w:tr>
      <w:tr>
        <w:tc>
          <w:tcPr/>
          <w:p>
            <w:pPr>
              <w:pStyle w:val="Compact"/>
              <w:jc w:val="left"/>
            </w:pPr>
            <w:r>
              <w:t xml:space="preserve">rhp</w:t>
            </w:r>
          </w:p>
        </w:tc>
        <w:tc>
          <w:tcPr/>
          <w:p>
            <w:pPr>
              <w:pStyle w:val="Compact"/>
              <w:jc w:val="left"/>
            </w:pPr>
            <w:r>
              <w:t xml:space="preserve">The competitive ability of the agent, assigned randomly at birth/initialization.</w:t>
            </w:r>
          </w:p>
        </w:tc>
        <w:tc>
          <w:tcPr/>
          <w:p>
            <w:pPr>
              <w:pStyle w:val="Compact"/>
              <w:jc w:val="left"/>
            </w:pPr>
            <w:r>
              <w:t xml:space="preserve">Integers 1-8</w:t>
            </w:r>
          </w:p>
        </w:tc>
      </w:tr>
      <w:tr>
        <w:tc>
          <w:tcPr/>
          <w:p>
            <w:pPr>
              <w:pStyle w:val="Compact"/>
              <w:jc w:val="left"/>
            </w:pPr>
            <w:r>
              <w:t xml:space="preserve">nearest-primates</w:t>
            </w:r>
          </w:p>
        </w:tc>
        <w:tc>
          <w:tcPr/>
          <w:p>
            <w:pPr>
              <w:pStyle w:val="Compact"/>
              <w:jc w:val="left"/>
            </w:pPr>
            <w:r>
              <w:t xml:space="preserve">Primates within visual range (</w:t>
            </w:r>
            <w:r>
              <w:t xml:space="preserve">“</w:t>
            </w:r>
            <w:r>
              <w:t xml:space="preserve">other-primate-detection-radius</w:t>
            </w:r>
            <w:r>
              <w:t xml:space="preserve">”</w:t>
            </w:r>
            <w:r>
              <w:t xml:space="preserve">); if more than</w:t>
            </w:r>
            <w:r>
              <w:t xml:space="preserve"> </w:t>
            </w:r>
            <w:r>
              <w:t xml:space="preserve">“</w:t>
            </w:r>
            <w:r>
              <w:t xml:space="preserve">tgt-neighbor</w:t>
            </w:r>
            <w:r>
              <w:t xml:space="preserve">”</w:t>
            </w:r>
            <w:r>
              <w:t xml:space="preserve">, limited to that number of primates</w:t>
            </w:r>
          </w:p>
        </w:tc>
        <w:tc>
          <w:tcPr/>
          <w:p>
            <w:pPr>
              <w:pStyle w:val="Compact"/>
              <w:jc w:val="left"/>
            </w:pPr>
            <w:r>
              <w:t xml:space="preserve">Turtle-set of primates</w:t>
            </w:r>
          </w:p>
        </w:tc>
      </w:tr>
      <w:tr>
        <w:tc>
          <w:tcPr/>
          <w:p>
            <w:pPr>
              <w:pStyle w:val="Compact"/>
              <w:jc w:val="left"/>
            </w:pPr>
            <w:r>
              <w:t xml:space="preserve">visible-resources</w:t>
            </w:r>
          </w:p>
        </w:tc>
        <w:tc>
          <w:tcPr/>
          <w:p>
            <w:pPr>
              <w:pStyle w:val="Compact"/>
              <w:jc w:val="left"/>
            </w:pPr>
            <w:r>
              <w:t xml:space="preserve">Resources tiles currently containing energy within the visual range (resource-detection-radius)</w:t>
            </w:r>
          </w:p>
        </w:tc>
        <w:tc>
          <w:tcPr/>
          <w:p>
            <w:pPr>
              <w:pStyle w:val="Compact"/>
              <w:jc w:val="left"/>
            </w:pPr>
            <w:r>
              <w:t xml:space="preserve">Patch-set</w:t>
            </w:r>
          </w:p>
        </w:tc>
      </w:tr>
      <w:tr>
        <w:tc>
          <w:tcPr/>
          <w:p>
            <w:pPr>
              <w:pStyle w:val="Compact"/>
              <w:jc w:val="left"/>
            </w:pPr>
            <w:r>
              <w:t xml:space="preserve">exp-score</w:t>
            </w:r>
          </w:p>
        </w:tc>
        <w:tc>
          <w:tcPr/>
          <w:p>
            <w:pPr>
              <w:pStyle w:val="Compact"/>
              <w:jc w:val="left"/>
            </w:pPr>
            <w:r>
              <w:t xml:space="preserve">current value of estimated fighting ability based on previous recorded fight outcomes</w:t>
            </w:r>
          </w:p>
        </w:tc>
        <w:tc>
          <w:tcPr/>
          <w:p>
            <w:pPr>
              <w:pStyle w:val="Compact"/>
              <w:jc w:val="left"/>
            </w:pPr>
            <w:r>
              <w:t xml:space="preserve">Float between 0.0 and 1.0</w:t>
            </w:r>
          </w:p>
        </w:tc>
      </w:tr>
      <w:tr>
        <w:tc>
          <w:tcPr/>
          <w:p>
            <w:pPr>
              <w:pStyle w:val="Compact"/>
              <w:jc w:val="left"/>
            </w:pPr>
            <w:r>
              <w:t xml:space="preserve">exp-delta-list</w:t>
            </w:r>
          </w:p>
        </w:tc>
        <w:tc>
          <w:tcPr/>
          <w:p>
            <w:pPr>
              <w:pStyle w:val="Compact"/>
              <w:jc w:val="left"/>
            </w:pPr>
            <w:r>
              <w:t xml:space="preserve">List recording every time the exp-score was changed by a win or loss</w:t>
            </w:r>
          </w:p>
        </w:tc>
        <w:tc>
          <w:tcPr/>
          <w:p>
            <w:pPr>
              <w:pStyle w:val="Compact"/>
              <w:jc w:val="left"/>
            </w:pPr>
            <w:r>
              <w:t xml:space="preserve">List of floats</w:t>
            </w:r>
          </w:p>
        </w:tc>
      </w:tr>
      <w:tr>
        <w:tc>
          <w:tcPr/>
          <w:p>
            <w:pPr>
              <w:pStyle w:val="Compact"/>
              <w:jc w:val="left"/>
            </w:pPr>
            <w:r>
              <w:t xml:space="preserve">xcor, ycor</w:t>
            </w:r>
          </w:p>
        </w:tc>
        <w:tc>
          <w:tcPr/>
          <w:p>
            <w:pPr>
              <w:pStyle w:val="Compact"/>
              <w:jc w:val="left"/>
            </w:pPr>
            <w:r>
              <w:t xml:space="preserve">Coordinates describing the current location of the agent</w:t>
            </w:r>
          </w:p>
        </w:tc>
        <w:tc>
          <w:tcPr/>
          <w:p>
            <w:pPr>
              <w:pStyle w:val="Compact"/>
              <w:jc w:val="left"/>
            </w:pPr>
            <w:r>
              <w:t xml:space="preserve">Float, float; range, -140 to 140</w:t>
            </w:r>
          </w:p>
        </w:tc>
      </w:tr>
      <w:tr>
        <w:tc>
          <w:tcPr/>
          <w:p>
            <w:pPr>
              <w:pStyle w:val="Compact"/>
              <w:jc w:val="left"/>
            </w:pPr>
            <w:r>
              <w:t xml:space="preserve">heading</w:t>
            </w:r>
          </w:p>
        </w:tc>
        <w:tc>
          <w:tcPr/>
          <w:p>
            <w:pPr>
              <w:pStyle w:val="Compact"/>
              <w:jc w:val="left"/>
            </w:pPr>
            <w:r>
              <w:t xml:space="preserve">The current direction that the agent is pointing; 0 is north, 90 is east, etc.</w:t>
            </w:r>
          </w:p>
        </w:tc>
        <w:tc>
          <w:tcPr/>
          <w:p>
            <w:pPr>
              <w:pStyle w:val="Compact"/>
              <w:jc w:val="left"/>
            </w:pPr>
            <w:r>
              <w:t xml:space="preserve">Degrees out of 360 (clockwise)</w:t>
            </w:r>
          </w:p>
        </w:tc>
      </w:tr>
    </w:tbl>
    <w:p>
      <w:pPr>
        <w:pStyle w:val="BodyText"/>
      </w:pPr>
      <w:r>
        <w:rPr>
          <w:b/>
          <w:bCs/>
        </w:rPr>
        <w:t xml:space="preserve">Table 1.2.</w:t>
      </w:r>
      <w:r>
        <w:t xml:space="preserve"> </w:t>
      </w:r>
      <w:r>
        <w:t xml:space="preserve">Patch attributes in the agent-based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 name</w:t>
            </w:r>
          </w:p>
        </w:tc>
        <w:tc>
          <w:tcPr/>
          <w:p>
            <w:pPr>
              <w:pStyle w:val="Compact"/>
              <w:jc w:val="left"/>
            </w:pPr>
            <w:r>
              <w:t xml:space="preserve">Description</w:t>
            </w:r>
          </w:p>
        </w:tc>
        <w:tc>
          <w:tcPr/>
          <w:p>
            <w:pPr>
              <w:pStyle w:val="Compact"/>
              <w:jc w:val="left"/>
            </w:pPr>
            <w:r>
              <w:t xml:space="preserve">states/data structure</w:t>
            </w:r>
          </w:p>
        </w:tc>
      </w:tr>
      <w:tr>
        <w:tc>
          <w:tcPr/>
          <w:p>
            <w:pPr>
              <w:pStyle w:val="Compact"/>
              <w:jc w:val="left"/>
            </w:pPr>
            <w:r>
              <w:t xml:space="preserve">pxcor, pycor</w:t>
            </w:r>
          </w:p>
        </w:tc>
        <w:tc>
          <w:tcPr/>
          <w:p>
            <w:pPr>
              <w:pStyle w:val="Compact"/>
              <w:jc w:val="left"/>
            </w:pPr>
            <w:r>
              <w:t xml:space="preserve">Coordinates describing the location of the patch</w:t>
            </w:r>
          </w:p>
        </w:tc>
        <w:tc>
          <w:tcPr/>
          <w:p>
            <w:pPr>
              <w:pStyle w:val="Compact"/>
              <w:jc w:val="left"/>
            </w:pPr>
            <w:r>
              <w:t xml:space="preserve">Integer, integer; range, -140 to 140</w:t>
            </w:r>
          </w:p>
        </w:tc>
      </w:tr>
      <w:tr>
        <w:tc>
          <w:tcPr/>
          <w:p>
            <w:pPr>
              <w:pStyle w:val="Compact"/>
              <w:jc w:val="left"/>
            </w:pPr>
            <w:r>
              <w:t xml:space="preserve">penergy</w:t>
            </w:r>
          </w:p>
        </w:tc>
        <w:tc>
          <w:tcPr/>
          <w:p>
            <w:pPr>
              <w:pStyle w:val="Compact"/>
              <w:jc w:val="left"/>
            </w:pPr>
            <w:r>
              <w:t xml:space="preserve">The current energetic contents of the patch</w:t>
            </w:r>
          </w:p>
        </w:tc>
        <w:tc>
          <w:tcPr/>
          <w:p>
            <w:pPr>
              <w:pStyle w:val="Compact"/>
              <w:jc w:val="left"/>
            </w:pPr>
            <w:r>
              <w:t xml:space="preserve">Integer; range depends on parameter values</w:t>
            </w:r>
          </w:p>
        </w:tc>
      </w:tr>
      <w:tr>
        <w:tc>
          <w:tcPr/>
          <w:p>
            <w:pPr>
              <w:pStyle w:val="Compact"/>
              <w:jc w:val="left"/>
            </w:pPr>
            <w:r>
              <w:t xml:space="preserve">quality</w:t>
            </w:r>
          </w:p>
        </w:tc>
        <w:tc>
          <w:tcPr/>
          <w:p>
            <w:pPr>
              <w:pStyle w:val="Compact"/>
              <w:jc w:val="left"/>
            </w:pPr>
            <w:r>
              <w:t xml:space="preserve">The maximum energetic contents of the patch, up to which it regrows</w:t>
            </w:r>
          </w:p>
        </w:tc>
        <w:tc>
          <w:tcPr/>
          <w:p>
            <w:pPr>
              <w:pStyle w:val="Compact"/>
              <w:jc w:val="left"/>
            </w:pPr>
            <w:r>
              <w:t xml:space="preserve">Integer; range depends on parameter values</w:t>
            </w:r>
          </w:p>
        </w:tc>
      </w:tr>
      <w:tr>
        <w:tc>
          <w:tcPr/>
          <w:p>
            <w:pPr>
              <w:pStyle w:val="Compact"/>
              <w:jc w:val="left"/>
            </w:pPr>
            <w:r>
              <w:t xml:space="preserve">extraction-rate</w:t>
            </w:r>
          </w:p>
        </w:tc>
        <w:tc>
          <w:tcPr/>
          <w:p>
            <w:pPr>
              <w:pStyle w:val="Compact"/>
              <w:jc w:val="left"/>
            </w:pPr>
            <w:r>
              <w:t xml:space="preserve">How much energy can be extracted from this patch per tick</w:t>
            </w:r>
          </w:p>
        </w:tc>
        <w:tc>
          <w:tcPr/>
          <w:p>
            <w:pPr>
              <w:pStyle w:val="Compact"/>
              <w:jc w:val="left"/>
            </w:pPr>
            <w:r>
              <w:t xml:space="preserve">Float; range depends on parameter values</w:t>
            </w:r>
          </w:p>
        </w:tc>
      </w:tr>
    </w:tbl>
    <w:p>
      <w:pPr>
        <w:pStyle w:val="BodyText"/>
      </w:pPr>
      <w:r>
        <w:rPr>
          <w:b/>
          <w:bCs/>
        </w:rPr>
        <w:t xml:space="preserve">Table 1.3.</w:t>
      </w:r>
      <w:r>
        <w:t xml:space="preserve"> </w:t>
      </w:r>
      <w:r>
        <w:t xml:space="preserve">Landscape parameters.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Variable Name in NetLogo</w:t>
            </w:r>
          </w:p>
        </w:tc>
        <w:tc>
          <w:tcPr/>
          <w:p>
            <w:pPr>
              <w:pStyle w:val="Compact"/>
              <w:jc w:val="left"/>
            </w:pPr>
            <w:r>
              <w:t xml:space="preserve">Description</w:t>
            </w:r>
          </w:p>
        </w:tc>
        <w:tc>
          <w:tcPr/>
          <w:p>
            <w:pPr>
              <w:pStyle w:val="Compact"/>
              <w:jc w:val="left"/>
            </w:pPr>
            <w:r>
              <w:t xml:space="preserve">Range for Global Sensitivity Analysis</w:t>
            </w:r>
          </w:p>
        </w:tc>
        <w:tc>
          <w:tcPr/>
          <w:p>
            <w:pPr>
              <w:pStyle w:val="Compact"/>
              <w:jc w:val="left"/>
            </w:pPr>
            <w:r>
              <w:t xml:space="preserve">Setting(s) for experiment to address H2</w:t>
            </w:r>
          </w:p>
        </w:tc>
      </w:tr>
      <w:tr>
        <w:tc>
          <w:tcPr/>
          <w:p>
            <w:pPr>
              <w:pStyle w:val="Compact"/>
              <w:jc w:val="left"/>
            </w:pPr>
            <w:r>
              <w:t xml:space="preserve">Clump size</w:t>
            </w:r>
          </w:p>
        </w:tc>
        <w:tc>
          <w:tcPr/>
          <w:p>
            <w:pPr>
              <w:pStyle w:val="Compact"/>
              <w:jc w:val="left"/>
            </w:pPr>
            <w:r>
              <w:t xml:space="preserve">clump-size</w:t>
            </w:r>
          </w:p>
        </w:tc>
        <w:tc>
          <w:tcPr/>
          <w:p>
            <w:pPr>
              <w:pStyle w:val="Compact"/>
              <w:jc w:val="left"/>
            </w:pPr>
            <w:r>
              <w:t xml:space="preserve">The mean of the normal distribution which determines the number of patches in a clump</w:t>
            </w:r>
          </w:p>
        </w:tc>
        <w:tc>
          <w:tcPr/>
          <w:p>
            <w:pPr>
              <w:pStyle w:val="Compact"/>
              <w:jc w:val="left"/>
            </w:pPr>
            <w:r>
              <w:t xml:space="preserve">1-500</w:t>
            </w:r>
          </w:p>
        </w:tc>
        <w:tc>
          <w:tcPr/>
          <w:p>
            <w:pPr>
              <w:pStyle w:val="Compact"/>
              <w:jc w:val="left"/>
            </w:pPr>
            <w:r>
              <w:t xml:space="preserve">1, 63, 126, 251, 376, 501</w:t>
            </w:r>
          </w:p>
        </w:tc>
      </w:tr>
      <w:tr>
        <w:tc>
          <w:tcPr/>
          <w:p>
            <w:pPr>
              <w:pStyle w:val="Compact"/>
              <w:jc w:val="left"/>
            </w:pPr>
            <w:r>
              <w:t xml:space="preserve">Abundance</w:t>
            </w:r>
          </w:p>
        </w:tc>
        <w:tc>
          <w:tcPr/>
          <w:p>
            <w:pPr>
              <w:pStyle w:val="Compact"/>
              <w:jc w:val="left"/>
            </w:pPr>
            <w:r>
              <w:t xml:space="preserve">abundance</w:t>
            </w:r>
          </w:p>
        </w:tc>
        <w:tc>
          <w:tcPr/>
          <w:p>
            <w:pPr>
              <w:pStyle w:val="Compact"/>
              <w:jc w:val="left"/>
            </w:pPr>
            <w:r>
              <w:t xml:space="preserve">Total amount of energy units to be distributed across the landscape</w:t>
            </w:r>
          </w:p>
        </w:tc>
        <w:tc>
          <w:tcPr/>
          <w:p>
            <w:pPr>
              <w:pStyle w:val="Compact"/>
              <w:jc w:val="left"/>
            </w:pPr>
            <w:r>
              <w:t xml:space="preserve">200,000 - 1,200,000</w:t>
            </w:r>
          </w:p>
        </w:tc>
        <w:tc>
          <w:tcPr/>
          <w:p>
            <w:pPr>
              <w:pStyle w:val="Compact"/>
              <w:jc w:val="left"/>
            </w:pPr>
            <w:r>
              <w:t xml:space="preserve">200,000 to 1,200,000 in steps of 225,000</w:t>
            </w:r>
          </w:p>
        </w:tc>
      </w:tr>
      <w:tr>
        <w:tc>
          <w:tcPr/>
          <w:p>
            <w:pPr>
              <w:pStyle w:val="Compact"/>
              <w:jc w:val="left"/>
            </w:pPr>
            <w:r>
              <w:t xml:space="preserve">Energy per capita</w:t>
            </w:r>
          </w:p>
        </w:tc>
        <w:tc>
          <w:tcPr/>
          <w:p>
            <w:pPr>
              <w:pStyle w:val="Compact"/>
              <w:jc w:val="left"/>
            </w:pPr>
            <w:r>
              <w:t xml:space="preserve">energy-per-capita</w:t>
            </w:r>
          </w:p>
        </w:tc>
        <w:tc>
          <w:tcPr/>
          <w:p>
            <w:pPr>
              <w:pStyle w:val="Compact"/>
              <w:jc w:val="left"/>
            </w:pPr>
            <w:r>
              <w:t xml:space="preserve">Energy units distributed for each primate agent created. Population size calculated by dividing abundance by/ energy-per-capita.</w:t>
            </w:r>
          </w:p>
        </w:tc>
        <w:tc>
          <w:tcPr/>
          <w:p>
            <w:pPr>
              <w:pStyle w:val="Compact"/>
              <w:jc w:val="left"/>
            </w:pPr>
            <w:r>
              <w:t xml:space="preserve">4,000 - 9,000</w:t>
            </w:r>
          </w:p>
        </w:tc>
        <w:tc>
          <w:tcPr/>
          <w:p>
            <w:pPr>
              <w:pStyle w:val="Compact"/>
              <w:jc w:val="left"/>
            </w:pPr>
            <w:r>
              <w:t xml:space="preserve">4,000 to 9,000 in steps of 1250</w:t>
            </w:r>
          </w:p>
        </w:tc>
      </w:tr>
      <w:tr>
        <w:tc>
          <w:tcPr/>
          <w:p>
            <w:pPr>
              <w:pStyle w:val="Compact"/>
              <w:jc w:val="left"/>
            </w:pPr>
            <w:r>
              <w:t xml:space="preserve">Patch regrowth interval</w:t>
            </w:r>
          </w:p>
        </w:tc>
        <w:tc>
          <w:tcPr/>
          <w:p>
            <w:pPr>
              <w:pStyle w:val="Compact"/>
              <w:jc w:val="left"/>
            </w:pPr>
            <w:r>
              <w:t xml:space="preserve">patch-regrowth-interval</w:t>
            </w:r>
          </w:p>
        </w:tc>
        <w:tc>
          <w:tcPr/>
          <w:p>
            <w:pPr>
              <w:pStyle w:val="Compact"/>
              <w:jc w:val="left"/>
            </w:pPr>
            <w:r>
              <w:t xml:space="preserve">The interval at which patches have the ability to regrow; longer intervals mean less frequent regrowth/more variability over time in resource availability</w:t>
            </w:r>
          </w:p>
        </w:tc>
        <w:tc>
          <w:tcPr/>
          <w:p>
            <w:pPr>
              <w:pStyle w:val="Compact"/>
              <w:jc w:val="left"/>
            </w:pPr>
            <w:r>
              <w:t xml:space="preserve">500 - 2500</w:t>
            </w:r>
          </w:p>
        </w:tc>
        <w:tc>
          <w:tcPr/>
          <w:p>
            <w:pPr>
              <w:pStyle w:val="Compact"/>
              <w:jc w:val="left"/>
            </w:pPr>
            <w:r>
              <w:t xml:space="preserve">1000</w:t>
            </w:r>
          </w:p>
        </w:tc>
      </w:tr>
      <w:tr>
        <w:tc>
          <w:tcPr/>
          <w:p>
            <w:pPr>
              <w:pStyle w:val="Compact"/>
              <w:jc w:val="left"/>
            </w:pPr>
            <w:r>
              <w:t xml:space="preserve">Extraction rate mean</w:t>
            </w:r>
          </w:p>
        </w:tc>
        <w:tc>
          <w:tcPr/>
          <w:p>
            <w:pPr>
              <w:pStyle w:val="Compact"/>
              <w:jc w:val="left"/>
            </w:pPr>
            <w:r>
              <w:t xml:space="preserve">extraction-rate-mean</w:t>
            </w:r>
          </w:p>
        </w:tc>
        <w:tc>
          <w:tcPr/>
          <w:p>
            <w:pPr>
              <w:pStyle w:val="Compact"/>
              <w:jc w:val="left"/>
            </w:pPr>
            <w:r>
              <w:t xml:space="preserve">The mean of a normal distribution which determines how much energy a primate can extract from a particular patch in single time-step (i.e., determines depletion speed of patch)</w:t>
            </w:r>
          </w:p>
        </w:tc>
        <w:tc>
          <w:tcPr/>
          <w:p>
            <w:pPr>
              <w:pStyle w:val="Compact"/>
              <w:jc w:val="left"/>
            </w:pPr>
            <w:r>
              <w:t xml:space="preserve">2 - 8</w:t>
            </w:r>
          </w:p>
        </w:tc>
        <w:tc>
          <w:tcPr/>
          <w:p>
            <w:pPr>
              <w:pStyle w:val="Compact"/>
              <w:jc w:val="left"/>
            </w:pPr>
            <w:r>
              <w:t xml:space="preserve">5</w:t>
            </w:r>
          </w:p>
        </w:tc>
      </w:tr>
      <w:tr>
        <w:tc>
          <w:tcPr/>
          <w:p>
            <w:pPr>
              <w:pStyle w:val="Compact"/>
              <w:jc w:val="left"/>
            </w:pPr>
            <w:r>
              <w:t xml:space="preserve">Extraction rate standard deviation</w:t>
            </w:r>
          </w:p>
        </w:tc>
        <w:tc>
          <w:tcPr/>
          <w:p>
            <w:pPr>
              <w:pStyle w:val="Compact"/>
              <w:jc w:val="left"/>
            </w:pPr>
            <w:r>
              <w:t xml:space="preserve">extraction-rate-sd</w:t>
            </w:r>
          </w:p>
        </w:tc>
        <w:tc>
          <w:tcPr/>
          <w:p>
            <w:pPr>
              <w:pStyle w:val="Compact"/>
              <w:jc w:val="left"/>
            </w:pPr>
            <w:r>
              <w:t xml:space="preserve">The standard deviation of a normal distribution which determines how much energy a primate can extract from a particular patch in a single time-step</w:t>
            </w:r>
          </w:p>
        </w:tc>
        <w:tc>
          <w:tcPr/>
          <w:p>
            <w:pPr>
              <w:pStyle w:val="Compact"/>
              <w:jc w:val="left"/>
            </w:pPr>
            <w:r>
              <w:t xml:space="preserve">1 to 5 energy units per time-step</w:t>
            </w:r>
          </w:p>
        </w:tc>
        <w:tc>
          <w:tcPr/>
          <w:p>
            <w:pPr>
              <w:pStyle w:val="Compact"/>
              <w:jc w:val="left"/>
            </w:pPr>
            <w:r>
              <w:t xml:space="preserve">1</w:t>
            </w:r>
          </w:p>
        </w:tc>
      </w:tr>
      <w:tr>
        <w:tc>
          <w:tcPr/>
          <w:p>
            <w:pPr>
              <w:pStyle w:val="Compact"/>
              <w:jc w:val="left"/>
            </w:pPr>
            <w:r>
              <w:t xml:space="preserve">Patch quality mean</w:t>
            </w:r>
          </w:p>
        </w:tc>
        <w:tc>
          <w:tcPr/>
          <w:p>
            <w:pPr>
              <w:pStyle w:val="Compact"/>
              <w:jc w:val="left"/>
            </w:pPr>
            <w:r>
              <w:t xml:space="preserve">qual-mean</w:t>
            </w:r>
          </w:p>
        </w:tc>
        <w:tc>
          <w:tcPr/>
          <w:p>
            <w:pPr>
              <w:pStyle w:val="Compact"/>
              <w:jc w:val="left"/>
            </w:pPr>
            <w:r>
              <w:t xml:space="preserve">The mean of a normal distribution which determines energy in patch</w:t>
            </w:r>
          </w:p>
        </w:tc>
        <w:tc>
          <w:tcPr/>
          <w:p>
            <w:pPr>
              <w:pStyle w:val="Compact"/>
              <w:jc w:val="left"/>
            </w:pPr>
            <w:r>
              <w:t xml:space="preserve">Integer between 25 and 150</w:t>
            </w:r>
          </w:p>
        </w:tc>
        <w:tc>
          <w:tcPr/>
          <w:p>
            <w:pPr>
              <w:pStyle w:val="Compact"/>
              <w:jc w:val="left"/>
            </w:pPr>
            <w:r>
              <w:t xml:space="preserve">130</w:t>
            </w:r>
          </w:p>
        </w:tc>
      </w:tr>
      <w:tr>
        <w:tc>
          <w:tcPr/>
          <w:p>
            <w:pPr>
              <w:pStyle w:val="Compact"/>
              <w:jc w:val="left"/>
            </w:pPr>
            <w:r>
              <w:t xml:space="preserve">Patch quality standard deviation</w:t>
            </w:r>
          </w:p>
        </w:tc>
        <w:tc>
          <w:tcPr/>
          <w:p>
            <w:pPr>
              <w:pStyle w:val="Compact"/>
              <w:jc w:val="left"/>
            </w:pPr>
            <w:r>
              <w:t xml:space="preserve">qual-sd</w:t>
            </w:r>
          </w:p>
        </w:tc>
        <w:tc>
          <w:tcPr/>
          <w:p>
            <w:pPr>
              <w:pStyle w:val="Compact"/>
              <w:jc w:val="left"/>
            </w:pPr>
            <w:r>
              <w:t xml:space="preserve">The standard deviation of a normal distribution which determines patch qualities</w:t>
            </w:r>
          </w:p>
        </w:tc>
        <w:tc>
          <w:tcPr/>
          <w:p>
            <w:pPr>
              <w:pStyle w:val="Compact"/>
              <w:jc w:val="left"/>
            </w:pPr>
            <w:r>
              <w:t xml:space="preserve">Integer between 1 and 20</w:t>
            </w:r>
          </w:p>
        </w:tc>
        <w:tc>
          <w:tcPr/>
          <w:p>
            <w:pPr>
              <w:pStyle w:val="Compact"/>
              <w:jc w:val="left"/>
            </w:pPr>
            <w:r>
              <w:t xml:space="preserve">5</w:t>
            </w:r>
          </w:p>
        </w:tc>
      </w:tr>
      <w:tr>
        <w:tc>
          <w:tcPr/>
          <w:p>
            <w:pPr>
              <w:pStyle w:val="Compact"/>
              <w:jc w:val="left"/>
            </w:pPr>
            <w:r>
              <w:t xml:space="preserve">Regrowth rate</w:t>
            </w:r>
          </w:p>
        </w:tc>
        <w:tc>
          <w:tcPr/>
          <w:p>
            <w:pPr>
              <w:pStyle w:val="Compact"/>
              <w:jc w:val="left"/>
            </w:pPr>
            <w:r>
              <w:t xml:space="preserve">regrowth-rate</w:t>
            </w:r>
          </w:p>
        </w:tc>
        <w:tc>
          <w:tcPr/>
          <w:p>
            <w:pPr>
              <w:pStyle w:val="Compact"/>
              <w:jc w:val="left"/>
            </w:pPr>
            <w:r>
              <w:t xml:space="preserve">The amount of energy gained by each patch in the landscape at a certain frequency</w:t>
            </w:r>
          </w:p>
        </w:tc>
        <w:tc>
          <w:tcPr/>
          <w:p>
            <w:pPr>
              <w:pStyle w:val="Compact"/>
              <w:jc w:val="left"/>
            </w:pPr>
            <w:r>
              <w:t xml:space="preserve">0.5-1</w:t>
            </w:r>
          </w:p>
        </w:tc>
        <w:tc>
          <w:tcPr/>
          <w:p>
            <w:pPr>
              <w:pStyle w:val="Compact"/>
              <w:jc w:val="left"/>
            </w:pPr>
            <w:r>
              <w:t xml:space="preserve">1</w:t>
            </w:r>
          </w:p>
        </w:tc>
      </w:tr>
    </w:tbl>
    <w:p>
      <w:pPr>
        <w:pStyle w:val="BodyText"/>
      </w:pPr>
      <w:r>
        <w:rPr>
          <w:b/>
          <w:bCs/>
        </w:rPr>
        <w:t xml:space="preserve">Table 1.4.</w:t>
      </w:r>
      <w:r>
        <w:t xml:space="preserve"> </w:t>
      </w:r>
      <w:r>
        <w:t xml:space="preserve">Behavioral and sensory parameters of the primate agents.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Variable Name in NetLogo</w:t>
            </w:r>
          </w:p>
        </w:tc>
        <w:tc>
          <w:tcPr/>
          <w:p>
            <w:pPr>
              <w:pStyle w:val="Compact"/>
              <w:jc w:val="left"/>
            </w:pPr>
            <w:r>
              <w:t xml:space="preserve">Description</w:t>
            </w:r>
          </w:p>
        </w:tc>
        <w:tc>
          <w:tcPr/>
          <w:p>
            <w:pPr>
              <w:pStyle w:val="Compact"/>
              <w:jc w:val="left"/>
            </w:pPr>
            <w:r>
              <w:t xml:space="preserve">Range for Global Sensitivity Analysis</w:t>
            </w:r>
          </w:p>
        </w:tc>
        <w:tc>
          <w:tcPr/>
          <w:p>
            <w:pPr>
              <w:pStyle w:val="Compact"/>
              <w:jc w:val="left"/>
            </w:pPr>
            <w:r>
              <w:t xml:space="preserve">Setting(s) for experiment to address H2</w:t>
            </w:r>
          </w:p>
        </w:tc>
      </w:tr>
      <w:tr>
        <w:tc>
          <w:tcPr/>
          <w:p>
            <w:pPr>
              <w:pStyle w:val="Compact"/>
              <w:jc w:val="left"/>
            </w:pPr>
            <w:r>
              <w:t xml:space="preserve">Target distance</w:t>
            </w:r>
          </w:p>
        </w:tc>
        <w:tc>
          <w:tcPr/>
          <w:p>
            <w:pPr>
              <w:pStyle w:val="Compact"/>
              <w:jc w:val="left"/>
            </w:pPr>
            <w:r>
              <w:t xml:space="preserve">tgt-dist</w:t>
            </w:r>
          </w:p>
        </w:tc>
        <w:tc>
          <w:tcPr/>
          <w:p>
            <w:pPr>
              <w:pStyle w:val="Compact"/>
              <w:jc w:val="left"/>
            </w:pPr>
            <w:r>
              <w:t xml:space="preserve">The target radius that each primate must maintain a targeted number of primate neighbors within</w:t>
            </w:r>
          </w:p>
        </w:tc>
        <w:tc>
          <w:tcPr/>
          <w:p>
            <w:pPr>
              <w:pStyle w:val="Compact"/>
              <w:jc w:val="left"/>
            </w:pPr>
            <w:r>
              <w:t xml:space="preserve">1 - 40</w:t>
            </w:r>
          </w:p>
        </w:tc>
        <w:tc>
          <w:tcPr/>
          <w:p>
            <w:pPr>
              <w:pStyle w:val="Compact"/>
              <w:jc w:val="left"/>
            </w:pPr>
            <w:r>
              <w:t xml:space="preserve">1, 11, 21, 31, 41</w:t>
            </w:r>
          </w:p>
        </w:tc>
      </w:tr>
      <w:tr>
        <w:tc>
          <w:tcPr/>
          <w:p>
            <w:pPr>
              <w:pStyle w:val="Compact"/>
              <w:jc w:val="left"/>
            </w:pPr>
            <w:r>
              <w:t xml:space="preserve">Target neighbors</w:t>
            </w:r>
          </w:p>
        </w:tc>
        <w:tc>
          <w:tcPr/>
          <w:p>
            <w:pPr>
              <w:pStyle w:val="Compact"/>
              <w:jc w:val="left"/>
            </w:pPr>
            <w:r>
              <w:t xml:space="preserve">tgt-neighbors</w:t>
            </w:r>
          </w:p>
        </w:tc>
        <w:tc>
          <w:tcPr/>
          <w:p>
            <w:pPr>
              <w:pStyle w:val="Compact"/>
              <w:jc w:val="left"/>
            </w:pPr>
            <w:r>
              <w:t xml:space="preserve">The number of neighbors that each primate must have within the target distance</w:t>
            </w:r>
          </w:p>
        </w:tc>
        <w:tc>
          <w:tcPr/>
          <w:p>
            <w:pPr>
              <w:pStyle w:val="Compact"/>
              <w:jc w:val="left"/>
            </w:pPr>
            <w:r>
              <w:t xml:space="preserve">3 - 11</w:t>
            </w:r>
          </w:p>
        </w:tc>
        <w:tc>
          <w:tcPr/>
          <w:p>
            <w:pPr>
              <w:pStyle w:val="Compact"/>
              <w:jc w:val="left"/>
            </w:pPr>
            <w:r>
              <w:t xml:space="preserve">3, 5, 7, 9, 11</w:t>
            </w:r>
          </w:p>
        </w:tc>
      </w:tr>
      <w:tr>
        <w:tc>
          <w:tcPr/>
          <w:p>
            <w:pPr>
              <w:pStyle w:val="Compact"/>
              <w:jc w:val="left"/>
            </w:pPr>
            <w:r>
              <w:t xml:space="preserve">Other primate detection radius</w:t>
            </w:r>
          </w:p>
        </w:tc>
        <w:tc>
          <w:tcPr/>
          <w:p>
            <w:pPr>
              <w:pStyle w:val="Compact"/>
              <w:jc w:val="left"/>
            </w:pPr>
            <w:r>
              <w:t xml:space="preserve">other-primate-detection-radius</w:t>
            </w:r>
          </w:p>
        </w:tc>
        <w:tc>
          <w:tcPr/>
          <w:p>
            <w:pPr>
              <w:pStyle w:val="Compact"/>
              <w:jc w:val="left"/>
            </w:pPr>
            <w:r>
              <w:t xml:space="preserve">The radius within which a primate can detect other neighboring primates</w:t>
            </w:r>
          </w:p>
        </w:tc>
        <w:tc>
          <w:tcPr/>
          <w:p>
            <w:pPr>
              <w:pStyle w:val="Compact"/>
              <w:jc w:val="left"/>
            </w:pPr>
            <w:r>
              <w:t xml:space="preserve">70-100</w:t>
            </w:r>
          </w:p>
        </w:tc>
        <w:tc>
          <w:tcPr/>
          <w:p>
            <w:pPr>
              <w:pStyle w:val="Compact"/>
              <w:jc w:val="left"/>
            </w:pPr>
            <w:r>
              <w:t xml:space="preserve">70</w:t>
            </w:r>
          </w:p>
        </w:tc>
      </w:tr>
      <w:tr>
        <w:tc>
          <w:tcPr/>
          <w:p>
            <w:pPr>
              <w:pStyle w:val="Compact"/>
              <w:jc w:val="left"/>
            </w:pPr>
            <w:r>
              <w:t xml:space="preserve">Resource detection radius</w:t>
            </w:r>
          </w:p>
        </w:tc>
        <w:tc>
          <w:tcPr/>
          <w:p>
            <w:pPr>
              <w:pStyle w:val="Compact"/>
              <w:jc w:val="left"/>
            </w:pPr>
            <w:r>
              <w:t xml:space="preserve">resource-detection-radius</w:t>
            </w:r>
          </w:p>
        </w:tc>
        <w:tc>
          <w:tcPr/>
          <w:p>
            <w:pPr>
              <w:pStyle w:val="Compact"/>
              <w:jc w:val="left"/>
            </w:pPr>
            <w:r>
              <w:t xml:space="preserve">The radius within which a primate can detect all patches with energy units greater than 0</w:t>
            </w:r>
          </w:p>
        </w:tc>
        <w:tc>
          <w:tcPr/>
          <w:p>
            <w:pPr>
              <w:pStyle w:val="Compact"/>
              <w:jc w:val="left"/>
            </w:pPr>
            <w:r>
              <w:t xml:space="preserve">50-100</w:t>
            </w:r>
          </w:p>
        </w:tc>
        <w:tc>
          <w:tcPr/>
          <w:p>
            <w:pPr>
              <w:pStyle w:val="Compact"/>
              <w:jc w:val="left"/>
            </w:pPr>
            <w:r>
              <w:t xml:space="preserve">50</w:t>
            </w:r>
          </w:p>
        </w:tc>
      </w:tr>
      <w:tr>
        <w:tc>
          <w:tcPr/>
          <w:p>
            <w:pPr>
              <w:pStyle w:val="Compact"/>
              <w:jc w:val="left"/>
            </w:pPr>
            <w:r>
              <w:t xml:space="preserve">Movement noise</w:t>
            </w:r>
          </w:p>
        </w:tc>
        <w:tc>
          <w:tcPr/>
          <w:p>
            <w:pPr>
              <w:pStyle w:val="Compact"/>
              <w:jc w:val="left"/>
            </w:pPr>
            <w:r>
              <w:t xml:space="preserve">movement-noise</w:t>
            </w:r>
          </w:p>
        </w:tc>
        <w:tc>
          <w:tcPr/>
          <w:p>
            <w:pPr>
              <w:pStyle w:val="Compact"/>
              <w:jc w:val="left"/>
            </w:pPr>
            <w:r>
              <w:t xml:space="preserve">A number that is used to add randomness to a primate’s heading when wandering, traveling or dispersing; this is done by subtracting a half of movement-noise from a random number selected from 0 to movement-noise and adding to the primate’s heading</w:t>
            </w:r>
          </w:p>
        </w:tc>
        <w:tc>
          <w:tcPr/>
          <w:p>
            <w:pPr>
              <w:pStyle w:val="Compact"/>
              <w:jc w:val="left"/>
            </w:pPr>
            <w:r>
              <w:t xml:space="preserve">10-45</w:t>
            </w:r>
          </w:p>
        </w:tc>
        <w:tc>
          <w:tcPr/>
          <w:p>
            <w:pPr>
              <w:pStyle w:val="Compact"/>
              <w:jc w:val="left"/>
            </w:pPr>
            <w:r>
              <w:t xml:space="preserve">10</w:t>
            </w:r>
          </w:p>
        </w:tc>
      </w:tr>
      <w:tr>
        <w:tc>
          <w:tcPr/>
          <w:p>
            <w:pPr>
              <w:pStyle w:val="Compact"/>
              <w:jc w:val="left"/>
            </w:pPr>
            <w:r>
              <w:t xml:space="preserve">Maximum movement</w:t>
            </w:r>
          </w:p>
        </w:tc>
        <w:tc>
          <w:tcPr/>
          <w:p>
            <w:pPr>
              <w:pStyle w:val="Compact"/>
              <w:jc w:val="left"/>
            </w:pPr>
            <w:r>
              <w:t xml:space="preserve">max-move</w:t>
            </w:r>
          </w:p>
        </w:tc>
        <w:tc>
          <w:tcPr/>
          <w:p>
            <w:pPr>
              <w:pStyle w:val="Compact"/>
              <w:jc w:val="left"/>
            </w:pPr>
            <w:r>
              <w:t xml:space="preserve">The maximum distance that a primate agent can travel in a single time step.</w:t>
            </w:r>
          </w:p>
        </w:tc>
        <w:tc>
          <w:tcPr/>
          <w:p>
            <w:pPr>
              <w:pStyle w:val="Compact"/>
              <w:jc w:val="left"/>
            </w:pPr>
            <w:r>
              <w:t xml:space="preserve">10-30</w:t>
            </w:r>
          </w:p>
        </w:tc>
        <w:tc>
          <w:tcPr/>
          <w:p>
            <w:pPr>
              <w:pStyle w:val="Compact"/>
              <w:jc w:val="left"/>
            </w:pPr>
            <w:r>
              <w:t xml:space="preserve">10</w:t>
            </w:r>
          </w:p>
        </w:tc>
      </w:tr>
    </w:tbl>
    <w:p>
      <w:r>
        <w:pict>
          <v:rect style="width:0;height:1.5pt" o:hralign="center" o:hrstd="t" o:hr="t"/>
        </w:pict>
      </w:r>
    </w:p>
    <w:bookmarkEnd w:id="39"/>
    <w:bookmarkStart w:id="70" w:name="supplementappendix-2"/>
    <w:p>
      <w:pPr>
        <w:pStyle w:val="Heading1"/>
      </w:pPr>
      <w:r>
        <w:t xml:space="preserve">Supplement/Appendix 2</w:t>
      </w:r>
    </w:p>
    <w:p>
      <w:pPr>
        <w:pStyle w:val="FirstParagraph"/>
      </w:pPr>
      <w:r>
        <w:t xml:space="preserve">This supplement/appendix contains extra results to support the main text.</w:t>
      </w:r>
    </w:p>
    <w:p>
      <w:pPr>
        <w:pStyle w:val="BodyText"/>
      </w:pPr>
      <w:r>
        <w:drawing>
          <wp:inline>
            <wp:extent cx="5334000" cy="2667000"/>
            <wp:effectExtent b="0" l="0" r="0" t="0"/>
            <wp:docPr descr="" title="" id="41" name="Picture"/>
            <a:graphic>
              <a:graphicData uri="http://schemas.openxmlformats.org/drawingml/2006/picture">
                <pic:pic>
                  <pic:nvPicPr>
                    <pic:cNvPr descr="figureCode_files/figure-docx/figure2.2-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2.2.</w:t>
      </w:r>
      <w:r>
        <w:t xml:space="preserve"> </w:t>
      </w:r>
      <w:r>
        <w:t xml:space="preserve">Pattern-matching: comparison of empirical daily movement distance data to simulated daily distance travel data. At a scale of each patch = 10m, the mean daily movement distance of our agents was similar to the range observed across a variety of primate species. Data was taken from Vidal-Cordasco et al. 2020.</w:t>
      </w:r>
    </w:p>
    <w:p>
      <w:r>
        <w:pict>
          <v:rect style="width:0;height:1.5pt" o:hralign="center" o:hrstd="t" o:hr="t"/>
        </w:pict>
      </w:r>
    </w:p>
    <w:p>
      <w:pPr>
        <w:pStyle w:val="FirstParagraph"/>
      </w:pPr>
      <w:r>
        <w:drawing>
          <wp:inline>
            <wp:extent cx="5334000" cy="2667000"/>
            <wp:effectExtent b="0" l="0" r="0" t="0"/>
            <wp:docPr descr="" title="" id="44" name="Picture"/>
            <a:graphic>
              <a:graphicData uri="http://schemas.openxmlformats.org/drawingml/2006/picture">
                <pic:pic>
                  <pic:nvPicPr>
                    <pic:cNvPr descr="figureCode_files/figure-docx/figure2.3-1.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2.3.</w:t>
      </w:r>
      <w:r>
        <w:t xml:space="preserve"> </w:t>
      </w:r>
      <w:r>
        <w:t xml:space="preserve">To assess whether our agent’s activity budgets were similar to real primates, we converted activity budget data for a variety of species into a ratio of time moving to time moving or eating. Data was taken from Kamilar &amp; Cooper 2013. Once adjusted, the range and distribution of this simplified activity budget approximated the behavior of agents in this model.</w:t>
      </w:r>
    </w:p>
    <w:p>
      <w:r>
        <w:pict>
          <v:rect style="width:0;height:1.5pt" o:hralign="center" o:hrstd="t" o:hr="t"/>
        </w:pict>
      </w:r>
    </w:p>
    <w:p>
      <w:pPr>
        <w:pStyle w:val="FirstParagraph"/>
      </w:pPr>
      <w:r>
        <w:drawing>
          <wp:inline>
            <wp:extent cx="4013200" cy="2438400"/>
            <wp:effectExtent b="0" l="0" r="0" t="0"/>
            <wp:docPr descr="" title="" id="47" name="Picture"/>
            <a:graphic>
              <a:graphicData uri="http://schemas.openxmlformats.org/drawingml/2006/picture">
                <pic:pic>
                  <pic:nvPicPr>
                    <pic:cNvPr descr="figureCode_files/figure-docx/figure2.4-1.png" id="48" name="Picture"/>
                    <pic:cNvPicPr>
                      <a:picLocks noChangeArrowheads="1" noChangeAspect="1"/>
                    </pic:cNvPicPr>
                  </pic:nvPicPr>
                  <pic:blipFill>
                    <a:blip r:embed="rId46"/>
                    <a:stretch>
                      <a:fillRect/>
                    </a:stretch>
                  </pic:blipFill>
                  <pic:spPr bwMode="auto">
                    <a:xfrm>
                      <a:off x="0" y="0"/>
                      <a:ext cx="4013200" cy="2438400"/>
                    </a:xfrm>
                    <a:prstGeom prst="rect">
                      <a:avLst/>
                    </a:prstGeom>
                    <a:noFill/>
                    <a:ln w="9525">
                      <a:noFill/>
                      <a:headEnd/>
                      <a:tailEnd/>
                    </a:ln>
                  </pic:spPr>
                </pic:pic>
              </a:graphicData>
            </a:graphic>
          </wp:inline>
        </w:drawing>
      </w:r>
    </w:p>
    <w:p>
      <w:pPr>
        <w:pStyle w:val="BodyText"/>
      </w:pPr>
      <w:r>
        <w:rPr>
          <w:b/>
          <w:bCs/>
        </w:rPr>
        <w:t xml:space="preserve">Figure 2.4.</w:t>
      </w:r>
      <w:r>
        <w:t xml:space="preserve"> </w:t>
      </w:r>
      <w:r>
        <w:t xml:space="preserve">In simulations run with the parameter ranges listed in Appendix Table 2.1, we recorded the proportion of agents labeled as grouped in the population. With a target-neighbors of &gt;=3, the vast majority of agents belonged to groups.</w:t>
      </w:r>
    </w:p>
    <w:p>
      <w:r>
        <w:pict>
          <v:rect style="width:0;height:1.5pt" o:hralign="center" o:hrstd="t" o:hr="t"/>
        </w:pict>
      </w:r>
    </w:p>
    <w:p>
      <w:pPr>
        <w:pStyle w:val="FirstParagraph"/>
      </w:pPr>
      <w:r>
        <w:drawing>
          <wp:inline>
            <wp:extent cx="5334000" cy="5334000"/>
            <wp:effectExtent b="0" l="0" r="0" t="0"/>
            <wp:docPr descr="" title="" id="50" name="Picture"/>
            <a:graphic>
              <a:graphicData uri="http://schemas.openxmlformats.org/drawingml/2006/picture">
                <pic:pic>
                  <pic:nvPicPr>
                    <pic:cNvPr descr="figureCode_files/figure-docx/figure2.5-1.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2.5.</w:t>
      </w:r>
      <w:r>
        <w:t xml:space="preserve"> </w:t>
      </w:r>
      <w:r>
        <w:t xml:space="preserve">Elementary effects for the four main metrics: population mean group size (A), energy intake rate (B), total distance traveled (C), and inter-individual distance among group members (D). The most influential parameters for each metric have text labels. Other data points are labeled as follows: 1 - abundance; 2, clump size; 3, energy per capita; 4, extraction rate (mean); 5, extraction rate (SD); 6, movement speed; 7, movement noise; 8, sensory range, other primates; 9, patch regrowth interval; 10, mean patch quality; 11, SD patch quality; 12, % regrowth; 13, sensory range, resources; 14, target distance; 15, target neighbors.</w:t>
      </w:r>
    </w:p>
    <w:p>
      <w:r>
        <w:pict>
          <v:rect style="width:0;height:1.5pt" o:hralign="center" o:hrstd="t" o:hr="t"/>
        </w:pict>
      </w:r>
    </w:p>
    <w:p>
      <w:pPr>
        <w:pStyle w:val="FirstParagraph"/>
      </w:pPr>
      <w:r>
        <w:drawing>
          <wp:inline>
            <wp:extent cx="5334000" cy="9144000"/>
            <wp:effectExtent b="0" l="0" r="0" t="0"/>
            <wp:docPr descr="" title="" id="53" name="Picture"/>
            <a:graphic>
              <a:graphicData uri="http://schemas.openxmlformats.org/drawingml/2006/picture">
                <pic:pic>
                  <pic:nvPicPr>
                    <pic:cNvPr descr="figureCode_files/figure-docx/figure2.6-1.png" id="54" name="Picture"/>
                    <pic:cNvPicPr>
                      <a:picLocks noChangeArrowheads="1" noChangeAspect="1"/>
                    </pic:cNvPicPr>
                  </pic:nvPicPr>
                  <pic:blipFill>
                    <a:blip r:embed="rId52"/>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2.6.</w:t>
      </w:r>
      <w:r>
        <w:t xml:space="preserve"> </w:t>
      </w:r>
      <w:r>
        <w:t xml:space="preserve">Heatmaps with the interactive effects of the most influential parameters on population mean group size. Based on the strongest elementary effects (appendix figure 2.5 A), factorial experiments were designed to clarify the strongest interactions for population mean group size. Log10 of group size was used, since this outcome was non-normally distributed. Each tile of the heatmap represents only a single simulation.</w:t>
      </w:r>
    </w:p>
    <w:p>
      <w:r>
        <w:pict>
          <v:rect style="width:0;height:1.5pt" o:hralign="center" o:hrstd="t" o:hr="t"/>
        </w:pict>
      </w:r>
    </w:p>
    <w:p>
      <w:pPr>
        <w:pStyle w:val="FirstParagraph"/>
      </w:pPr>
      <w:r>
        <w:drawing>
          <wp:inline>
            <wp:extent cx="5334000" cy="6096000"/>
            <wp:effectExtent b="0" l="0" r="0" t="0"/>
            <wp:docPr descr="" title="" id="56" name="Picture"/>
            <a:graphic>
              <a:graphicData uri="http://schemas.openxmlformats.org/drawingml/2006/picture">
                <pic:pic>
                  <pic:nvPicPr>
                    <pic:cNvPr descr="figureCode_files/figure-docx/figure2.7-1.png" id="57" name="Picture"/>
                    <pic:cNvPicPr>
                      <a:picLocks noChangeArrowheads="1" noChangeAspect="1"/>
                    </pic:cNvPicPr>
                  </pic:nvPicPr>
                  <pic:blipFill>
                    <a:blip r:embed="rId55"/>
                    <a:stretch>
                      <a:fillRect/>
                    </a:stretch>
                  </pic:blipFill>
                  <pic:spPr bwMode="auto">
                    <a:xfrm>
                      <a:off x="0" y="0"/>
                      <a:ext cx="5334000" cy="6096000"/>
                    </a:xfrm>
                    <a:prstGeom prst="rect">
                      <a:avLst/>
                    </a:prstGeom>
                    <a:noFill/>
                    <a:ln w="9525">
                      <a:noFill/>
                      <a:headEnd/>
                      <a:tailEnd/>
                    </a:ln>
                  </pic:spPr>
                </pic:pic>
              </a:graphicData>
            </a:graphic>
          </wp:inline>
        </w:drawing>
      </w:r>
    </w:p>
    <w:p>
      <w:pPr>
        <w:pStyle w:val="BodyText"/>
      </w:pPr>
      <w:r>
        <w:rPr>
          <w:b/>
          <w:bCs/>
        </w:rPr>
        <w:t xml:space="preserve">Figure 2.7.</w:t>
      </w:r>
      <w:r>
        <w:t xml:space="preserve"> </w:t>
      </w:r>
      <w:r>
        <w:t xml:space="preserve">Heatmaps with the interactive effects of the most influential parameters on energy intake rate. Based on the strongest elementary effects (appendix figure 2.5 B), factorial experiments were designed to clarify the strongest interactions for energy intake rate. Note the close linkage between extraction rate and energy intake rate (a and b); this is as expected, this extraction rate puts an upper limit on how quickly agents can gain energy out of a patch, even if no feeding competition is occurring.</w:t>
      </w:r>
    </w:p>
    <w:p>
      <w:r>
        <w:pict>
          <v:rect style="width:0;height:1.5pt" o:hralign="center" o:hrstd="t" o:hr="t"/>
        </w:pict>
      </w:r>
    </w:p>
    <w:p>
      <w:pPr>
        <w:pStyle w:val="FirstParagraph"/>
      </w:pPr>
      <w:r>
        <w:drawing>
          <wp:inline>
            <wp:extent cx="5334000" cy="8382000"/>
            <wp:effectExtent b="0" l="0" r="0" t="0"/>
            <wp:docPr descr="" title="" id="59" name="Picture"/>
            <a:graphic>
              <a:graphicData uri="http://schemas.openxmlformats.org/drawingml/2006/picture">
                <pic:pic>
                  <pic:nvPicPr>
                    <pic:cNvPr descr="figureCode_files/figure-docx/figure2.8-1.png" id="60" name="Picture"/>
                    <pic:cNvPicPr>
                      <a:picLocks noChangeArrowheads="1" noChangeAspect="1"/>
                    </pic:cNvPicPr>
                  </pic:nvPicPr>
                  <pic:blipFill>
                    <a:blip r:embed="rId58"/>
                    <a:stretch>
                      <a:fillRect/>
                    </a:stretch>
                  </pic:blipFill>
                  <pic:spPr bwMode="auto">
                    <a:xfrm>
                      <a:off x="0" y="0"/>
                      <a:ext cx="5334000" cy="8382000"/>
                    </a:xfrm>
                    <a:prstGeom prst="rect">
                      <a:avLst/>
                    </a:prstGeom>
                    <a:noFill/>
                    <a:ln w="9525">
                      <a:noFill/>
                      <a:headEnd/>
                      <a:tailEnd/>
                    </a:ln>
                  </pic:spPr>
                </pic:pic>
              </a:graphicData>
            </a:graphic>
          </wp:inline>
        </w:drawing>
      </w:r>
    </w:p>
    <w:p>
      <w:pPr>
        <w:pStyle w:val="BodyText"/>
      </w:pPr>
      <w:r>
        <w:rPr>
          <w:b/>
          <w:bCs/>
        </w:rPr>
        <w:t xml:space="preserve">Figure 2.8.</w:t>
      </w:r>
      <w:r>
        <w:t xml:space="preserve"> </w:t>
      </w:r>
      <w:r>
        <w:t xml:space="preserve">Heatmaps with the interactive effects of the most influential parameters on daily distance traveled. Based on the strongest elementary effects (appendix figure 2.5 C), factorial experiments were designed to clarify the strongest interactions for daily distance traveled.</w:t>
      </w:r>
    </w:p>
    <w:p>
      <w:r>
        <w:pict>
          <v:rect style="width:0;height:1.5pt" o:hralign="center" o:hrstd="t" o:hr="t"/>
        </w:pict>
      </w:r>
    </w:p>
    <w:p>
      <w:pPr>
        <w:pStyle w:val="FirstParagraph"/>
      </w:pPr>
      <w:r>
        <w:drawing>
          <wp:inline>
            <wp:extent cx="5334000" cy="9144000"/>
            <wp:effectExtent b="0" l="0" r="0" t="0"/>
            <wp:docPr descr="" title="" id="62" name="Picture"/>
            <a:graphic>
              <a:graphicData uri="http://schemas.openxmlformats.org/drawingml/2006/picture">
                <pic:pic>
                  <pic:nvPicPr>
                    <pic:cNvPr descr="figureCode_files/figure-docx/figure2.9-1.png" id="63" name="Picture"/>
                    <pic:cNvPicPr>
                      <a:picLocks noChangeArrowheads="1" noChangeAspect="1"/>
                    </pic:cNvPicPr>
                  </pic:nvPicPr>
                  <pic:blipFill>
                    <a:blip r:embed="rId61"/>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2.9.</w:t>
      </w:r>
      <w:r>
        <w:t xml:space="preserve"> </w:t>
      </w:r>
      <w:r>
        <w:t xml:space="preserve">Energy intake rate as a product of mean group size, for all clump sizes (A) and for clumps of different sizes (B-G). Data is the same as main text figure 4, just with more different clump sizes.</w:t>
      </w:r>
    </w:p>
    <w:p>
      <w:r>
        <w:pict>
          <v:rect style="width:0;height:1.5pt" o:hralign="center" o:hrstd="t" o:hr="t"/>
        </w:pict>
      </w:r>
    </w:p>
    <w:p>
      <w:pPr>
        <w:pStyle w:val="FirstParagraph"/>
      </w:pPr>
      <w:r>
        <w:drawing>
          <wp:inline>
            <wp:extent cx="5334000" cy="9144000"/>
            <wp:effectExtent b="0" l="0" r="0" t="0"/>
            <wp:docPr descr="" title="" id="65" name="Picture"/>
            <a:graphic>
              <a:graphicData uri="http://schemas.openxmlformats.org/drawingml/2006/picture">
                <pic:pic>
                  <pic:nvPicPr>
                    <pic:cNvPr descr="figureCode_files/figure-docx/figure2.10-1.png" id="66" name="Picture"/>
                    <pic:cNvPicPr>
                      <a:picLocks noChangeArrowheads="1" noChangeAspect="1"/>
                    </pic:cNvPicPr>
                  </pic:nvPicPr>
                  <pic:blipFill>
                    <a:blip r:embed="rId64"/>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2.10.</w:t>
      </w:r>
      <w:r>
        <w:t xml:space="preserve"> </w:t>
      </w:r>
      <w:r>
        <w:t xml:space="preserve">Daily distance traveled as a product of mean group size, for all clump sizes (A) and for clumps of different sizes (B-G). Data is the same as main text figure 5, just with more different clump sizes.</w:t>
      </w:r>
    </w:p>
    <w:p>
      <w:r>
        <w:pict>
          <v:rect style="width:0;height:1.5pt" o:hralign="center" o:hrstd="t" o:hr="t"/>
        </w:pict>
      </w:r>
    </w:p>
    <w:p>
      <w:pPr>
        <w:pStyle w:val="FirstParagraph"/>
      </w:pPr>
      <w:r>
        <w:drawing>
          <wp:inline>
            <wp:extent cx="5334000" cy="7620000"/>
            <wp:effectExtent b="0" l="0" r="0" t="0"/>
            <wp:docPr descr="" title="" id="68" name="Picture"/>
            <a:graphic>
              <a:graphicData uri="http://schemas.openxmlformats.org/drawingml/2006/picture">
                <pic:pic>
                  <pic:nvPicPr>
                    <pic:cNvPr descr="figureCode_files/figure-docx/figure2.11-1.png" id="69" name="Picture"/>
                    <pic:cNvPicPr>
                      <a:picLocks noChangeArrowheads="1" noChangeAspect="1"/>
                    </pic:cNvPicPr>
                  </pic:nvPicPr>
                  <pic:blipFill>
                    <a:blip r:embed="rId67"/>
                    <a:stretch>
                      <a:fillRect/>
                    </a:stretch>
                  </pic:blipFill>
                  <pic:spPr bwMode="auto">
                    <a:xfrm>
                      <a:off x="0" y="0"/>
                      <a:ext cx="5334000" cy="7620000"/>
                    </a:xfrm>
                    <a:prstGeom prst="rect">
                      <a:avLst/>
                    </a:prstGeom>
                    <a:noFill/>
                    <a:ln w="9525">
                      <a:noFill/>
                      <a:headEnd/>
                      <a:tailEnd/>
                    </a:ln>
                  </pic:spPr>
                </pic:pic>
              </a:graphicData>
            </a:graphic>
          </wp:inline>
        </w:drawing>
      </w:r>
    </w:p>
    <w:p>
      <w:pPr>
        <w:pStyle w:val="BodyText"/>
      </w:pPr>
      <w:r>
        <w:rPr>
          <w:b/>
          <w:bCs/>
        </w:rPr>
        <w:t xml:space="preserve">Figure 2.11.</w:t>
      </w:r>
      <w:r>
        <w:t xml:space="preserve"> </w:t>
      </w:r>
      <w:r>
        <w:t xml:space="preserve">Heatmaps with the interactive effects of the most influential parameters on interindividual distance. Based on the strongest elementary effects (appendix figure 2.5 D), factorial experiments were designed to clarify the strongest interactions for interindividual distance.</w:t>
      </w:r>
    </w:p>
    <w:p>
      <w:r>
        <w:pict>
          <v:rect style="width:0;height:1.5pt" o:hralign="center" o:hrstd="t" o:hr="t"/>
        </w:pict>
      </w:r>
    </w:p>
    <w:bookmarkEnd w:id="70"/>
    <w:bookmarkStart w:id="74" w:name="supplementappendix-3"/>
    <w:p>
      <w:pPr>
        <w:pStyle w:val="Heading1"/>
      </w:pPr>
      <w:r>
        <w:t xml:space="preserve">Supplement/Appendix 3</w:t>
      </w:r>
    </w:p>
    <w:p>
      <w:pPr>
        <w:pStyle w:val="FirstParagraph"/>
      </w:pPr>
      <w:r>
        <w:t xml:space="preserve">This supplement/appendix contains the within-population group-level results.</w:t>
      </w:r>
    </w:p>
    <w:p>
      <w:pPr>
        <w:pStyle w:val="BodyText"/>
      </w:pPr>
      <w:r>
        <w:drawing>
          <wp:inline>
            <wp:extent cx="5334000" cy="10668000"/>
            <wp:effectExtent b="0" l="0" r="0" t="0"/>
            <wp:docPr descr="" title="" id="72" name="Picture"/>
            <a:graphic>
              <a:graphicData uri="http://schemas.openxmlformats.org/drawingml/2006/picture">
                <pic:pic>
                  <pic:nvPicPr>
                    <pic:cNvPr descr="figureCode_files/figure-docx/figure3.1-1.png" id="73" name="Picture"/>
                    <pic:cNvPicPr>
                      <a:picLocks noChangeArrowheads="1" noChangeAspect="1"/>
                    </pic:cNvPicPr>
                  </pic:nvPicPr>
                  <pic:blipFill>
                    <a:blip r:embed="rId71"/>
                    <a:stretch>
                      <a:fillRect/>
                    </a:stretch>
                  </pic:blipFill>
                  <pic:spPr bwMode="auto">
                    <a:xfrm>
                      <a:off x="0" y="0"/>
                      <a:ext cx="5334000" cy="10668000"/>
                    </a:xfrm>
                    <a:prstGeom prst="rect">
                      <a:avLst/>
                    </a:prstGeom>
                    <a:noFill/>
                    <a:ln w="9525">
                      <a:noFill/>
                      <a:headEnd/>
                      <a:tailEnd/>
                    </a:ln>
                  </pic:spPr>
                </pic:pic>
              </a:graphicData>
            </a:graphic>
          </wp:inline>
        </w:drawing>
      </w:r>
      <w:r>
        <w:t xml:space="preserve"> </w:t>
      </w:r>
      <w:r>
        <w:rPr>
          <w:b/>
          <w:bCs/>
        </w:rPr>
        <w:t xml:space="preserve">Figure 3.1.</w:t>
      </w:r>
      <w:r>
        <w:t xml:space="preserve"> </w:t>
      </w:r>
      <w:r>
        <w:t xml:space="preserve">Slopes for the effect of group size on foraging success within populations.</w:t>
      </w:r>
      <w:r>
        <w:t xml:space="preserve"> </w:t>
      </w:r>
      <w:r>
        <w:t xml:space="preserve">For each simulation replicate, linear regressions were constructed relating energy intake rate to group size and</w:t>
      </w:r>
      <w:r>
        <w:t xml:space="preserve"> </w:t>
      </w:r>
      <w:r>
        <w:t xml:space="preserve">weekly travel distance to group size. Then, histograms were constructed to compare the frequency of slopes</w:t>
      </w:r>
      <w:r>
        <w:t xml:space="preserve"> </w:t>
      </w:r>
      <w:r>
        <w:t xml:space="preserve">differing from zero. Slopes were most different from zero when clump sizes were small and abundance was low.</w:t>
      </w:r>
      <w:r>
        <w:t xml:space="preserve"> </w:t>
      </w:r>
      <w:r>
        <w:t xml:space="preserve">As predicted, the slopes tended to be negative for energy intake rate (a.), and tended to be positive for weekly distance traveled (b.),</w:t>
      </w:r>
      <w:r>
        <w:t xml:space="preserve"> </w:t>
      </w:r>
      <w:r>
        <w:t xml:space="preserve">when they did differ from zero. The same trends are observable using the z scores calculated for each clump size (see Table below).</w:t>
      </w:r>
    </w:p>
    <w:p>
      <w:r>
        <w:pict>
          <v:rect style="width:0;height:1.5pt" o:hralign="center" o:hrstd="t" o:hr="t"/>
        </w:pict>
      </w:r>
    </w:p>
    <w:p>
      <w:pPr>
        <w:pStyle w:val="FirstParagraph"/>
      </w:pPr>
      <w:r>
        <w:rPr>
          <w:b/>
          <w:bCs/>
        </w:rPr>
        <w:t xml:space="preserve">Table 3.1.</w:t>
      </w:r>
      <w:r>
        <w:t xml:space="preserve"> </w:t>
      </w:r>
      <w:r>
        <w:t xml:space="preserve">Z scores calculated for the within-population relationships between energy intake rate and group size and weekly travel distance and group size.</w:t>
      </w:r>
      <w:r>
        <w:t xml:space="preserve"> </w:t>
      </w:r>
      <w:r>
        <w:t xml:space="preserve">Note: z scores and p-values should be interpreted with great caution when applied to simulated data.</w:t>
      </w:r>
    </w:p>
    <w:tbl>
      <w:tblPr>
        <w:tblStyle w:val="Table"/>
        <w:tblW w:type="pct" w:w="5000"/>
        <w:tblLayout w:type="fixed"/>
        <w:tblLook w:firstRow="1" w:lastRow="0" w:firstColumn="0" w:lastColumn="0" w:noHBand="0" w:noVBand="0" w:val="0020"/>
      </w:tblPr>
      <w:tblGrid>
        <w:gridCol w:w="968"/>
        <w:gridCol w:w="1652"/>
        <w:gridCol w:w="1652"/>
        <w:gridCol w:w="1823"/>
        <w:gridCol w:w="1823"/>
      </w:tblGrid>
      <w:tr>
        <w:trPr>
          <w:tblHeader w:val="on"/>
        </w:trPr>
        <w:tc>
          <w:tcPr/>
          <w:p>
            <w:pPr>
              <w:pStyle w:val="Compact"/>
            </w:pPr>
          </w:p>
        </w:tc>
        <w:tc>
          <w:tcPr/>
          <w:p>
            <w:pPr>
              <w:pStyle w:val="Compact"/>
              <w:jc w:val="right"/>
            </w:pPr>
            <w:r>
              <w:t xml:space="preserve">Energy intake rate - z score</w:t>
            </w:r>
          </w:p>
        </w:tc>
        <w:tc>
          <w:tcPr/>
          <w:p>
            <w:pPr>
              <w:pStyle w:val="Compact"/>
              <w:jc w:val="right"/>
            </w:pPr>
            <w:r>
              <w:t xml:space="preserve">Energy intake rate - p-value</w:t>
            </w:r>
          </w:p>
        </w:tc>
        <w:tc>
          <w:tcPr/>
          <w:p>
            <w:pPr>
              <w:pStyle w:val="Compact"/>
              <w:jc w:val="right"/>
            </w:pPr>
            <w:r>
              <w:t xml:space="preserve">Daily travel distance - z score</w:t>
            </w:r>
          </w:p>
        </w:tc>
        <w:tc>
          <w:tcPr/>
          <w:p>
            <w:pPr>
              <w:pStyle w:val="Compact"/>
              <w:jc w:val="right"/>
            </w:pPr>
            <w:r>
              <w:t xml:space="preserve">Daily travel distance - p-value</w:t>
            </w:r>
          </w:p>
        </w:tc>
      </w:tr>
      <w:tr>
        <w:tc>
          <w:tcPr/>
          <w:p>
            <w:pPr>
              <w:pStyle w:val="Compact"/>
              <w:jc w:val="left"/>
            </w:pPr>
            <w:r>
              <w:t xml:space="preserve">All clump sizes</w:t>
            </w:r>
          </w:p>
        </w:tc>
        <w:tc>
          <w:tcPr/>
          <w:p>
            <w:pPr>
              <w:pStyle w:val="Compact"/>
              <w:jc w:val="right"/>
            </w:pPr>
            <w:r>
              <w:t xml:space="preserve">-7.0452</w:t>
            </w:r>
          </w:p>
        </w:tc>
        <w:tc>
          <w:tcPr/>
          <w:p>
            <w:pPr>
              <w:pStyle w:val="Compact"/>
              <w:jc w:val="right"/>
            </w:pPr>
            <w:r>
              <w:t xml:space="preserve">0.0000</w:t>
            </w:r>
          </w:p>
        </w:tc>
        <w:tc>
          <w:tcPr/>
          <w:p>
            <w:pPr>
              <w:pStyle w:val="Compact"/>
              <w:jc w:val="right"/>
            </w:pPr>
            <w:r>
              <w:t xml:space="preserve">7.9383</w:t>
            </w:r>
          </w:p>
        </w:tc>
        <w:tc>
          <w:tcPr/>
          <w:p>
            <w:pPr>
              <w:pStyle w:val="Compact"/>
              <w:jc w:val="right"/>
            </w:pPr>
            <w:r>
              <w:t xml:space="preserve">0.0000</w:t>
            </w:r>
          </w:p>
        </w:tc>
      </w:tr>
      <w:tr>
        <w:tc>
          <w:tcPr/>
          <w:p>
            <w:pPr>
              <w:pStyle w:val="Compact"/>
              <w:jc w:val="left"/>
            </w:pPr>
            <w:r>
              <w:t xml:space="preserve">Clump size = 1</w:t>
            </w:r>
          </w:p>
        </w:tc>
        <w:tc>
          <w:tcPr/>
          <w:p>
            <w:pPr>
              <w:pStyle w:val="Compact"/>
              <w:jc w:val="right"/>
            </w:pPr>
            <w:r>
              <w:t xml:space="preserve">-20.3086</w:t>
            </w:r>
          </w:p>
        </w:tc>
        <w:tc>
          <w:tcPr/>
          <w:p>
            <w:pPr>
              <w:pStyle w:val="Compact"/>
              <w:jc w:val="right"/>
            </w:pPr>
            <w:r>
              <w:t xml:space="preserve">0.0000</w:t>
            </w:r>
          </w:p>
        </w:tc>
        <w:tc>
          <w:tcPr/>
          <w:p>
            <w:pPr>
              <w:pStyle w:val="Compact"/>
              <w:jc w:val="right"/>
            </w:pPr>
            <w:r>
              <w:t xml:space="preserve">20.4706</w:t>
            </w:r>
          </w:p>
        </w:tc>
        <w:tc>
          <w:tcPr/>
          <w:p>
            <w:pPr>
              <w:pStyle w:val="Compact"/>
              <w:jc w:val="right"/>
            </w:pPr>
            <w:r>
              <w:t xml:space="preserve">0.0000</w:t>
            </w:r>
          </w:p>
        </w:tc>
      </w:tr>
      <w:tr>
        <w:tc>
          <w:tcPr/>
          <w:p>
            <w:pPr>
              <w:pStyle w:val="Compact"/>
              <w:jc w:val="left"/>
            </w:pPr>
            <w:r>
              <w:t xml:space="preserve">Clump size = 126</w:t>
            </w:r>
          </w:p>
        </w:tc>
        <w:tc>
          <w:tcPr/>
          <w:p>
            <w:pPr>
              <w:pStyle w:val="Compact"/>
              <w:jc w:val="right"/>
            </w:pPr>
            <w:r>
              <w:t xml:space="preserve">-4.5252</w:t>
            </w:r>
          </w:p>
        </w:tc>
        <w:tc>
          <w:tcPr/>
          <w:p>
            <w:pPr>
              <w:pStyle w:val="Compact"/>
              <w:jc w:val="right"/>
            </w:pPr>
            <w:r>
              <w:t xml:space="preserve">0.0000</w:t>
            </w:r>
          </w:p>
        </w:tc>
        <w:tc>
          <w:tcPr/>
          <w:p>
            <w:pPr>
              <w:pStyle w:val="Compact"/>
              <w:jc w:val="right"/>
            </w:pPr>
            <w:r>
              <w:t xml:space="preserve">4.4955</w:t>
            </w:r>
          </w:p>
        </w:tc>
        <w:tc>
          <w:tcPr/>
          <w:p>
            <w:pPr>
              <w:pStyle w:val="Compact"/>
              <w:jc w:val="right"/>
            </w:pPr>
            <w:r>
              <w:t xml:space="preserve">0.0000</w:t>
            </w:r>
          </w:p>
        </w:tc>
      </w:tr>
      <w:tr>
        <w:tc>
          <w:tcPr/>
          <w:p>
            <w:pPr>
              <w:pStyle w:val="Compact"/>
              <w:jc w:val="left"/>
            </w:pPr>
            <w:r>
              <w:t xml:space="preserve">Clump size = 501</w:t>
            </w:r>
          </w:p>
        </w:tc>
        <w:tc>
          <w:tcPr/>
          <w:p>
            <w:pPr>
              <w:pStyle w:val="Compact"/>
              <w:jc w:val="right"/>
            </w:pPr>
            <w:r>
              <w:t xml:space="preserve">0.9538</w:t>
            </w:r>
          </w:p>
        </w:tc>
        <w:tc>
          <w:tcPr/>
          <w:p>
            <w:pPr>
              <w:pStyle w:val="Compact"/>
              <w:jc w:val="right"/>
            </w:pPr>
            <w:r>
              <w:t xml:space="preserve">0.3402</w:t>
            </w:r>
          </w:p>
        </w:tc>
        <w:tc>
          <w:tcPr/>
          <w:p>
            <w:pPr>
              <w:pStyle w:val="Compact"/>
              <w:jc w:val="right"/>
            </w:pPr>
            <w:r>
              <w:t xml:space="preserve">-1.0334</w:t>
            </w:r>
          </w:p>
        </w:tc>
        <w:tc>
          <w:tcPr/>
          <w:p>
            <w:pPr>
              <w:pStyle w:val="Compact"/>
              <w:jc w:val="right"/>
            </w:pPr>
            <w:r>
              <w:t xml:space="preserve">0.3014</w:t>
            </w:r>
          </w:p>
        </w:tc>
      </w:tr>
    </w:tbl>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6" Target="media/rId26.png" /><Relationship Type="http://schemas.openxmlformats.org/officeDocument/2006/relationships/image" Id="rId71" Target="media/rId7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Figures for Ekanayake-Weber et al. 2026</dc:title>
  <dc:creator/>
  <cp:keywords/>
  <dcterms:created xsi:type="dcterms:W3CDTF">2025-12-17T18:09:43Z</dcterms:created>
  <dcterms:modified xsi:type="dcterms:W3CDTF">2025-12-17T18:09:43Z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2025-12-12</vt:lpwstr>
  </property>
  <property fmtid="{D5CDD505-2E9C-101B-9397-08002B2CF9AE}" pid="3" name="output">
    <vt:lpwstr/>
  </property>
</Properties>
</file>