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49.png" ContentType="image/png"/>
  <Override PartName="/word/media/rId52.png" ContentType="image/png"/>
  <Override PartName="/word/media/rId25.png" ContentType="image/png"/>
  <Override PartName="/word/media/rId28.png" ContentType="image/png"/>
  <Override PartName="/word/media/rId31.png" ContentType="image/png"/>
  <Override PartName="/word/media/rId34.png" ContentType="image/png"/>
  <Override PartName="/word/media/rId37.png" ContentType="image/png"/>
  <Override PartName="/word/media/rId40.png" ContentType="image/png"/>
  <Override PartName="/word/media/rId43.png" ContentType="image/png"/>
  <Override PartName="/word/media/rId46.png" ContentType="image/png"/>
  <Override PartName="/word/media/rId9.png" ContentType="image/png"/>
  <Override PartName="/word/media/rId56.png" ContentType="image/png"/>
  <Override PartName="/word/media/rId12.png" ContentType="image/png"/>
  <Override PartName="/word/media/rId15.png" ContentType="image/png"/>
  <Override PartName="/word/media/rId18.png" ContentType="image/png"/>
  <Override PartName="/word/media/rId62.png" ContentType="image/png"/>
  <Override PartName="/word/media/rId65.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Figures for Ekanayake-Weber et al. 2026</w:t>
      </w:r>
    </w:p>
    <w:p>
      <w:pPr>
        <w:pStyle w:val="Date"/>
      </w:pPr>
      <w:r>
        <w:t xml:space="preserve">2025-12-12</w:t>
      </w:r>
    </w:p>
    <w:p>
      <w:pPr>
        <w:pStyle w:val="FirstParagraph"/>
      </w:pPr>
      <w:r>
        <w:t xml:space="preserve">This is an R Markdown document for easy access to and recreation of the figures</w:t>
      </w:r>
      <w:r>
        <w:t xml:space="preserve"> </w:t>
      </w:r>
      <w:r>
        <w:t xml:space="preserve">for the manuscript</w:t>
      </w:r>
      <w:r>
        <w:t xml:space="preserve"> </w:t>
      </w:r>
      <w:r>
        <w:t xml:space="preserve">“More Mouths to Feed?”</w:t>
      </w:r>
      <w:r>
        <w:t xml:space="preserve">, which is in prep for submission</w:t>
      </w:r>
      <w:r>
        <w:t xml:space="preserve"> </w:t>
      </w:r>
      <w:r>
        <w:t xml:space="preserve">to the journal PNAS.</w:t>
      </w:r>
    </w:p>
    <w:p>
      <w:pPr>
        <w:pStyle w:val="BodyText"/>
      </w:pPr>
      <w:r>
        <w:t xml:space="preserve">There is first a setup chunk which loads the appropriate packages and data.</w:t>
      </w:r>
    </w:p>
    <w:bookmarkStart w:id="21" w:name="main-text-figures"/>
    <w:p>
      <w:pPr>
        <w:pStyle w:val="Heading1"/>
      </w:pPr>
      <w:r>
        <w:t xml:space="preserve">Main Text Figures</w:t>
      </w:r>
    </w:p>
    <w:p>
      <w:pPr>
        <w:pStyle w:val="SourceCode"/>
      </w:pPr>
      <w:r>
        <w:rPr>
          <w:rStyle w:val="VerbatimChar"/>
        </w:rPr>
        <w:t xml:space="preserve">## [1] "Mean group size:  13.4482859622658"</w:t>
      </w:r>
    </w:p>
    <w:p>
      <w:pPr>
        <w:pStyle w:val="SourceCode"/>
      </w:pPr>
      <w:r>
        <w:rPr>
          <w:rStyle w:val="VerbatimChar"/>
        </w:rPr>
        <w:t xml:space="preserve">## [1] "Median group size:  10.1458333333333"</w:t>
      </w:r>
    </w:p>
    <w:p>
      <w:pPr>
        <w:pStyle w:val="FirstParagraph"/>
      </w:pPr>
      <w:r>
        <w:drawing>
          <wp:inline>
            <wp:extent cx="5334000" cy="4445000"/>
            <wp:effectExtent b="0" l="0" r="0" t="0"/>
            <wp:docPr descr="" title="" id="10" name="Picture"/>
            <a:graphic>
              <a:graphicData uri="http://schemas.openxmlformats.org/drawingml/2006/picture">
                <pic:pic>
                  <pic:nvPicPr>
                    <pic:cNvPr descr="figureCode_files/figure-docx/figure3-1.png" id="11" name="Picture"/>
                    <pic:cNvPicPr>
                      <a:picLocks noChangeArrowheads="1" noChangeAspect="1"/>
                    </pic:cNvPicPr>
                  </pic:nvPicPr>
                  <pic:blipFill>
                    <a:blip r:embed="rId9"/>
                    <a:stretch>
                      <a:fillRect/>
                    </a:stretch>
                  </pic:blipFill>
                  <pic:spPr bwMode="auto">
                    <a:xfrm>
                      <a:off x="0" y="0"/>
                      <a:ext cx="5334000" cy="4445000"/>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Distribution of and major resource influences on population mean group size.</w:t>
      </w:r>
      <w:r>
        <w:t xml:space="preserve"> </w:t>
      </w:r>
      <w:r>
        <w:rPr>
          <w:b/>
          <w:bCs/>
        </w:rPr>
        <w:t xml:space="preserve">A.,</w:t>
      </w:r>
      <w:r>
        <w:t xml:space="preserve"> </w:t>
      </w:r>
      <w:r>
        <w:t xml:space="preserve">the distribution of mean group sizes produced by the model across the primate-relevant parameter space. The x-axis (group size) is on a log10 scale. Grand mean group size was 13.45 (median 10.15).</w:t>
      </w:r>
      <w:r>
        <w:t xml:space="preserve"> </w:t>
      </w:r>
      <w:r>
        <w:rPr>
          <w:b/>
          <w:bCs/>
        </w:rPr>
        <w:t xml:space="preserve">B., C., and D.,</w:t>
      </w:r>
      <w:r>
        <w:t xml:space="preserve"> </w:t>
      </w:r>
      <w:r>
        <w:t xml:space="preserve">heatmaps showing interactions of the three most influential resource parameters on mean group size. Each cell represents the mean outcome of 5 simulation replicates. Simulations used to produce these heatmaps had all other parameters held constant. In</w:t>
      </w:r>
      <w:r>
        <w:t xml:space="preserve"> </w:t>
      </w:r>
      <w:r>
        <w:rPr>
          <w:b/>
          <w:bCs/>
        </w:rPr>
        <w:t xml:space="preserve">B. and D.,</w:t>
      </w:r>
      <w:r>
        <w:t xml:space="preserve"> </w:t>
      </w:r>
      <w:r>
        <w:t xml:space="preserve">energy abundance is divided by 1000 for display purposes. Mean group size tended to be higher when clumps were large, abundance was low, and/or energy per capita was low.</w:t>
      </w:r>
    </w:p>
    <w:p>
      <w:r>
        <w:pict>
          <v:rect style="width:0;height:1.5pt" o:hralign="center" o:hrstd="t" o:hr="t"/>
        </w:pict>
      </w:r>
    </w:p>
    <w:p>
      <w:pPr>
        <w:pStyle w:val="FirstParagraph"/>
      </w:pPr>
      <w:r>
        <w:drawing>
          <wp:inline>
            <wp:extent cx="5334000" cy="1600200"/>
            <wp:effectExtent b="0" l="0" r="0" t="0"/>
            <wp:docPr descr="" title="" id="13" name="Picture"/>
            <a:graphic>
              <a:graphicData uri="http://schemas.openxmlformats.org/drawingml/2006/picture">
                <pic:pic>
                  <pic:nvPicPr>
                    <pic:cNvPr descr="figureCode_files/figure-docx/figure4-1.png" id="14" name="Picture"/>
                    <pic:cNvPicPr>
                      <a:picLocks noChangeArrowheads="1" noChangeAspect="1"/>
                    </pic:cNvPicPr>
                  </pic:nvPicPr>
                  <pic:blipFill>
                    <a:blip r:embed="rId12"/>
                    <a:stretch>
                      <a:fillRect/>
                    </a:stretch>
                  </pic:blipFill>
                  <pic:spPr bwMode="auto">
                    <a:xfrm>
                      <a:off x="0" y="0"/>
                      <a:ext cx="5334000" cy="1600200"/>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Relationships between population mean group size and population mean energy intake rate, for clump sizes ranging from 1 to 501 (A), and separated for small (B), medium (C), and large (D) clumps. Resource abundance, energy per capita, and gregariousness were also allowed to vary, but all other parameters were held constant. Each dot represents a population mean of a single simulation. Each line corresponds to a linear regression, with formulae (using the log10 group size) displayed on each plot. A. when clump size was 1. B. when clump size was 1. C. when clump size was 126. D. when clump size was 501.</w:t>
      </w:r>
    </w:p>
    <w:p>
      <w:r>
        <w:pict>
          <v:rect style="width:0;height:1.5pt" o:hralign="center" o:hrstd="t" o:hr="t"/>
        </w:pict>
      </w:r>
    </w:p>
    <w:p>
      <w:pPr>
        <w:pStyle w:val="FirstParagraph"/>
      </w:pPr>
      <w:r>
        <w:drawing>
          <wp:inline>
            <wp:extent cx="5334000" cy="1454727"/>
            <wp:effectExtent b="0" l="0" r="0" t="0"/>
            <wp:docPr descr="" title="" id="16" name="Picture"/>
            <a:graphic>
              <a:graphicData uri="http://schemas.openxmlformats.org/drawingml/2006/picture">
                <pic:pic>
                  <pic:nvPicPr>
                    <pic:cNvPr descr="figureCode_files/figure-docx/figure5-1.png" id="17" name="Picture"/>
                    <pic:cNvPicPr>
                      <a:picLocks noChangeArrowheads="1" noChangeAspect="1"/>
                    </pic:cNvPicPr>
                  </pic:nvPicPr>
                  <pic:blipFill>
                    <a:blip r:embed="rId15"/>
                    <a:stretch>
                      <a:fillRect/>
                    </a:stretch>
                  </pic:blipFill>
                  <pic:spPr bwMode="auto">
                    <a:xfrm>
                      <a:off x="0" y="0"/>
                      <a:ext cx="5334000" cy="1454727"/>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Relationships between population mean group size and population mean daily travel distance, for clump sizes ranging from 1 to 501 (A), and separated for small (B), medium (C), and large (D) clumps. Resource abundance, energy per capita, and gregariousness were also allowed to vary, but all other parameters were held constant. Each dot represents a population mean of a single simulation. Each line corresponds to a linear regression, with formulae (using the log10 group size) displayed on each plot. A. all clump sizes (1 to 501) combined . B. when clump size was 1. C. when clump size was 126. D. when clump size was 501.</w:t>
      </w:r>
    </w:p>
    <w:p>
      <w:r>
        <w:pict>
          <v:rect style="width:0;height:1.5pt" o:hralign="center" o:hrstd="t" o:hr="t"/>
        </w:pict>
      </w:r>
    </w:p>
    <w:p>
      <w:pPr>
        <w:pStyle w:val="FirstParagraph"/>
      </w:pPr>
      <w:r>
        <w:drawing>
          <wp:inline>
            <wp:extent cx="5334000" cy="5334000"/>
            <wp:effectExtent b="0" l="0" r="0" t="0"/>
            <wp:docPr descr="" title="" id="19" name="Picture"/>
            <a:graphic>
              <a:graphicData uri="http://schemas.openxmlformats.org/drawingml/2006/picture">
                <pic:pic>
                  <pic:nvPicPr>
                    <pic:cNvPr descr="figureCode_files/figure-docx/figure6-1.png" id="20" name="Picture"/>
                    <pic:cNvPicPr>
                      <a:picLocks noChangeArrowheads="1" noChangeAspect="1"/>
                    </pic:cNvPicPr>
                  </pic:nvPicPr>
                  <pic:blipFill>
                    <a:blip r:embed="rId18"/>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The relationship between group size and foraging efficiency, mediated by the maximum distance that agents would tolerate being from group members (“target distance”). The number of group members that each agent attempted to keep in proximity (“target neighbors”) was also allowed to vary across these simulations. Each dot represents a population mean of a single simulation. The black lines are linear regressions for each category of target distance. Formulae for the regression lines (using the log group size) are displayed on each plot.</w:t>
      </w:r>
      <w:r>
        <w:t xml:space="preserve"> </w:t>
      </w:r>
      <w:r>
        <w:rPr>
          <w:b/>
          <w:bCs/>
        </w:rPr>
        <w:t xml:space="preserve">A.</w:t>
      </w:r>
      <w:r>
        <w:t xml:space="preserve"> </w:t>
      </w:r>
      <w:r>
        <w:t xml:space="preserve">when target distance was less than 20, which meant that agents maintained closer proximity to other group members.</w:t>
      </w:r>
      <w:r>
        <w:t xml:space="preserve"> </w:t>
      </w:r>
      <w:r>
        <w:rPr>
          <w:b/>
          <w:bCs/>
        </w:rPr>
        <w:t xml:space="preserve">B.</w:t>
      </w:r>
      <w:r>
        <w:t xml:space="preserve"> </w:t>
      </w:r>
      <w:r>
        <w:t xml:space="preserve">when target distance was greater than 20, which meant that group members tolerated being more spread out.</w:t>
      </w:r>
    </w:p>
    <w:p>
      <w:r>
        <w:pict>
          <v:rect style="width:0;height:1.5pt" o:hralign="center" o:hrstd="t" o:hr="t"/>
        </w:pict>
      </w:r>
    </w:p>
    <w:bookmarkEnd w:id="21"/>
    <w:bookmarkStart w:id="55" w:name="supplementappendix-2"/>
    <w:p>
      <w:pPr>
        <w:pStyle w:val="Heading1"/>
      </w:pPr>
      <w:r>
        <w:t xml:space="preserve">Supplement/Appendix 2</w:t>
      </w:r>
    </w:p>
    <w:p>
      <w:pPr>
        <w:pStyle w:val="FirstParagraph"/>
      </w:pPr>
      <w:r>
        <w:t xml:space="preserve">This supplement/appendix contains extra results to support the main text.</w:t>
      </w:r>
      <w:r>
        <w:t xml:space="preserve"> </w:t>
      </w:r>
      <w:r>
        <w:drawing>
          <wp:inline>
            <wp:extent cx="5334000" cy="4445000"/>
            <wp:effectExtent b="0" l="0" r="0" t="0"/>
            <wp:docPr descr="" title="" id="23" name="Picture"/>
            <a:graphic>
              <a:graphicData uri="http://schemas.openxmlformats.org/drawingml/2006/picture">
                <pic:pic>
                  <pic:nvPicPr>
                    <pic:cNvPr descr="figureCode_files/figure-docx/figure2.1-1.png" id="24" name="Picture"/>
                    <pic:cNvPicPr>
                      <a:picLocks noChangeArrowheads="1" noChangeAspect="1"/>
                    </pic:cNvPicPr>
                  </pic:nvPicPr>
                  <pic:blipFill>
                    <a:blip r:embed="rId22"/>
                    <a:stretch>
                      <a:fillRect/>
                    </a:stretch>
                  </pic:blipFill>
                  <pic:spPr bwMode="auto">
                    <a:xfrm>
                      <a:off x="0" y="0"/>
                      <a:ext cx="5334000" cy="4445000"/>
                    </a:xfrm>
                    <a:prstGeom prst="rect">
                      <a:avLst/>
                    </a:prstGeom>
                    <a:noFill/>
                    <a:ln w="9525">
                      <a:noFill/>
                      <a:headEnd/>
                      <a:tailEnd/>
                    </a:ln>
                  </pic:spPr>
                </pic:pic>
              </a:graphicData>
            </a:graphic>
          </wp:inline>
        </w:drawing>
      </w:r>
    </w:p>
    <w:p>
      <w:pPr>
        <w:pStyle w:val="BodyText"/>
      </w:pPr>
      <w:r>
        <w:drawing>
          <wp:inline>
            <wp:extent cx="5334000" cy="2667000"/>
            <wp:effectExtent b="0" l="0" r="0" t="0"/>
            <wp:docPr descr="" title="" id="26" name="Picture"/>
            <a:graphic>
              <a:graphicData uri="http://schemas.openxmlformats.org/drawingml/2006/picture">
                <pic:pic>
                  <pic:nvPicPr>
                    <pic:cNvPr descr="figureCode_files/figure-docx/figure2.2-1.png" id="27" name="Picture"/>
                    <pic:cNvPicPr>
                      <a:picLocks noChangeArrowheads="1" noChangeAspect="1"/>
                    </pic:cNvPicPr>
                  </pic:nvPicPr>
                  <pic:blipFill>
                    <a:blip r:embed="rId2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b/>
          <w:bCs/>
        </w:rPr>
        <w:t xml:space="preserve">Figure 2.2.</w:t>
      </w:r>
      <w:r>
        <w:t xml:space="preserve"> </w:t>
      </w:r>
      <w:r>
        <w:t xml:space="preserve">Pattern-matching: comparison of empirical daily movement distance data to simulated daily distance travel data. At a scale of each patch = 10m, the mean daily movement distance of our agents was similar to the range observed across a variety of primate species. Data was taken from Vidal-Cordasco et al. 2020.</w:t>
      </w:r>
    </w:p>
    <w:p>
      <w:r>
        <w:pict>
          <v:rect style="width:0;height:1.5pt" o:hralign="center" o:hrstd="t" o:hr="t"/>
        </w:pict>
      </w:r>
    </w:p>
    <w:p>
      <w:pPr>
        <w:pStyle w:val="FirstParagraph"/>
      </w:pPr>
      <w:r>
        <w:drawing>
          <wp:inline>
            <wp:extent cx="5334000" cy="2667000"/>
            <wp:effectExtent b="0" l="0" r="0" t="0"/>
            <wp:docPr descr="" title="" id="29" name="Picture"/>
            <a:graphic>
              <a:graphicData uri="http://schemas.openxmlformats.org/drawingml/2006/picture">
                <pic:pic>
                  <pic:nvPicPr>
                    <pic:cNvPr descr="figureCode_files/figure-docx/figure2.3-1.png" id="30" name="Picture"/>
                    <pic:cNvPicPr>
                      <a:picLocks noChangeArrowheads="1" noChangeAspect="1"/>
                    </pic:cNvPicPr>
                  </pic:nvPicPr>
                  <pic:blipFill>
                    <a:blip r:embed="rId28"/>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b/>
          <w:bCs/>
        </w:rPr>
        <w:t xml:space="preserve">Figure 2.3.</w:t>
      </w:r>
      <w:r>
        <w:t xml:space="preserve"> </w:t>
      </w:r>
      <w:r>
        <w:t xml:space="preserve">To assess whether our agent’s activity budgets were similar to real primates, we converted activity budget data for a variety of species into a ratio of time moving to time moving or eating. Data was taken from Kamilar &amp; Cooper 2013. Once adjusted, the range and distribution of this simplified activity budget approximated the behavior of agents in this model.</w:t>
      </w:r>
    </w:p>
    <w:p>
      <w:r>
        <w:pict>
          <v:rect style="width:0;height:1.5pt" o:hralign="center" o:hrstd="t" o:hr="t"/>
        </w:pict>
      </w:r>
    </w:p>
    <w:p>
      <w:pPr>
        <w:pStyle w:val="FirstParagraph"/>
      </w:pPr>
      <w:r>
        <w:drawing>
          <wp:inline>
            <wp:extent cx="4013200" cy="2438400"/>
            <wp:effectExtent b="0" l="0" r="0" t="0"/>
            <wp:docPr descr="" title="" id="32" name="Picture"/>
            <a:graphic>
              <a:graphicData uri="http://schemas.openxmlformats.org/drawingml/2006/picture">
                <pic:pic>
                  <pic:nvPicPr>
                    <pic:cNvPr descr="figureCode_files/figure-docx/figure2.4-1.png" id="33" name="Picture"/>
                    <pic:cNvPicPr>
                      <a:picLocks noChangeArrowheads="1" noChangeAspect="1"/>
                    </pic:cNvPicPr>
                  </pic:nvPicPr>
                  <pic:blipFill>
                    <a:blip r:embed="rId31"/>
                    <a:stretch>
                      <a:fillRect/>
                    </a:stretch>
                  </pic:blipFill>
                  <pic:spPr bwMode="auto">
                    <a:xfrm>
                      <a:off x="0" y="0"/>
                      <a:ext cx="4013200" cy="2438400"/>
                    </a:xfrm>
                    <a:prstGeom prst="rect">
                      <a:avLst/>
                    </a:prstGeom>
                    <a:noFill/>
                    <a:ln w="9525">
                      <a:noFill/>
                      <a:headEnd/>
                      <a:tailEnd/>
                    </a:ln>
                  </pic:spPr>
                </pic:pic>
              </a:graphicData>
            </a:graphic>
          </wp:inline>
        </w:drawing>
      </w:r>
    </w:p>
    <w:p>
      <w:pPr>
        <w:pStyle w:val="BodyText"/>
      </w:pPr>
      <w:r>
        <w:rPr>
          <w:b/>
          <w:bCs/>
        </w:rPr>
        <w:t xml:space="preserve">Figure 2.4.</w:t>
      </w:r>
      <w:r>
        <w:t xml:space="preserve"> </w:t>
      </w:r>
      <w:r>
        <w:t xml:space="preserve">In simulations run with the parameter ranges listed in Appendix Table 2.1, we recorded the proportion of agents labeled as grouped in the population. With a target-neighbors of &gt;=3, the vast majority of agents belonged to groups.</w:t>
      </w:r>
    </w:p>
    <w:p>
      <w:r>
        <w:pict>
          <v:rect style="width:0;height:1.5pt" o:hralign="center" o:hrstd="t" o:hr="t"/>
        </w:pict>
      </w:r>
    </w:p>
    <w:p>
      <w:pPr>
        <w:pStyle w:val="FirstParagraph"/>
      </w:pPr>
      <w:r>
        <w:drawing>
          <wp:inline>
            <wp:extent cx="5334000" cy="5334000"/>
            <wp:effectExtent b="0" l="0" r="0" t="0"/>
            <wp:docPr descr="" title="" id="35" name="Picture"/>
            <a:graphic>
              <a:graphicData uri="http://schemas.openxmlformats.org/drawingml/2006/picture">
                <pic:pic>
                  <pic:nvPicPr>
                    <pic:cNvPr descr="figureCode_files/figure-docx/figure2.5-1.png" id="36" name="Picture"/>
                    <pic:cNvPicPr>
                      <a:picLocks noChangeArrowheads="1" noChangeAspect="1"/>
                    </pic:cNvPicPr>
                  </pic:nvPicPr>
                  <pic:blipFill>
                    <a:blip r:embed="rId34"/>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
          <w:bCs/>
        </w:rPr>
        <w:t xml:space="preserve">Figure 2.5.</w:t>
      </w:r>
      <w:r>
        <w:t xml:space="preserve"> </w:t>
      </w:r>
      <w:r>
        <w:t xml:space="preserve">Elementary effects for the four main metrics: population mean group size (A), energy intake rate (B), total distance traveled (C), and inter-individual distance among group members (D). The most influential parameters for each metric have text labels. Other data points are labeled as follows: 1 - abundance; 2, clump size; 3, energy per capita; 4, extraction rate (mean); 5, extraction rate (SD); 6, movement speed; 7, movement noise; 8, sensory range, other primates; 9, patch regrowth interval; 10, mean patch quality; 11, SD patch quality; 12, % regrowth; 13, sensory range, resources; 14, target distance; 15, target neighbors.</w:t>
      </w:r>
    </w:p>
    <w:p>
      <w:r>
        <w:pict>
          <v:rect style="width:0;height:1.5pt" o:hralign="center" o:hrstd="t" o:hr="t"/>
        </w:pict>
      </w:r>
    </w:p>
    <w:p>
      <w:pPr>
        <w:pStyle w:val="FirstParagraph"/>
      </w:pPr>
      <w:r>
        <w:drawing>
          <wp:inline>
            <wp:extent cx="5334000" cy="9144000"/>
            <wp:effectExtent b="0" l="0" r="0" t="0"/>
            <wp:docPr descr="" title="" id="38" name="Picture"/>
            <a:graphic>
              <a:graphicData uri="http://schemas.openxmlformats.org/drawingml/2006/picture">
                <pic:pic>
                  <pic:nvPicPr>
                    <pic:cNvPr descr="figureCode_files/figure-docx/figure2.6-1.png" id="39" name="Picture"/>
                    <pic:cNvPicPr>
                      <a:picLocks noChangeArrowheads="1" noChangeAspect="1"/>
                    </pic:cNvPicPr>
                  </pic:nvPicPr>
                  <pic:blipFill>
                    <a:blip r:embed="rId37"/>
                    <a:stretch>
                      <a:fillRect/>
                    </a:stretch>
                  </pic:blipFill>
                  <pic:spPr bwMode="auto">
                    <a:xfrm>
                      <a:off x="0" y="0"/>
                      <a:ext cx="5334000" cy="9144000"/>
                    </a:xfrm>
                    <a:prstGeom prst="rect">
                      <a:avLst/>
                    </a:prstGeom>
                    <a:noFill/>
                    <a:ln w="9525">
                      <a:noFill/>
                      <a:headEnd/>
                      <a:tailEnd/>
                    </a:ln>
                  </pic:spPr>
                </pic:pic>
              </a:graphicData>
            </a:graphic>
          </wp:inline>
        </w:drawing>
      </w:r>
    </w:p>
    <w:p>
      <w:pPr>
        <w:pStyle w:val="BodyText"/>
      </w:pPr>
      <w:r>
        <w:rPr>
          <w:b/>
          <w:bCs/>
        </w:rPr>
        <w:t xml:space="preserve">Figure 2.6.</w:t>
      </w:r>
      <w:r>
        <w:t xml:space="preserve"> </w:t>
      </w:r>
      <w:r>
        <w:t xml:space="preserve">Heatmaps with the interactive effects of the most influential parameters on population mean group size. Based on the strongest elementary effects (appendix figure 2.5 A), factorial experiments were designed to clarify the strongest interactions for population mean group size. Log10 of group size was used, since this outcome was non-normally distributed. Each tile of the heatmap represents only a single simulation.</w:t>
      </w:r>
    </w:p>
    <w:p>
      <w:r>
        <w:pict>
          <v:rect style="width:0;height:1.5pt" o:hralign="center" o:hrstd="t" o:hr="t"/>
        </w:pict>
      </w:r>
    </w:p>
    <w:p>
      <w:pPr>
        <w:pStyle w:val="FirstParagraph"/>
      </w:pPr>
      <w:r>
        <w:drawing>
          <wp:inline>
            <wp:extent cx="5334000" cy="6096000"/>
            <wp:effectExtent b="0" l="0" r="0" t="0"/>
            <wp:docPr descr="" title="" id="41" name="Picture"/>
            <a:graphic>
              <a:graphicData uri="http://schemas.openxmlformats.org/drawingml/2006/picture">
                <pic:pic>
                  <pic:nvPicPr>
                    <pic:cNvPr descr="figureCode_files/figure-docx/figure2.7-1.png" id="42" name="Picture"/>
                    <pic:cNvPicPr>
                      <a:picLocks noChangeArrowheads="1" noChangeAspect="1"/>
                    </pic:cNvPicPr>
                  </pic:nvPicPr>
                  <pic:blipFill>
                    <a:blip r:embed="rId40"/>
                    <a:stretch>
                      <a:fillRect/>
                    </a:stretch>
                  </pic:blipFill>
                  <pic:spPr bwMode="auto">
                    <a:xfrm>
                      <a:off x="0" y="0"/>
                      <a:ext cx="5334000" cy="6096000"/>
                    </a:xfrm>
                    <a:prstGeom prst="rect">
                      <a:avLst/>
                    </a:prstGeom>
                    <a:noFill/>
                    <a:ln w="9525">
                      <a:noFill/>
                      <a:headEnd/>
                      <a:tailEnd/>
                    </a:ln>
                  </pic:spPr>
                </pic:pic>
              </a:graphicData>
            </a:graphic>
          </wp:inline>
        </w:drawing>
      </w:r>
    </w:p>
    <w:p>
      <w:pPr>
        <w:pStyle w:val="BodyText"/>
      </w:pPr>
      <w:r>
        <w:rPr>
          <w:b/>
          <w:bCs/>
        </w:rPr>
        <w:t xml:space="preserve">Figure 2.7.</w:t>
      </w:r>
      <w:r>
        <w:t xml:space="preserve"> </w:t>
      </w:r>
      <w:r>
        <w:t xml:space="preserve">Heatmaps with the interactive effects of the most influential parameters on energy intake rate. Based on the strongest elementary effects (appendix figure 2.5 B), factorial experiments were designed to clarify the strongest interactions for energy intake rate. Note the close linkage between extraction rate and energy intake rate (a and b); this is as expected, this extraction rate puts an upper limit on how quickly agents can gain energy out of a patch, even if no feeding competition is occurring.</w:t>
      </w:r>
    </w:p>
    <w:p>
      <w:r>
        <w:pict>
          <v:rect style="width:0;height:1.5pt" o:hralign="center" o:hrstd="t" o:hr="t"/>
        </w:pict>
      </w:r>
    </w:p>
    <w:p>
      <w:pPr>
        <w:pStyle w:val="FirstParagraph"/>
      </w:pPr>
      <w:r>
        <w:drawing>
          <wp:inline>
            <wp:extent cx="5334000" cy="8382000"/>
            <wp:effectExtent b="0" l="0" r="0" t="0"/>
            <wp:docPr descr="" title="" id="44" name="Picture"/>
            <a:graphic>
              <a:graphicData uri="http://schemas.openxmlformats.org/drawingml/2006/picture">
                <pic:pic>
                  <pic:nvPicPr>
                    <pic:cNvPr descr="figureCode_files/figure-docx/figure2.8-1.png" id="45" name="Picture"/>
                    <pic:cNvPicPr>
                      <a:picLocks noChangeArrowheads="1" noChangeAspect="1"/>
                    </pic:cNvPicPr>
                  </pic:nvPicPr>
                  <pic:blipFill>
                    <a:blip r:embed="rId43"/>
                    <a:stretch>
                      <a:fillRect/>
                    </a:stretch>
                  </pic:blipFill>
                  <pic:spPr bwMode="auto">
                    <a:xfrm>
                      <a:off x="0" y="0"/>
                      <a:ext cx="5334000" cy="8382000"/>
                    </a:xfrm>
                    <a:prstGeom prst="rect">
                      <a:avLst/>
                    </a:prstGeom>
                    <a:noFill/>
                    <a:ln w="9525">
                      <a:noFill/>
                      <a:headEnd/>
                      <a:tailEnd/>
                    </a:ln>
                  </pic:spPr>
                </pic:pic>
              </a:graphicData>
            </a:graphic>
          </wp:inline>
        </w:drawing>
      </w:r>
    </w:p>
    <w:p>
      <w:pPr>
        <w:pStyle w:val="BodyText"/>
      </w:pPr>
      <w:r>
        <w:rPr>
          <w:b/>
          <w:bCs/>
        </w:rPr>
        <w:t xml:space="preserve">Figure 2.8.</w:t>
      </w:r>
      <w:r>
        <w:t xml:space="preserve"> </w:t>
      </w:r>
      <w:r>
        <w:t xml:space="preserve">Heatmaps with the interactive effects of the most influential parameters on daily distance traveled. Based on the strongest elementary effects (appendix figure 2.5 C), factorial experiments were designed to clarify the strongest interactions for daily distance traveled.</w:t>
      </w:r>
    </w:p>
    <w:p>
      <w:r>
        <w:pict>
          <v:rect style="width:0;height:1.5pt" o:hralign="center" o:hrstd="t" o:hr="t"/>
        </w:pict>
      </w:r>
    </w:p>
    <w:p>
      <w:pPr>
        <w:pStyle w:val="FirstParagraph"/>
      </w:pPr>
      <w:r>
        <w:drawing>
          <wp:inline>
            <wp:extent cx="5334000" cy="9144000"/>
            <wp:effectExtent b="0" l="0" r="0" t="0"/>
            <wp:docPr descr="" title="" id="47" name="Picture"/>
            <a:graphic>
              <a:graphicData uri="http://schemas.openxmlformats.org/drawingml/2006/picture">
                <pic:pic>
                  <pic:nvPicPr>
                    <pic:cNvPr descr="figureCode_files/figure-docx/figure2.9-1.png" id="48" name="Picture"/>
                    <pic:cNvPicPr>
                      <a:picLocks noChangeArrowheads="1" noChangeAspect="1"/>
                    </pic:cNvPicPr>
                  </pic:nvPicPr>
                  <pic:blipFill>
                    <a:blip r:embed="rId46"/>
                    <a:stretch>
                      <a:fillRect/>
                    </a:stretch>
                  </pic:blipFill>
                  <pic:spPr bwMode="auto">
                    <a:xfrm>
                      <a:off x="0" y="0"/>
                      <a:ext cx="5334000" cy="9144000"/>
                    </a:xfrm>
                    <a:prstGeom prst="rect">
                      <a:avLst/>
                    </a:prstGeom>
                    <a:noFill/>
                    <a:ln w="9525">
                      <a:noFill/>
                      <a:headEnd/>
                      <a:tailEnd/>
                    </a:ln>
                  </pic:spPr>
                </pic:pic>
              </a:graphicData>
            </a:graphic>
          </wp:inline>
        </w:drawing>
      </w:r>
    </w:p>
    <w:p>
      <w:pPr>
        <w:pStyle w:val="BodyText"/>
      </w:pPr>
      <w:r>
        <w:rPr>
          <w:b/>
          <w:bCs/>
        </w:rPr>
        <w:t xml:space="preserve">Figure 2.9.</w:t>
      </w:r>
      <w:r>
        <w:t xml:space="preserve"> </w:t>
      </w:r>
      <w:r>
        <w:t xml:space="preserve">Energy intake rate as a product of mean group size, for all clump sizes (A) and for clumps of different sizes (B-G). Data is the same as main text figure 4, just with more different clump sizes.</w:t>
      </w:r>
    </w:p>
    <w:p>
      <w:r>
        <w:pict>
          <v:rect style="width:0;height:1.5pt" o:hralign="center" o:hrstd="t" o:hr="t"/>
        </w:pict>
      </w:r>
    </w:p>
    <w:p>
      <w:pPr>
        <w:pStyle w:val="FirstParagraph"/>
      </w:pPr>
      <w:r>
        <w:drawing>
          <wp:inline>
            <wp:extent cx="5334000" cy="9144000"/>
            <wp:effectExtent b="0" l="0" r="0" t="0"/>
            <wp:docPr descr="" title="" id="50" name="Picture"/>
            <a:graphic>
              <a:graphicData uri="http://schemas.openxmlformats.org/drawingml/2006/picture">
                <pic:pic>
                  <pic:nvPicPr>
                    <pic:cNvPr descr="figureCode_files/figure-docx/figure2.10-1.png" id="51" name="Picture"/>
                    <pic:cNvPicPr>
                      <a:picLocks noChangeArrowheads="1" noChangeAspect="1"/>
                    </pic:cNvPicPr>
                  </pic:nvPicPr>
                  <pic:blipFill>
                    <a:blip r:embed="rId49"/>
                    <a:stretch>
                      <a:fillRect/>
                    </a:stretch>
                  </pic:blipFill>
                  <pic:spPr bwMode="auto">
                    <a:xfrm>
                      <a:off x="0" y="0"/>
                      <a:ext cx="5334000" cy="9144000"/>
                    </a:xfrm>
                    <a:prstGeom prst="rect">
                      <a:avLst/>
                    </a:prstGeom>
                    <a:noFill/>
                    <a:ln w="9525">
                      <a:noFill/>
                      <a:headEnd/>
                      <a:tailEnd/>
                    </a:ln>
                  </pic:spPr>
                </pic:pic>
              </a:graphicData>
            </a:graphic>
          </wp:inline>
        </w:drawing>
      </w:r>
    </w:p>
    <w:p>
      <w:pPr>
        <w:pStyle w:val="BodyText"/>
      </w:pPr>
      <w:r>
        <w:rPr>
          <w:b/>
          <w:bCs/>
        </w:rPr>
        <w:t xml:space="preserve">Figure 2.10.</w:t>
      </w:r>
      <w:r>
        <w:t xml:space="preserve"> </w:t>
      </w:r>
      <w:r>
        <w:t xml:space="preserve">Daily distance traveled as a product of mean group size, for all clump sizes (A) and for clumps of different sizes (B-G). Data is the same as main text figure 5, just with more different clump sizes.</w:t>
      </w:r>
    </w:p>
    <w:p>
      <w:r>
        <w:pict>
          <v:rect style="width:0;height:1.5pt" o:hralign="center" o:hrstd="t" o:hr="t"/>
        </w:pict>
      </w:r>
    </w:p>
    <w:p>
      <w:pPr>
        <w:pStyle w:val="FirstParagraph"/>
      </w:pPr>
      <w:r>
        <w:drawing>
          <wp:inline>
            <wp:extent cx="5334000" cy="7620000"/>
            <wp:effectExtent b="0" l="0" r="0" t="0"/>
            <wp:docPr descr="" title="" id="53" name="Picture"/>
            <a:graphic>
              <a:graphicData uri="http://schemas.openxmlformats.org/drawingml/2006/picture">
                <pic:pic>
                  <pic:nvPicPr>
                    <pic:cNvPr descr="figureCode_files/figure-docx/figure2.11-1.png" id="54" name="Picture"/>
                    <pic:cNvPicPr>
                      <a:picLocks noChangeArrowheads="1" noChangeAspect="1"/>
                    </pic:cNvPicPr>
                  </pic:nvPicPr>
                  <pic:blipFill>
                    <a:blip r:embed="rId52"/>
                    <a:stretch>
                      <a:fillRect/>
                    </a:stretch>
                  </pic:blipFill>
                  <pic:spPr bwMode="auto">
                    <a:xfrm>
                      <a:off x="0" y="0"/>
                      <a:ext cx="5334000" cy="7620000"/>
                    </a:xfrm>
                    <a:prstGeom prst="rect">
                      <a:avLst/>
                    </a:prstGeom>
                    <a:noFill/>
                    <a:ln w="9525">
                      <a:noFill/>
                      <a:headEnd/>
                      <a:tailEnd/>
                    </a:ln>
                  </pic:spPr>
                </pic:pic>
              </a:graphicData>
            </a:graphic>
          </wp:inline>
        </w:drawing>
      </w:r>
    </w:p>
    <w:p>
      <w:pPr>
        <w:pStyle w:val="BodyText"/>
      </w:pPr>
      <w:r>
        <w:rPr>
          <w:b/>
          <w:bCs/>
        </w:rPr>
        <w:t xml:space="preserve">Figure 2.11.</w:t>
      </w:r>
      <w:r>
        <w:t xml:space="preserve"> </w:t>
      </w:r>
      <w:r>
        <w:t xml:space="preserve">Heatmaps with the interactive effects of the most influential parameters on interindividual distance. Based on the strongest elementary effects (appendix figure 2.5 D), factorial experiments were designed to clarify the strongest interactions for interindividual distance.</w:t>
      </w:r>
    </w:p>
    <w:p>
      <w:r>
        <w:pict>
          <v:rect style="width:0;height:1.5pt" o:hralign="center" o:hrstd="t" o:hr="t"/>
        </w:pict>
      </w:r>
    </w:p>
    <w:bookmarkEnd w:id="55"/>
    <w:bookmarkStart w:id="68" w:name="supplementappendix-3"/>
    <w:p>
      <w:pPr>
        <w:pStyle w:val="Heading1"/>
      </w:pPr>
      <w:r>
        <w:t xml:space="preserve">Supplement/Appendix 3</w:t>
      </w:r>
    </w:p>
    <w:p>
      <w:pPr>
        <w:pStyle w:val="FirstParagraph"/>
      </w:pPr>
      <w:r>
        <w:t xml:space="preserve">This supplement/appendix contains the within-population group-level results.</w:t>
      </w:r>
    </w:p>
    <w:p>
      <w:pPr>
        <w:pStyle w:val="BodyText"/>
      </w:pPr>
      <w:r>
        <w:drawing>
          <wp:inline>
            <wp:extent cx="5334000" cy="10668000"/>
            <wp:effectExtent b="0" l="0" r="0" t="0"/>
            <wp:docPr descr="" title="" id="57" name="Picture"/>
            <a:graphic>
              <a:graphicData uri="http://schemas.openxmlformats.org/drawingml/2006/picture">
                <pic:pic>
                  <pic:nvPicPr>
                    <pic:cNvPr descr="figureCode_files/figure-docx/figure3.1-1.png" id="58" name="Picture"/>
                    <pic:cNvPicPr>
                      <a:picLocks noChangeArrowheads="1" noChangeAspect="1"/>
                    </pic:cNvPicPr>
                  </pic:nvPicPr>
                  <pic:blipFill>
                    <a:blip r:embed="rId56"/>
                    <a:stretch>
                      <a:fillRect/>
                    </a:stretch>
                  </pic:blipFill>
                  <pic:spPr bwMode="auto">
                    <a:xfrm>
                      <a:off x="0" y="0"/>
                      <a:ext cx="5334000" cy="10668000"/>
                    </a:xfrm>
                    <a:prstGeom prst="rect">
                      <a:avLst/>
                    </a:prstGeom>
                    <a:noFill/>
                    <a:ln w="9525">
                      <a:noFill/>
                      <a:headEnd/>
                      <a:tailEnd/>
                    </a:ln>
                  </pic:spPr>
                </pic:pic>
              </a:graphicData>
            </a:graphic>
          </wp:inline>
        </w:drawing>
      </w:r>
      <w:r>
        <w:t xml:space="preserve"> </w:t>
      </w:r>
      <w:r>
        <w:rPr>
          <w:b/>
          <w:bCs/>
        </w:rPr>
        <w:t xml:space="preserve">Figure 3.1.</w:t>
      </w:r>
      <w:r>
        <w:t xml:space="preserve"> </w:t>
      </w:r>
      <w:r>
        <w:t xml:space="preserve">Slopes for the effect of group size on foraging success within populations.</w:t>
      </w:r>
      <w:r>
        <w:t xml:space="preserve"> </w:t>
      </w:r>
      <w:r>
        <w:t xml:space="preserve">For each simulation replicate, linear regressions were constructed relating energy intake rate to group size and</w:t>
      </w:r>
      <w:r>
        <w:t xml:space="preserve"> </w:t>
      </w:r>
      <w:r>
        <w:t xml:space="preserve">weekly travel distance to group size. Then, histograms were constructed to compare the frequency of slopes</w:t>
      </w:r>
      <w:r>
        <w:t xml:space="preserve"> </w:t>
      </w:r>
      <w:r>
        <w:t xml:space="preserve">differing from zero. Slopes were most different from zero when clump sizes were small and abundance was low.</w:t>
      </w:r>
      <w:r>
        <w:t xml:space="preserve"> </w:t>
      </w:r>
      <w:r>
        <w:t xml:space="preserve">As predicted, the slopes tended to be negative for energy intake rate (a.), and tended to be positive for weekly distance traveled (b.),</w:t>
      </w:r>
      <w:r>
        <w:t xml:space="preserve"> </w:t>
      </w:r>
      <w:r>
        <w:t xml:space="preserve">when they did differ from zero. The same trends are observable using the z scores calculated for each clump size (see Table below).</w:t>
      </w:r>
    </w:p>
    <w:p>
      <w:r>
        <w:pict>
          <v:rect style="width:0;height:1.5pt" o:hralign="center" o:hrstd="t" o:hr="t"/>
        </w:pict>
      </w:r>
    </w:p>
    <w:p>
      <w:pPr>
        <w:pStyle w:val="FirstParagraph"/>
      </w:pPr>
      <w:r>
        <w:rPr>
          <w:b/>
          <w:bCs/>
        </w:rPr>
        <w:t xml:space="preserve">Table 3.1.</w:t>
      </w:r>
      <w:r>
        <w:t xml:space="preserve"> </w:t>
      </w:r>
      <w:r>
        <w:t xml:space="preserve">Z scores calculated for the within-population relationships between energy intake rate and group size and weekly travel distance and group size.</w:t>
      </w:r>
      <w:r>
        <w:t xml:space="preserve"> </w:t>
      </w:r>
      <w:r>
        <w:t xml:space="preserve">Note: z scores and p-values should be interpreted with great caution when applied to simulated data.</w:t>
      </w:r>
    </w:p>
    <w:tbl>
      <w:tblPr>
        <w:tblStyle w:val="Table"/>
        <w:tblW w:type="pct" w:w="5000"/>
        <w:tblLayout w:type="fixed"/>
        <w:tblLook w:firstRow="1" w:lastRow="0" w:firstColumn="0" w:lastColumn="0" w:noHBand="0" w:noVBand="0" w:val="0020"/>
      </w:tblPr>
      <w:tblGrid>
        <w:gridCol w:w="968"/>
        <w:gridCol w:w="1652"/>
        <w:gridCol w:w="1652"/>
        <w:gridCol w:w="1823"/>
        <w:gridCol w:w="1823"/>
      </w:tblGrid>
      <w:tr>
        <w:trPr>
          <w:tblHeader w:val="on"/>
        </w:trPr>
        <w:tc>
          <w:tcPr/>
          <w:p>
            <w:pPr>
              <w:pStyle w:val="Compact"/>
            </w:pPr>
          </w:p>
        </w:tc>
        <w:tc>
          <w:tcPr/>
          <w:p>
            <w:pPr>
              <w:pStyle w:val="Compact"/>
              <w:jc w:val="right"/>
            </w:pPr>
            <w:r>
              <w:t xml:space="preserve">Energy intake rate - z score</w:t>
            </w:r>
          </w:p>
        </w:tc>
        <w:tc>
          <w:tcPr/>
          <w:p>
            <w:pPr>
              <w:pStyle w:val="Compact"/>
              <w:jc w:val="right"/>
            </w:pPr>
            <w:r>
              <w:t xml:space="preserve">Energy intake rate - p-value</w:t>
            </w:r>
          </w:p>
        </w:tc>
        <w:tc>
          <w:tcPr/>
          <w:p>
            <w:pPr>
              <w:pStyle w:val="Compact"/>
              <w:jc w:val="right"/>
            </w:pPr>
            <w:r>
              <w:t xml:space="preserve">Daily travel distance - z score</w:t>
            </w:r>
          </w:p>
        </w:tc>
        <w:tc>
          <w:tcPr/>
          <w:p>
            <w:pPr>
              <w:pStyle w:val="Compact"/>
              <w:jc w:val="right"/>
            </w:pPr>
            <w:r>
              <w:t xml:space="preserve">Daily travel distance - p-value</w:t>
            </w:r>
          </w:p>
        </w:tc>
      </w:tr>
      <w:tr>
        <w:tc>
          <w:tcPr/>
          <w:p>
            <w:pPr>
              <w:pStyle w:val="Compact"/>
              <w:jc w:val="left"/>
            </w:pPr>
            <w:r>
              <w:t xml:space="preserve">All clump sizes</w:t>
            </w:r>
          </w:p>
        </w:tc>
        <w:tc>
          <w:tcPr/>
          <w:p>
            <w:pPr>
              <w:pStyle w:val="Compact"/>
              <w:jc w:val="right"/>
            </w:pPr>
            <w:r>
              <w:t xml:space="preserve">-7.0452</w:t>
            </w:r>
          </w:p>
        </w:tc>
        <w:tc>
          <w:tcPr/>
          <w:p>
            <w:pPr>
              <w:pStyle w:val="Compact"/>
              <w:jc w:val="right"/>
            </w:pPr>
            <w:r>
              <w:t xml:space="preserve">0.0000</w:t>
            </w:r>
          </w:p>
        </w:tc>
        <w:tc>
          <w:tcPr/>
          <w:p>
            <w:pPr>
              <w:pStyle w:val="Compact"/>
              <w:jc w:val="right"/>
            </w:pPr>
            <w:r>
              <w:t xml:space="preserve">7.9383</w:t>
            </w:r>
          </w:p>
        </w:tc>
        <w:tc>
          <w:tcPr/>
          <w:p>
            <w:pPr>
              <w:pStyle w:val="Compact"/>
              <w:jc w:val="right"/>
            </w:pPr>
            <w:r>
              <w:t xml:space="preserve">0.0000</w:t>
            </w:r>
          </w:p>
        </w:tc>
      </w:tr>
      <w:tr>
        <w:tc>
          <w:tcPr/>
          <w:p>
            <w:pPr>
              <w:pStyle w:val="Compact"/>
              <w:jc w:val="left"/>
            </w:pPr>
            <w:r>
              <w:t xml:space="preserve">Clump size = 1</w:t>
            </w:r>
          </w:p>
        </w:tc>
        <w:tc>
          <w:tcPr/>
          <w:p>
            <w:pPr>
              <w:pStyle w:val="Compact"/>
              <w:jc w:val="right"/>
            </w:pPr>
            <w:r>
              <w:t xml:space="preserve">-20.3086</w:t>
            </w:r>
          </w:p>
        </w:tc>
        <w:tc>
          <w:tcPr/>
          <w:p>
            <w:pPr>
              <w:pStyle w:val="Compact"/>
              <w:jc w:val="right"/>
            </w:pPr>
            <w:r>
              <w:t xml:space="preserve">0.0000</w:t>
            </w:r>
          </w:p>
        </w:tc>
        <w:tc>
          <w:tcPr/>
          <w:p>
            <w:pPr>
              <w:pStyle w:val="Compact"/>
              <w:jc w:val="right"/>
            </w:pPr>
            <w:r>
              <w:t xml:space="preserve">20.4706</w:t>
            </w:r>
          </w:p>
        </w:tc>
        <w:tc>
          <w:tcPr/>
          <w:p>
            <w:pPr>
              <w:pStyle w:val="Compact"/>
              <w:jc w:val="right"/>
            </w:pPr>
            <w:r>
              <w:t xml:space="preserve">0.0000</w:t>
            </w:r>
          </w:p>
        </w:tc>
      </w:tr>
      <w:tr>
        <w:tc>
          <w:tcPr/>
          <w:p>
            <w:pPr>
              <w:pStyle w:val="Compact"/>
              <w:jc w:val="left"/>
            </w:pPr>
            <w:r>
              <w:t xml:space="preserve">Clump size = 126</w:t>
            </w:r>
          </w:p>
        </w:tc>
        <w:tc>
          <w:tcPr/>
          <w:p>
            <w:pPr>
              <w:pStyle w:val="Compact"/>
              <w:jc w:val="right"/>
            </w:pPr>
            <w:r>
              <w:t xml:space="preserve">-4.5252</w:t>
            </w:r>
          </w:p>
        </w:tc>
        <w:tc>
          <w:tcPr/>
          <w:p>
            <w:pPr>
              <w:pStyle w:val="Compact"/>
              <w:jc w:val="right"/>
            </w:pPr>
            <w:r>
              <w:t xml:space="preserve">0.0000</w:t>
            </w:r>
          </w:p>
        </w:tc>
        <w:tc>
          <w:tcPr/>
          <w:p>
            <w:pPr>
              <w:pStyle w:val="Compact"/>
              <w:jc w:val="right"/>
            </w:pPr>
            <w:r>
              <w:t xml:space="preserve">4.4955</w:t>
            </w:r>
          </w:p>
        </w:tc>
        <w:tc>
          <w:tcPr/>
          <w:p>
            <w:pPr>
              <w:pStyle w:val="Compact"/>
              <w:jc w:val="right"/>
            </w:pPr>
            <w:r>
              <w:t xml:space="preserve">0.0000</w:t>
            </w:r>
          </w:p>
        </w:tc>
      </w:tr>
      <w:tr>
        <w:tc>
          <w:tcPr/>
          <w:p>
            <w:pPr>
              <w:pStyle w:val="Compact"/>
              <w:jc w:val="left"/>
            </w:pPr>
            <w:r>
              <w:t xml:space="preserve">Clump size = 501</w:t>
            </w:r>
          </w:p>
        </w:tc>
        <w:tc>
          <w:tcPr/>
          <w:p>
            <w:pPr>
              <w:pStyle w:val="Compact"/>
              <w:jc w:val="right"/>
            </w:pPr>
            <w:r>
              <w:t xml:space="preserve">0.9538</w:t>
            </w:r>
          </w:p>
        </w:tc>
        <w:tc>
          <w:tcPr/>
          <w:p>
            <w:pPr>
              <w:pStyle w:val="Compact"/>
              <w:jc w:val="right"/>
            </w:pPr>
            <w:r>
              <w:t xml:space="preserve">0.3402</w:t>
            </w:r>
          </w:p>
        </w:tc>
        <w:tc>
          <w:tcPr/>
          <w:p>
            <w:pPr>
              <w:pStyle w:val="Compact"/>
              <w:jc w:val="right"/>
            </w:pPr>
            <w:r>
              <w:t xml:space="preserve">-1.0334</w:t>
            </w:r>
          </w:p>
        </w:tc>
        <w:tc>
          <w:tcPr/>
          <w:p>
            <w:pPr>
              <w:pStyle w:val="Compact"/>
              <w:jc w:val="right"/>
            </w:pPr>
            <w:r>
              <w:t xml:space="preserve">0.3014</w:t>
            </w:r>
          </w:p>
        </w:tc>
      </w:tr>
    </w:tbl>
    <w:p>
      <w:pPr>
        <w:pStyle w:val="BodyText"/>
      </w:pPr>
      <w:r>
        <w:drawing>
          <wp:inline>
            <wp:extent cx="5334000" cy="1600200"/>
            <wp:effectExtent b="0" l="0" r="0" t="0"/>
            <wp:docPr descr="" title="" id="60" name="Picture"/>
            <a:graphic>
              <a:graphicData uri="http://schemas.openxmlformats.org/drawingml/2006/picture">
                <pic:pic>
                  <pic:nvPicPr>
                    <pic:cNvPr descr="figureCode_files/figure-docx/pptFigures1-1.png" id="61" name="Picture"/>
                    <pic:cNvPicPr>
                      <a:picLocks noChangeArrowheads="1" noChangeAspect="1"/>
                    </pic:cNvPicPr>
                  </pic:nvPicPr>
                  <pic:blipFill>
                    <a:blip r:embed="rId59"/>
                    <a:stretch>
                      <a:fillRect/>
                    </a:stretch>
                  </pic:blipFill>
                  <pic:spPr bwMode="auto">
                    <a:xfrm>
                      <a:off x="0" y="0"/>
                      <a:ext cx="5334000" cy="1600200"/>
                    </a:xfrm>
                    <a:prstGeom prst="rect">
                      <a:avLst/>
                    </a:prstGeom>
                    <a:noFill/>
                    <a:ln w="9525">
                      <a:noFill/>
                      <a:headEnd/>
                      <a:tailEnd/>
                    </a:ln>
                  </pic:spPr>
                </pic:pic>
              </a:graphicData>
            </a:graphic>
          </wp:inline>
        </w:drawing>
      </w:r>
    </w:p>
    <w:p>
      <w:pPr>
        <w:pStyle w:val="BodyText"/>
      </w:pPr>
      <w:r>
        <w:drawing>
          <wp:inline>
            <wp:extent cx="5334000" cy="1454727"/>
            <wp:effectExtent b="0" l="0" r="0" t="0"/>
            <wp:docPr descr="" title="" id="63" name="Picture"/>
            <a:graphic>
              <a:graphicData uri="http://schemas.openxmlformats.org/drawingml/2006/picture">
                <pic:pic>
                  <pic:nvPicPr>
                    <pic:cNvPr descr="figureCode_files/figure-docx/pptFigure2-1.png" id="64" name="Picture"/>
                    <pic:cNvPicPr>
                      <a:picLocks noChangeArrowheads="1" noChangeAspect="1"/>
                    </pic:cNvPicPr>
                  </pic:nvPicPr>
                  <pic:blipFill>
                    <a:blip r:embed="rId62"/>
                    <a:stretch>
                      <a:fillRect/>
                    </a:stretch>
                  </pic:blipFill>
                  <pic:spPr bwMode="auto">
                    <a:xfrm>
                      <a:off x="0" y="0"/>
                      <a:ext cx="5334000" cy="1454727"/>
                    </a:xfrm>
                    <a:prstGeom prst="rect">
                      <a:avLst/>
                    </a:prstGeom>
                    <a:noFill/>
                    <a:ln w="9525">
                      <a:noFill/>
                      <a:headEnd/>
                      <a:tailEnd/>
                    </a:ln>
                  </pic:spPr>
                </pic:pic>
              </a:graphicData>
            </a:graphic>
          </wp:inline>
        </w:drawing>
      </w:r>
    </w:p>
    <w:p>
      <w:pPr>
        <w:pStyle w:val="BodyText"/>
      </w:pPr>
      <w:r>
        <w:drawing>
          <wp:inline>
            <wp:extent cx="5334000" cy="2133600"/>
            <wp:effectExtent b="0" l="0" r="0" t="0"/>
            <wp:docPr descr="" title="" id="66" name="Picture"/>
            <a:graphic>
              <a:graphicData uri="http://schemas.openxmlformats.org/drawingml/2006/picture">
                <pic:pic>
                  <pic:nvPicPr>
                    <pic:cNvPr descr="figureCode_files/figure-docx/pptFigure3-1.png" id="67" name="Picture"/>
                    <pic:cNvPicPr>
                      <a:picLocks noChangeArrowheads="1" noChangeAspect="1"/>
                    </pic:cNvPicPr>
                  </pic:nvPicPr>
                  <pic:blipFill>
                    <a:blip r:embed="rId65"/>
                    <a:stretch>
                      <a:fillRect/>
                    </a:stretch>
                  </pic:blipFill>
                  <pic:spPr bwMode="auto">
                    <a:xfrm>
                      <a:off x="0" y="0"/>
                      <a:ext cx="5334000" cy="2133600"/>
                    </a:xfrm>
                    <a:prstGeom prst="rect">
                      <a:avLst/>
                    </a:prstGeom>
                    <a:noFill/>
                    <a:ln w="9525">
                      <a:noFill/>
                      <a:headEnd/>
                      <a:tailEnd/>
                    </a:ln>
                  </pic:spPr>
                </pic:pic>
              </a:graphicData>
            </a:graphic>
          </wp:inline>
        </w:drawing>
      </w:r>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9" Target="media/rId9.png" /><Relationship Type="http://schemas.openxmlformats.org/officeDocument/2006/relationships/image" Id="rId56" Target="media/rId56.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59" Target="media/rId5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Figures for Ekanayake-Weber et al. 2026</dc:title>
  <dc:creator/>
  <cp:keywords/>
  <dcterms:created xsi:type="dcterms:W3CDTF">2026-10-29T20:08:13Z</dcterms:created>
  <dcterms:modified xsi:type="dcterms:W3CDTF">2026-10-29T20:08:13Z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2025-12-12</vt:lpwstr>
  </property>
  <property fmtid="{D5CDD505-2E9C-101B-9397-08002B2CF9AE}" pid="3" name="output">
    <vt:lpwstr/>
  </property>
</Properties>
</file>