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9" w:lineRule="auto"/>
        <w:rPr>
          <w:rFonts w:ascii="Arial"/>
          <w:sz w:val="21"/>
        </w:rPr>
      </w:pPr>
      <w:r/>
    </w:p>
    <w:p>
      <w:pPr>
        <w:ind w:left="43"/>
        <w:spacing w:before="68" w:line="220" w:lineRule="auto"/>
        <w:rPr>
          <w:rFonts w:ascii="SimSun" w:hAnsi="SimSun" w:eastAsia="SimSun" w:cs="SimSun"/>
          <w:sz w:val="21"/>
          <w:szCs w:val="21"/>
        </w:rPr>
      </w:pPr>
      <w:r>
        <w:rPr>
          <w:rFonts w:ascii="SimSun" w:hAnsi="SimSun" w:eastAsia="SimSun" w:cs="SimSun"/>
          <w:sz w:val="21"/>
          <w:szCs w:val="21"/>
        </w:rPr>
        <w:t>公司代码：</w:t>
      </w:r>
      <w:r>
        <w:rPr>
          <w:rFonts w:ascii="Calibri" w:hAnsi="Calibri" w:eastAsia="Calibri" w:cs="Calibri"/>
          <w:sz w:val="21"/>
          <w:szCs w:val="21"/>
        </w:rPr>
        <w:t>600050                                                                                          </w:t>
      </w:r>
      <w:r>
        <w:rPr>
          <w:rFonts w:ascii="Calibri" w:hAnsi="Calibri" w:eastAsia="Calibri" w:cs="Calibri"/>
          <w:sz w:val="21"/>
          <w:szCs w:val="21"/>
          <w:spacing w:val="-1"/>
        </w:rPr>
        <w:t xml:space="preserve">                     </w:t>
      </w:r>
      <w:r>
        <w:rPr>
          <w:rFonts w:ascii="SimSun" w:hAnsi="SimSun" w:eastAsia="SimSun" w:cs="SimSun"/>
          <w:sz w:val="21"/>
          <w:szCs w:val="21"/>
          <w:spacing w:val="-1"/>
        </w:rPr>
        <w:t>公司简称：中国联通</w: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2966" w:right="2198" w:hanging="733"/>
        <w:spacing w:before="101" w:line="357" w:lineRule="auto"/>
        <w:rPr>
          <w:rFonts w:ascii="SimHei" w:hAnsi="SimHei" w:eastAsia="SimHei" w:cs="SimHei"/>
          <w:sz w:val="31"/>
          <w:szCs w:val="31"/>
        </w:rPr>
      </w:pPr>
      <w:r>
        <w:rPr>
          <w:rFonts w:ascii="SimHei" w:hAnsi="SimHei" w:eastAsia="SimHei" w:cs="SimHei"/>
          <w:sz w:val="31"/>
          <w:szCs w:val="31"/>
          <w:b/>
          <w:bCs/>
          <w:spacing w:val="5"/>
        </w:rPr>
        <w:t>中国联合网络通信股份有限公司</w:t>
      </w:r>
      <w:r>
        <w:rPr>
          <w:rFonts w:ascii="SimHei" w:hAnsi="SimHei" w:eastAsia="SimHei" w:cs="SimHei"/>
          <w:sz w:val="31"/>
          <w:szCs w:val="31"/>
          <w:spacing w:val="1"/>
        </w:rPr>
        <w:t xml:space="preserve"> </w:t>
      </w:r>
      <w:r>
        <w:rPr>
          <w:rFonts w:ascii="SimHei" w:hAnsi="SimHei" w:eastAsia="SimHei" w:cs="SimHei"/>
          <w:sz w:val="31"/>
          <w:szCs w:val="31"/>
          <w:b/>
          <w:bCs/>
          <w:spacing w:val="3"/>
        </w:rPr>
        <w:t>2020</w:t>
      </w:r>
      <w:r>
        <w:rPr>
          <w:rFonts w:ascii="SimHei" w:hAnsi="SimHei" w:eastAsia="SimHei" w:cs="SimHei"/>
          <w:sz w:val="31"/>
          <w:szCs w:val="31"/>
          <w:spacing w:val="-52"/>
        </w:rPr>
        <w:t xml:space="preserve"> </w:t>
      </w:r>
      <w:r>
        <w:rPr>
          <w:rFonts w:ascii="SimHei" w:hAnsi="SimHei" w:eastAsia="SimHei" w:cs="SimHei"/>
          <w:sz w:val="31"/>
          <w:szCs w:val="31"/>
          <w:b/>
          <w:bCs/>
          <w:spacing w:val="3"/>
        </w:rPr>
        <w:t>年年度报告摘要</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firstLine="1924"/>
        <w:spacing w:line="2757" w:lineRule="exact"/>
        <w:rPr/>
      </w:pPr>
      <w:r>
        <w:rPr>
          <w:position w:val="-55"/>
        </w:rPr>
        <w:drawing>
          <wp:inline distT="0" distB="0" distL="0" distR="0">
            <wp:extent cx="3200399" cy="1750695"/>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200399" cy="1750695"/>
                    </a:xfrm>
                    <a:prstGeom prst="rect">
                      <a:avLst/>
                    </a:prstGeom>
                  </pic:spPr>
                </pic:pic>
              </a:graphicData>
            </a:graphic>
          </wp:inline>
        </w:drawing>
      </w:r>
    </w:p>
    <w:p>
      <w:pPr>
        <w:spacing w:line="2757" w:lineRule="exact"/>
        <w:sectPr>
          <w:headerReference w:type="default" r:id="rId1"/>
          <w:footerReference w:type="default" r:id="rId2"/>
          <w:pgSz w:w="11907" w:h="16839"/>
          <w:pgMar w:top="1377" w:right="1243" w:bottom="1374" w:left="1771" w:header="837" w:footer="1212" w:gutter="0"/>
        </w:sectPr>
        <w:rPr/>
      </w:pPr>
    </w:p>
    <w:p>
      <w:pPr>
        <w:spacing w:line="340" w:lineRule="auto"/>
        <w:rPr>
          <w:rFonts w:ascii="Arial"/>
          <w:sz w:val="21"/>
        </w:rPr>
      </w:pPr>
      <w:r/>
    </w:p>
    <w:p>
      <w:pPr>
        <w:ind w:left="126"/>
        <w:spacing w:before="78" w:line="219" w:lineRule="auto"/>
        <w:rPr>
          <w:rFonts w:ascii="SimHei" w:hAnsi="SimHei" w:eastAsia="SimHei" w:cs="SimHei"/>
          <w:sz w:val="24"/>
          <w:szCs w:val="24"/>
        </w:rPr>
      </w:pPr>
      <w:r>
        <w:rPr>
          <w:rFonts w:ascii="SimHei" w:hAnsi="SimHei" w:eastAsia="SimHei" w:cs="SimHei"/>
          <w:sz w:val="24"/>
          <w:szCs w:val="24"/>
          <w:b/>
          <w:bCs/>
          <w:spacing w:val="-8"/>
        </w:rPr>
        <w:t>一</w:t>
      </w:r>
      <w:r>
        <w:rPr>
          <w:rFonts w:ascii="SimHei" w:hAnsi="SimHei" w:eastAsia="SimHei" w:cs="SimHei"/>
          <w:sz w:val="24"/>
          <w:szCs w:val="24"/>
          <w:spacing w:val="77"/>
        </w:rPr>
        <w:t xml:space="preserve"> </w:t>
      </w:r>
      <w:r>
        <w:rPr>
          <w:rFonts w:ascii="SimHei" w:hAnsi="SimHei" w:eastAsia="SimHei" w:cs="SimHei"/>
          <w:sz w:val="24"/>
          <w:szCs w:val="24"/>
          <w:b/>
          <w:bCs/>
          <w:spacing w:val="-8"/>
        </w:rPr>
        <w:t>重要提示</w:t>
      </w:r>
    </w:p>
    <w:p>
      <w:pPr>
        <w:pStyle w:val="BodyText"/>
        <w:ind w:left="136"/>
        <w:spacing w:before="294" w:line="219" w:lineRule="auto"/>
        <w:rPr/>
      </w:pPr>
      <w:r>
        <w:rPr>
          <w:b/>
          <w:bCs/>
          <w:spacing w:val="-1"/>
        </w:rPr>
        <w:t>1</w:t>
      </w:r>
      <w:r>
        <w:rPr>
          <w:spacing w:val="-1"/>
        </w:rPr>
        <w:t xml:space="preserve">  </w:t>
      </w:r>
      <w:r>
        <w:rPr>
          <w:b/>
          <w:bCs/>
          <w:spacing w:val="-1"/>
        </w:rPr>
        <w:t>本年度报告摘要来自年度报告全文，为全面了解本公司的经营成果、财务状况及未来发展规划，</w:t>
      </w:r>
    </w:p>
    <w:p>
      <w:pPr>
        <w:pStyle w:val="BodyText"/>
        <w:ind w:left="464"/>
        <w:spacing w:before="151" w:line="219" w:lineRule="auto"/>
        <w:rPr/>
      </w:pPr>
      <w:r>
        <w:rPr>
          <w:b/>
          <w:bCs/>
          <w:spacing w:val="-2"/>
        </w:rPr>
        <w:t>投资者应当到上海证券交易所网站等中国证监会指定媒</w:t>
      </w:r>
      <w:r>
        <w:rPr>
          <w:b/>
          <w:bCs/>
          <w:spacing w:val="-3"/>
        </w:rPr>
        <w:t>体上仔细阅读年度报告全文。</w:t>
      </w:r>
    </w:p>
    <w:p>
      <w:pPr>
        <w:pStyle w:val="BodyText"/>
        <w:ind w:left="123"/>
        <w:spacing w:before="308" w:line="219" w:lineRule="auto"/>
        <w:rPr/>
      </w:pPr>
      <w:r>
        <w:rPr>
          <w:b/>
          <w:bCs/>
        </w:rPr>
        <w:t>2</w:t>
      </w:r>
      <w:r>
        <w:rPr/>
        <w:t xml:space="preserve">  </w:t>
      </w:r>
      <w:r>
        <w:rPr>
          <w:b/>
          <w:bCs/>
        </w:rPr>
        <w:t>本公司董事会、监事会及董事、监事、高级管理人员保证年</w:t>
      </w:r>
      <w:r>
        <w:rPr>
          <w:b/>
          <w:bCs/>
          <w:spacing w:val="-1"/>
        </w:rPr>
        <w:t>度报告内容的真实、准确、完整，不</w:t>
      </w:r>
    </w:p>
    <w:p>
      <w:pPr>
        <w:pStyle w:val="BodyText"/>
        <w:ind w:left="460"/>
        <w:spacing w:before="149" w:line="220" w:lineRule="auto"/>
        <w:rPr/>
      </w:pPr>
      <w:r>
        <w:rPr>
          <w:b/>
          <w:bCs/>
          <w:spacing w:val="-2"/>
        </w:rPr>
        <w:t>存在虚假记载、误导性陈述或重大遗漏，并承担个别和连带的法律责任。</w:t>
      </w:r>
    </w:p>
    <w:p>
      <w:pPr>
        <w:pStyle w:val="BodyText"/>
        <w:ind w:left="125"/>
        <w:spacing w:before="306" w:line="220" w:lineRule="auto"/>
        <w:rPr/>
      </w:pPr>
      <w:r>
        <w:rPr>
          <w:b/>
          <w:bCs/>
          <w:spacing w:val="-5"/>
        </w:rPr>
        <w:t>3</w:t>
      </w:r>
      <w:r>
        <w:rPr>
          <w:spacing w:val="22"/>
        </w:rPr>
        <w:t xml:space="preserve">  </w:t>
      </w:r>
      <w:r>
        <w:rPr>
          <w:b/>
          <w:bCs/>
          <w:spacing w:val="-5"/>
        </w:rPr>
        <w:t>公司全体董事出席董事会会议。</w:t>
      </w:r>
    </w:p>
    <w:p>
      <w:pPr>
        <w:pStyle w:val="BodyText"/>
        <w:ind w:left="120"/>
        <w:spacing w:before="307" w:line="219" w:lineRule="auto"/>
        <w:rPr/>
      </w:pPr>
      <w:r>
        <w:rPr>
          <w:b/>
          <w:bCs/>
          <w:spacing w:val="-1"/>
        </w:rPr>
        <w:t>4</w:t>
      </w:r>
      <w:r>
        <w:rPr>
          <w:spacing w:val="-1"/>
        </w:rPr>
        <w:t xml:space="preserve">  </w:t>
      </w:r>
      <w:r>
        <w:rPr>
          <w:b/>
          <w:bCs/>
          <w:spacing w:val="-1"/>
        </w:rPr>
        <w:t>毕马威华振会计师事务所（特殊普通</w:t>
      </w:r>
      <w:r>
        <w:rPr>
          <w:b/>
          <w:bCs/>
          <w:spacing w:val="-2"/>
        </w:rPr>
        <w:t>合伙）为本公司出具了标准无保留意见的审计报告。</w:t>
      </w:r>
    </w:p>
    <w:p>
      <w:pPr>
        <w:pStyle w:val="BodyText"/>
        <w:ind w:left="125"/>
        <w:spacing w:before="306" w:line="219" w:lineRule="auto"/>
        <w:rPr/>
      </w:pPr>
      <w:r>
        <w:rPr>
          <w:b/>
          <w:bCs/>
          <w:spacing w:val="-1"/>
        </w:rPr>
        <w:t>5</w:t>
      </w:r>
      <w:r>
        <w:rPr>
          <w:spacing w:val="-1"/>
        </w:rPr>
        <w:t xml:space="preserve">  </w:t>
      </w:r>
      <w:r>
        <w:rPr>
          <w:b/>
          <w:bCs/>
          <w:spacing w:val="-1"/>
        </w:rPr>
        <w:t>经董事会审议的报告期利润分配预案或公积金转增股本预案</w:t>
      </w:r>
    </w:p>
    <w:p>
      <w:pPr>
        <w:pStyle w:val="BodyText"/>
        <w:ind w:left="121" w:right="107" w:firstLine="426"/>
        <w:spacing w:before="198" w:line="353" w:lineRule="auto"/>
        <w:jc w:val="both"/>
        <w:rPr/>
      </w:pPr>
      <w:r>
        <w:rPr>
          <w:spacing w:val="4"/>
        </w:rPr>
        <w:t>公司董事会审议的报告期利润分配预案如下：本</w:t>
      </w:r>
      <w:r>
        <w:rPr>
          <w:spacing w:val="3"/>
        </w:rPr>
        <w:t>公司通过联通</w:t>
      </w:r>
      <w:r>
        <w:rPr/>
        <w:t>BVI</w:t>
      </w:r>
      <w:r>
        <w:rPr>
          <w:spacing w:val="3"/>
        </w:rPr>
        <w:t>公司持有中国联合网络通信(</w:t>
      </w:r>
      <w:r>
        <w:rPr/>
        <w:t xml:space="preserve"> </w:t>
      </w:r>
      <w:r>
        <w:rPr>
          <w:spacing w:val="-1"/>
        </w:rPr>
        <w:t>香港）股份有限公司（以下称“联通红筹公司”）的股权。按本公司章程规定，应将自联通红筹公司</w:t>
      </w:r>
      <w:r>
        <w:rPr>
          <w:spacing w:val="9"/>
        </w:rPr>
        <w:t xml:space="preserve"> </w:t>
      </w:r>
      <w:r>
        <w:rPr>
          <w:spacing w:val="-1"/>
        </w:rPr>
        <w:t>分红所得现金在扣除公司日常现金开支、税费及法律法规规定应当提取的各项公积金后，以现金方式</w:t>
      </w:r>
      <w:r>
        <w:rPr>
          <w:spacing w:val="14"/>
        </w:rPr>
        <w:t xml:space="preserve"> </w:t>
      </w:r>
      <w:r>
        <w:rPr>
          <w:spacing w:val="-1"/>
        </w:rPr>
        <w:t>全额分配给股东。</w:t>
      </w:r>
    </w:p>
    <w:p>
      <w:pPr>
        <w:pStyle w:val="BodyText"/>
        <w:ind w:left="121" w:right="107" w:firstLine="420"/>
        <w:spacing w:before="26" w:line="356" w:lineRule="auto"/>
        <w:jc w:val="both"/>
        <w:rPr/>
      </w:pPr>
      <w:r>
        <w:rPr/>
        <w:t>联通红筹公司董事会于2021年3月11日</w:t>
      </w:r>
      <w:r>
        <w:rPr>
          <w:spacing w:val="-1"/>
        </w:rPr>
        <w:t>提议派发2020年度股利，每股派发股利0.164元。该股利预</w:t>
      </w:r>
      <w:r>
        <w:rPr/>
        <w:t xml:space="preserve"> </w:t>
      </w:r>
      <w:r>
        <w:rPr>
          <w:spacing w:val="2"/>
        </w:rPr>
        <w:t>计经联通红筹公司股东大会批准后收到。因此本公司董事会</w:t>
      </w:r>
      <w:r>
        <w:rPr>
          <w:spacing w:val="1"/>
        </w:rPr>
        <w:t>提议据此派发2020年度的股利，联通</w:t>
      </w:r>
      <w:r>
        <w:rPr/>
        <w:t>BVI </w:t>
      </w:r>
      <w:r>
        <w:rPr>
          <w:spacing w:val="2"/>
        </w:rPr>
        <w:t>公司按持股比例应收股利约26.86亿元，联通</w:t>
      </w:r>
      <w:r>
        <w:rPr/>
        <w:t>BVI</w:t>
      </w:r>
      <w:r>
        <w:rPr>
          <w:spacing w:val="2"/>
        </w:rPr>
        <w:t>公司可供股</w:t>
      </w:r>
      <w:r>
        <w:rPr>
          <w:spacing w:val="1"/>
        </w:rPr>
        <w:t>东分配利润为26.86亿元，本公司按持股</w:t>
      </w:r>
      <w:r>
        <w:rPr/>
        <w:t xml:space="preserve"> </w:t>
      </w:r>
      <w:r>
        <w:rPr>
          <w:spacing w:val="-3"/>
        </w:rPr>
        <w:t>比例应收股利约22.05亿元。依照本公司的章程，在收到此等股利后，扣除本公司日常开支和税费0.43</w:t>
      </w:r>
      <w:r>
        <w:rPr>
          <w:spacing w:val="10"/>
        </w:rPr>
        <w:t xml:space="preserve"> </w:t>
      </w:r>
      <w:r>
        <w:rPr/>
        <w:t>亿元，减去预提的2021年度法定公积金约2.</w:t>
      </w:r>
      <w:r>
        <w:rPr>
          <w:spacing w:val="-1"/>
        </w:rPr>
        <w:t>16亿元，加上2020年末本公司可供股东分配的利润0.99亿</w:t>
      </w:r>
      <w:r>
        <w:rPr/>
        <w:t xml:space="preserve"> </w:t>
      </w:r>
      <w:r>
        <w:rPr>
          <w:spacing w:val="2"/>
        </w:rPr>
        <w:t>元后，可供股东分配的利润约20.45亿元。本</w:t>
      </w:r>
      <w:r>
        <w:rPr>
          <w:spacing w:val="1"/>
        </w:rPr>
        <w:t>公司对现金红利实施公告中确定的股权登记日收市后在</w:t>
      </w:r>
      <w:r>
        <w:rPr/>
        <w:t xml:space="preserve"> </w:t>
      </w:r>
      <w:r>
        <w:rPr>
          <w:spacing w:val="2"/>
        </w:rPr>
        <w:t>册的股东，每股可派发现金股利0.0658元(含税)</w:t>
      </w:r>
      <w:r>
        <w:rPr>
          <w:spacing w:val="1"/>
        </w:rPr>
        <w:t>，共计可向本公司股东派发约20.41亿元（含税）的</w:t>
      </w:r>
      <w:r>
        <w:rPr/>
        <w:t xml:space="preserve"> </w:t>
      </w:r>
      <w:r>
        <w:rPr>
          <w:spacing w:val="-1"/>
        </w:rPr>
        <w:t>股利，剩余可供股东分配的利润将用于以后年度的利润分配。</w:t>
      </w:r>
    </w:p>
    <w:p>
      <w:pPr>
        <w:pStyle w:val="BodyText"/>
        <w:ind w:left="541"/>
        <w:spacing w:before="33" w:line="220" w:lineRule="auto"/>
        <w:rPr/>
      </w:pPr>
      <w:r>
        <w:rPr>
          <w:spacing w:val="-1"/>
        </w:rPr>
        <w:t>此方案尚需提交本公司股东大会审议。</w:t>
      </w:r>
    </w:p>
    <w:p>
      <w:pPr>
        <w:spacing w:line="260" w:lineRule="auto"/>
        <w:rPr>
          <w:rFonts w:ascii="Arial"/>
          <w:sz w:val="21"/>
        </w:rPr>
      </w:pPr>
      <w:r/>
    </w:p>
    <w:p>
      <w:pPr>
        <w:spacing w:line="260" w:lineRule="auto"/>
        <w:rPr>
          <w:rFonts w:ascii="Arial"/>
          <w:sz w:val="21"/>
        </w:rPr>
      </w:pPr>
      <w:r/>
    </w:p>
    <w:p>
      <w:pPr>
        <w:ind w:left="126"/>
        <w:spacing w:before="78" w:line="220" w:lineRule="auto"/>
        <w:rPr>
          <w:rFonts w:ascii="SimHei" w:hAnsi="SimHei" w:eastAsia="SimHei" w:cs="SimHei"/>
          <w:sz w:val="24"/>
          <w:szCs w:val="24"/>
        </w:rPr>
      </w:pPr>
      <w:r>
        <w:rPr>
          <w:rFonts w:ascii="SimHei" w:hAnsi="SimHei" w:eastAsia="SimHei" w:cs="SimHei"/>
          <w:sz w:val="24"/>
          <w:szCs w:val="24"/>
          <w:b/>
          <w:bCs/>
          <w:spacing w:val="-6"/>
        </w:rPr>
        <w:t>二</w:t>
      </w:r>
      <w:r>
        <w:rPr>
          <w:rFonts w:ascii="SimHei" w:hAnsi="SimHei" w:eastAsia="SimHei" w:cs="SimHei"/>
          <w:sz w:val="24"/>
          <w:szCs w:val="24"/>
          <w:spacing w:val="74"/>
        </w:rPr>
        <w:t xml:space="preserve"> </w:t>
      </w:r>
      <w:r>
        <w:rPr>
          <w:rFonts w:ascii="SimHei" w:hAnsi="SimHei" w:eastAsia="SimHei" w:cs="SimHei"/>
          <w:sz w:val="24"/>
          <w:szCs w:val="24"/>
          <w:b/>
          <w:bCs/>
          <w:spacing w:val="-6"/>
        </w:rPr>
        <w:t>公司基本情况</w:t>
      </w:r>
    </w:p>
    <w:p>
      <w:pPr>
        <w:pStyle w:val="BodyText"/>
        <w:ind w:left="136"/>
        <w:spacing w:before="197" w:line="220" w:lineRule="auto"/>
        <w:rPr/>
      </w:pPr>
      <w:r>
        <w:rPr>
          <w:b/>
          <w:bCs/>
          <w:spacing w:val="-9"/>
        </w:rPr>
        <w:t>1</w:t>
      </w:r>
      <w:r>
        <w:rPr>
          <w:spacing w:val="5"/>
        </w:rPr>
        <w:t xml:space="preserve">   </w:t>
      </w:r>
      <w:r>
        <w:rPr>
          <w:b/>
          <w:bCs/>
          <w:spacing w:val="-9"/>
        </w:rPr>
        <w:t>公司简介</w:t>
      </w:r>
    </w:p>
    <w:p>
      <w:pPr>
        <w:spacing w:line="90" w:lineRule="exact"/>
        <w:rPr/>
      </w:pPr>
      <w:r/>
    </w:p>
    <w:tbl>
      <w:tblPr>
        <w:tblStyle w:val="TableNormal"/>
        <w:tblW w:w="9282" w:type="dxa"/>
        <w:tblInd w:w="7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79"/>
        <w:gridCol w:w="3354"/>
        <w:gridCol w:w="1972"/>
        <w:gridCol w:w="1977"/>
      </w:tblGrid>
      <w:tr>
        <w:trPr>
          <w:trHeight w:val="301" w:hRule="atLeast"/>
        </w:trPr>
        <w:tc>
          <w:tcPr>
            <w:shd w:val="clear" w:fill="D9D9D9"/>
            <w:tcW w:w="9282" w:type="dxa"/>
            <w:vAlign w:val="top"/>
            <w:gridSpan w:val="4"/>
          </w:tcPr>
          <w:p>
            <w:pPr>
              <w:pStyle w:val="TableText"/>
              <w:ind w:left="4023"/>
              <w:spacing w:before="44" w:line="217" w:lineRule="auto"/>
              <w:rPr/>
            </w:pPr>
            <w:r>
              <w:rPr>
                <w:spacing w:val="-2"/>
              </w:rPr>
              <w:t>公司股票简况</w:t>
            </w:r>
          </w:p>
        </w:tc>
      </w:tr>
      <w:tr>
        <w:trPr>
          <w:trHeight w:val="295" w:hRule="atLeast"/>
        </w:trPr>
        <w:tc>
          <w:tcPr>
            <w:shd w:val="clear" w:fill="D9D9D9"/>
            <w:tcW w:w="1979" w:type="dxa"/>
            <w:vAlign w:val="top"/>
          </w:tcPr>
          <w:p>
            <w:pPr>
              <w:pStyle w:val="TableText"/>
              <w:ind w:left="574"/>
              <w:spacing w:before="43" w:line="212" w:lineRule="auto"/>
              <w:rPr/>
            </w:pPr>
            <w:r>
              <w:rPr>
                <w:spacing w:val="-2"/>
              </w:rPr>
              <w:t>股票种类</w:t>
            </w:r>
          </w:p>
        </w:tc>
        <w:tc>
          <w:tcPr>
            <w:shd w:val="clear" w:fill="D9D9D9"/>
            <w:tcW w:w="3354" w:type="dxa"/>
            <w:vAlign w:val="top"/>
          </w:tcPr>
          <w:p>
            <w:pPr>
              <w:pStyle w:val="TableText"/>
              <w:ind w:left="945"/>
              <w:spacing w:before="43" w:line="212" w:lineRule="auto"/>
              <w:rPr/>
            </w:pPr>
            <w:r>
              <w:rPr>
                <w:spacing w:val="-1"/>
              </w:rPr>
              <w:t>股票上市交易所</w:t>
            </w:r>
          </w:p>
        </w:tc>
        <w:tc>
          <w:tcPr>
            <w:shd w:val="clear" w:fill="D9D9D9"/>
            <w:tcW w:w="1972" w:type="dxa"/>
            <w:vAlign w:val="top"/>
          </w:tcPr>
          <w:p>
            <w:pPr>
              <w:pStyle w:val="TableText"/>
              <w:ind w:left="570"/>
              <w:spacing w:before="43" w:line="212" w:lineRule="auto"/>
              <w:rPr/>
            </w:pPr>
            <w:r>
              <w:rPr>
                <w:spacing w:val="-2"/>
              </w:rPr>
              <w:t>股票简称</w:t>
            </w:r>
          </w:p>
        </w:tc>
        <w:tc>
          <w:tcPr>
            <w:shd w:val="clear" w:fill="D9D9D9"/>
            <w:tcW w:w="1977" w:type="dxa"/>
            <w:vAlign w:val="top"/>
          </w:tcPr>
          <w:p>
            <w:pPr>
              <w:pStyle w:val="TableText"/>
              <w:ind w:left="571"/>
              <w:spacing w:before="43" w:line="212" w:lineRule="auto"/>
              <w:rPr/>
            </w:pPr>
            <w:r>
              <w:rPr>
                <w:spacing w:val="-2"/>
              </w:rPr>
              <w:t>股票代码</w:t>
            </w:r>
          </w:p>
        </w:tc>
      </w:tr>
      <w:tr>
        <w:trPr>
          <w:trHeight w:val="303" w:hRule="atLeast"/>
        </w:trPr>
        <w:tc>
          <w:tcPr>
            <w:tcW w:w="1979" w:type="dxa"/>
            <w:vAlign w:val="top"/>
          </w:tcPr>
          <w:p>
            <w:pPr>
              <w:pStyle w:val="TableText"/>
              <w:ind w:left="831"/>
              <w:spacing w:before="46" w:line="217" w:lineRule="auto"/>
              <w:rPr/>
            </w:pPr>
            <w:r>
              <w:rPr/>
              <w:t>A股</w:t>
            </w:r>
          </w:p>
        </w:tc>
        <w:tc>
          <w:tcPr>
            <w:tcW w:w="3354" w:type="dxa"/>
            <w:vAlign w:val="top"/>
          </w:tcPr>
          <w:p>
            <w:pPr>
              <w:pStyle w:val="TableText"/>
              <w:ind w:left="947"/>
              <w:spacing w:before="46" w:line="217" w:lineRule="auto"/>
              <w:rPr/>
            </w:pPr>
            <w:r>
              <w:rPr>
                <w:spacing w:val="-1"/>
              </w:rPr>
              <w:t>上海证券交易所</w:t>
            </w:r>
          </w:p>
        </w:tc>
        <w:tc>
          <w:tcPr>
            <w:tcW w:w="1972" w:type="dxa"/>
            <w:vAlign w:val="top"/>
          </w:tcPr>
          <w:p>
            <w:pPr>
              <w:pStyle w:val="TableText"/>
              <w:ind w:left="590"/>
              <w:spacing w:before="46" w:line="217" w:lineRule="auto"/>
              <w:rPr/>
            </w:pPr>
            <w:r>
              <w:rPr>
                <w:spacing w:val="-7"/>
              </w:rPr>
              <w:t>中国联通</w:t>
            </w:r>
          </w:p>
        </w:tc>
        <w:tc>
          <w:tcPr>
            <w:tcW w:w="1977" w:type="dxa"/>
            <w:vAlign w:val="top"/>
          </w:tcPr>
          <w:p>
            <w:pPr>
              <w:pStyle w:val="TableText"/>
              <w:ind w:left="679"/>
              <w:spacing w:before="81" w:line="182" w:lineRule="auto"/>
              <w:rPr/>
            </w:pPr>
            <w:r>
              <w:rPr>
                <w:spacing w:val="-1"/>
              </w:rPr>
              <w:t>600050</w:t>
            </w:r>
          </w:p>
        </w:tc>
      </w:tr>
    </w:tbl>
    <w:p>
      <w:pPr>
        <w:spacing w:before="70"/>
        <w:rPr/>
      </w:pPr>
      <w:r/>
    </w:p>
    <w:tbl>
      <w:tblPr>
        <w:tblStyle w:val="TableNormal"/>
        <w:tblW w:w="943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94"/>
        <w:gridCol w:w="3476"/>
        <w:gridCol w:w="3265"/>
      </w:tblGrid>
      <w:tr>
        <w:trPr>
          <w:trHeight w:val="320" w:hRule="atLeast"/>
        </w:trPr>
        <w:tc>
          <w:tcPr>
            <w:shd w:val="clear" w:fill="D9D9D9"/>
            <w:tcW w:w="2694" w:type="dxa"/>
            <w:vAlign w:val="top"/>
          </w:tcPr>
          <w:p>
            <w:pPr>
              <w:pStyle w:val="TableText"/>
              <w:ind w:left="512"/>
              <w:spacing w:before="53" w:line="222" w:lineRule="auto"/>
              <w:rPr/>
            </w:pPr>
            <w:r>
              <w:rPr>
                <w:spacing w:val="-1"/>
              </w:rPr>
              <w:t>联系人和联系方式</w:t>
            </w:r>
          </w:p>
        </w:tc>
        <w:tc>
          <w:tcPr>
            <w:shd w:val="clear" w:fill="D9D9D9"/>
            <w:tcW w:w="3476" w:type="dxa"/>
            <w:vAlign w:val="top"/>
          </w:tcPr>
          <w:p>
            <w:pPr>
              <w:pStyle w:val="TableText"/>
              <w:ind w:left="1218"/>
              <w:spacing w:before="53" w:line="220" w:lineRule="auto"/>
              <w:rPr/>
            </w:pPr>
            <w:r>
              <w:rPr>
                <w:spacing w:val="-2"/>
              </w:rPr>
              <w:t>董事会秘书</w:t>
            </w:r>
          </w:p>
        </w:tc>
        <w:tc>
          <w:tcPr>
            <w:shd w:val="clear" w:fill="D9D9D9"/>
            <w:tcW w:w="3265" w:type="dxa"/>
            <w:vAlign w:val="top"/>
          </w:tcPr>
          <w:p>
            <w:pPr>
              <w:pStyle w:val="TableText"/>
              <w:ind w:left="1007"/>
              <w:spacing w:before="53" w:line="221" w:lineRule="auto"/>
              <w:rPr/>
            </w:pPr>
            <w:r>
              <w:rPr>
                <w:spacing w:val="-1"/>
              </w:rPr>
              <w:t>证券事务代表</w:t>
            </w:r>
          </w:p>
        </w:tc>
      </w:tr>
      <w:tr>
        <w:trPr>
          <w:trHeight w:val="277" w:hRule="atLeast"/>
        </w:trPr>
        <w:tc>
          <w:tcPr>
            <w:tcW w:w="2694" w:type="dxa"/>
            <w:vAlign w:val="top"/>
          </w:tcPr>
          <w:p>
            <w:pPr>
              <w:pStyle w:val="TableText"/>
              <w:ind w:left="1143"/>
              <w:spacing w:before="31" w:line="207" w:lineRule="auto"/>
              <w:rPr/>
            </w:pPr>
            <w:r>
              <w:rPr>
                <w:spacing w:val="-2"/>
              </w:rPr>
              <w:t>姓名</w:t>
            </w:r>
          </w:p>
        </w:tc>
        <w:tc>
          <w:tcPr>
            <w:tcW w:w="3476" w:type="dxa"/>
            <w:vAlign w:val="top"/>
          </w:tcPr>
          <w:p>
            <w:pPr>
              <w:pStyle w:val="TableText"/>
              <w:ind w:left="1429"/>
              <w:spacing w:before="31" w:line="207" w:lineRule="auto"/>
              <w:rPr/>
            </w:pPr>
            <w:r>
              <w:rPr>
                <w:spacing w:val="-2"/>
              </w:rPr>
              <w:t>朱可炳</w:t>
            </w:r>
          </w:p>
        </w:tc>
        <w:tc>
          <w:tcPr>
            <w:tcW w:w="3265" w:type="dxa"/>
            <w:vAlign w:val="top"/>
          </w:tcPr>
          <w:p>
            <w:pPr>
              <w:pStyle w:val="TableText"/>
              <w:ind w:left="1326"/>
              <w:spacing w:before="31" w:line="207" w:lineRule="auto"/>
              <w:rPr/>
            </w:pPr>
            <w:r>
              <w:rPr>
                <w:spacing w:val="-2"/>
              </w:rPr>
              <w:t>雷晓旭</w:t>
            </w:r>
          </w:p>
        </w:tc>
      </w:tr>
      <w:tr>
        <w:trPr>
          <w:trHeight w:val="275" w:hRule="atLeast"/>
        </w:trPr>
        <w:tc>
          <w:tcPr>
            <w:tcW w:w="2694" w:type="dxa"/>
            <w:vAlign w:val="top"/>
          </w:tcPr>
          <w:p>
            <w:pPr>
              <w:pStyle w:val="TableText"/>
              <w:ind w:left="936"/>
              <w:spacing w:before="31" w:line="205" w:lineRule="auto"/>
              <w:rPr/>
            </w:pPr>
            <w:r>
              <w:rPr>
                <w:spacing w:val="-3"/>
              </w:rPr>
              <w:t>办公地址</w:t>
            </w:r>
          </w:p>
        </w:tc>
        <w:tc>
          <w:tcPr>
            <w:tcW w:w="3476" w:type="dxa"/>
            <w:vAlign w:val="top"/>
          </w:tcPr>
          <w:p>
            <w:pPr>
              <w:pStyle w:val="TableText"/>
              <w:ind w:left="485"/>
              <w:spacing w:before="31" w:line="205" w:lineRule="auto"/>
              <w:rPr/>
            </w:pPr>
            <w:r>
              <w:rPr>
                <w:spacing w:val="-1"/>
              </w:rPr>
              <w:t>北京市西城区金融大街21号</w:t>
            </w:r>
          </w:p>
        </w:tc>
        <w:tc>
          <w:tcPr>
            <w:tcW w:w="3265" w:type="dxa"/>
            <w:vAlign w:val="top"/>
          </w:tcPr>
          <w:p>
            <w:pPr>
              <w:pStyle w:val="TableText"/>
              <w:ind w:left="379"/>
              <w:spacing w:before="31" w:line="205" w:lineRule="auto"/>
              <w:rPr/>
            </w:pPr>
            <w:r>
              <w:rPr>
                <w:spacing w:val="-1"/>
              </w:rPr>
              <w:t>北京市西城区金融大街21号</w:t>
            </w:r>
          </w:p>
        </w:tc>
      </w:tr>
      <w:tr>
        <w:trPr>
          <w:trHeight w:val="277" w:hRule="atLeast"/>
        </w:trPr>
        <w:tc>
          <w:tcPr>
            <w:tcW w:w="2694" w:type="dxa"/>
            <w:vAlign w:val="top"/>
          </w:tcPr>
          <w:p>
            <w:pPr>
              <w:pStyle w:val="TableText"/>
              <w:ind w:left="1167"/>
              <w:spacing w:before="32" w:line="206" w:lineRule="auto"/>
              <w:rPr/>
            </w:pPr>
            <w:r>
              <w:rPr>
                <w:spacing w:val="-16"/>
              </w:rPr>
              <w:t>电话</w:t>
            </w:r>
          </w:p>
        </w:tc>
        <w:tc>
          <w:tcPr>
            <w:tcW w:w="3476" w:type="dxa"/>
            <w:vAlign w:val="top"/>
          </w:tcPr>
          <w:p>
            <w:pPr>
              <w:pStyle w:val="TableText"/>
              <w:ind w:left="1115"/>
              <w:spacing w:before="67" w:line="175" w:lineRule="auto"/>
              <w:rPr/>
            </w:pPr>
            <w:r>
              <w:rPr>
                <w:spacing w:val="-1"/>
              </w:rPr>
              <w:t>010-66259179</w:t>
            </w:r>
          </w:p>
        </w:tc>
        <w:tc>
          <w:tcPr>
            <w:tcW w:w="3265" w:type="dxa"/>
            <w:vAlign w:val="top"/>
          </w:tcPr>
          <w:p>
            <w:pPr>
              <w:pStyle w:val="TableText"/>
              <w:ind w:left="1009"/>
              <w:spacing w:before="67" w:line="175" w:lineRule="auto"/>
              <w:rPr/>
            </w:pPr>
            <w:r>
              <w:rPr>
                <w:spacing w:val="-1"/>
              </w:rPr>
              <w:t>010-66259179</w:t>
            </w:r>
          </w:p>
        </w:tc>
      </w:tr>
      <w:tr>
        <w:trPr>
          <w:trHeight w:val="282" w:hRule="atLeast"/>
        </w:trPr>
        <w:tc>
          <w:tcPr>
            <w:tcW w:w="2694" w:type="dxa"/>
            <w:vAlign w:val="top"/>
          </w:tcPr>
          <w:p>
            <w:pPr>
              <w:pStyle w:val="TableText"/>
              <w:ind w:left="956"/>
              <w:spacing w:before="34" w:line="209" w:lineRule="auto"/>
              <w:rPr/>
            </w:pPr>
            <w:r>
              <w:rPr>
                <w:spacing w:val="-8"/>
              </w:rPr>
              <w:t>电子信箱</w:t>
            </w:r>
          </w:p>
        </w:tc>
        <w:tc>
          <w:tcPr>
            <w:tcW w:w="3476" w:type="dxa"/>
            <w:vAlign w:val="top"/>
          </w:tcPr>
          <w:p>
            <w:pPr>
              <w:pStyle w:val="TableText"/>
              <w:ind w:left="645"/>
              <w:spacing w:before="34" w:line="209" w:lineRule="auto"/>
              <w:rPr/>
            </w:pPr>
            <w:r>
              <w:rPr>
                <w:spacing w:val="-1"/>
              </w:rPr>
              <w:t>dongmi@chinaunicom.cn</w:t>
            </w:r>
          </w:p>
        </w:tc>
        <w:tc>
          <w:tcPr>
            <w:tcW w:w="3265" w:type="dxa"/>
            <w:vAlign w:val="top"/>
          </w:tcPr>
          <w:p>
            <w:pPr>
              <w:pStyle w:val="TableText"/>
              <w:ind w:left="757"/>
              <w:spacing w:before="34" w:line="209" w:lineRule="auto"/>
              <w:rPr/>
            </w:pPr>
            <w:r>
              <w:rPr>
                <w:spacing w:val="-1"/>
              </w:rPr>
              <w:t>ir@chinaunicom.cn</w:t>
            </w:r>
          </w:p>
        </w:tc>
      </w:tr>
    </w:tbl>
    <w:p>
      <w:pPr>
        <w:rPr>
          <w:rFonts w:ascii="Arial"/>
          <w:sz w:val="21"/>
        </w:rPr>
      </w:pPr>
      <w:r/>
    </w:p>
    <w:p>
      <w:pPr>
        <w:sectPr>
          <w:headerReference w:type="default" r:id="rId4"/>
          <w:footerReference w:type="default" r:id="rId5"/>
          <w:pgSz w:w="11907" w:h="16839"/>
          <w:pgMar w:top="1377" w:right="1159" w:bottom="1375" w:left="1306" w:header="837" w:footer="1212" w:gutter="0"/>
        </w:sectPr>
        <w:rPr>
          <w:rFonts w:ascii="Arial" w:hAnsi="Arial" w:eastAsia="Arial" w:cs="Arial"/>
          <w:sz w:val="21"/>
          <w:szCs w:val="21"/>
        </w:rPr>
      </w:pPr>
    </w:p>
    <w:p>
      <w:pPr>
        <w:spacing w:line="260" w:lineRule="auto"/>
        <w:rPr>
          <w:rFonts w:ascii="Arial"/>
          <w:sz w:val="21"/>
        </w:rPr>
      </w:pPr>
      <w:r/>
    </w:p>
    <w:p>
      <w:pPr>
        <w:spacing w:line="261" w:lineRule="auto"/>
        <w:rPr>
          <w:rFonts w:ascii="Arial"/>
          <w:sz w:val="21"/>
        </w:rPr>
      </w:pPr>
      <w:r/>
    </w:p>
    <w:p>
      <w:pPr>
        <w:pStyle w:val="BodyText"/>
        <w:ind w:left="582"/>
        <w:spacing w:before="68" w:line="219" w:lineRule="auto"/>
        <w:rPr/>
      </w:pPr>
      <w:r>
        <w:rPr>
          <w:b/>
          <w:bCs/>
          <w:spacing w:val="-2"/>
        </w:rPr>
        <w:t>2</w:t>
      </w:r>
      <w:r>
        <w:rPr>
          <w:spacing w:val="-2"/>
        </w:rPr>
        <w:t xml:space="preserve">   </w:t>
      </w:r>
      <w:r>
        <w:rPr>
          <w:b/>
          <w:bCs/>
          <w:spacing w:val="-2"/>
        </w:rPr>
        <w:t>报告期公司主要业务简介</w:t>
      </w:r>
    </w:p>
    <w:p>
      <w:pPr>
        <w:spacing w:line="283" w:lineRule="auto"/>
        <w:rPr>
          <w:rFonts w:ascii="Arial"/>
          <w:sz w:val="21"/>
        </w:rPr>
      </w:pPr>
      <w:r/>
    </w:p>
    <w:p>
      <w:pPr>
        <w:pStyle w:val="BodyText"/>
        <w:ind w:left="586" w:right="674" w:firstLine="414"/>
        <w:spacing w:before="68" w:line="303" w:lineRule="auto"/>
        <w:rPr/>
      </w:pPr>
      <w:r>
        <w:rPr/>
        <w:t>本公司是经国务院批准设立的控股公司，经营范围为电信业的投资。本公司仅限</w:t>
      </w:r>
      <w:r>
        <w:rPr>
          <w:spacing w:val="-1"/>
        </w:rPr>
        <w:t>于通过联通</w:t>
      </w:r>
      <w:r>
        <w:rPr>
          <w:spacing w:val="-23"/>
        </w:rPr>
        <w:t xml:space="preserve"> </w:t>
      </w:r>
      <w:r>
        <w:rPr>
          <w:spacing w:val="-1"/>
        </w:rPr>
        <w:t>BVI</w:t>
      </w:r>
      <w:r>
        <w:rPr/>
        <w:t xml:space="preserve"> </w:t>
      </w:r>
      <w:r>
        <w:rPr>
          <w:spacing w:val="-1"/>
        </w:rPr>
        <w:t>公司持有联通红筹公司的股权，并保持对联通红筹公司的实际控制权。</w:t>
      </w:r>
    </w:p>
    <w:p>
      <w:pPr>
        <w:pStyle w:val="BodyText"/>
        <w:ind w:left="577" w:right="674" w:firstLine="423"/>
        <w:spacing w:before="186" w:line="312" w:lineRule="auto"/>
        <w:rPr/>
      </w:pPr>
      <w:r>
        <w:rPr>
          <w:spacing w:val="-1"/>
        </w:rPr>
        <w:t>本公司通过联通红筹公司的相关控股子公司，拥有覆盖中国、通达世界的现代通信网络，为广大</w:t>
      </w:r>
      <w:r>
        <w:rPr>
          <w:spacing w:val="11"/>
        </w:rPr>
        <w:t xml:space="preserve"> </w:t>
      </w:r>
      <w:r>
        <w:rPr/>
        <w:t>用户提供全方位、高品质信息通信服务，包括移动宽</w:t>
      </w:r>
      <w:r>
        <w:rPr>
          <w:spacing w:val="-1"/>
        </w:rPr>
        <w:t>带(WCDMA、LTE FDD、TD-LTE、5G)、固网宽带、</w:t>
      </w:r>
      <w:r>
        <w:rPr/>
        <w:t xml:space="preserve"> </w:t>
      </w:r>
      <w:r>
        <w:rPr/>
        <w:t>GSM</w:t>
      </w:r>
      <w:r>
        <w:rPr>
          <w:spacing w:val="2"/>
        </w:rPr>
        <w:t>、固网本地电话、信息通信技术服务、数据通信服务以及其它相</w:t>
      </w:r>
      <w:r>
        <w:rPr>
          <w:spacing w:val="1"/>
        </w:rPr>
        <w:t>关增值服务。本公司致力成为客</w:t>
      </w:r>
      <w:r>
        <w:rPr/>
        <w:t xml:space="preserve"> </w:t>
      </w:r>
      <w:r>
        <w:rPr>
          <w:spacing w:val="-1"/>
        </w:rPr>
        <w:t>户信赖的智慧生活创造者，联通世界，创享美好智慧生活，不断提高产品与服务的品质来满足客户需</w:t>
      </w:r>
      <w:r>
        <w:rPr>
          <w:spacing w:val="17"/>
        </w:rPr>
        <w:t xml:space="preserve"> </w:t>
      </w:r>
      <w:r>
        <w:rPr>
          <w:spacing w:val="-3"/>
        </w:rPr>
        <w:t>求，未来的产品与服务将向“智慧</w:t>
      </w:r>
      <w:r>
        <w:rPr>
          <w:spacing w:val="-63"/>
        </w:rPr>
        <w:t xml:space="preserve"> </w:t>
      </w:r>
      <w:r>
        <w:rPr>
          <w:spacing w:val="-3"/>
        </w:rPr>
        <w:t>”发展，利用</w:t>
      </w:r>
      <w:r>
        <w:rPr>
          <w:spacing w:val="-40"/>
        </w:rPr>
        <w:t xml:space="preserve"> </w:t>
      </w:r>
      <w:r>
        <w:rPr>
          <w:spacing w:val="-3"/>
        </w:rPr>
        <w:t>5G、物联网、云计算、大数据等技术对数据和信息进</w:t>
      </w:r>
      <w:r>
        <w:rPr/>
        <w:t xml:space="preserve"> </w:t>
      </w:r>
      <w:r>
        <w:rPr>
          <w:spacing w:val="-1"/>
        </w:rPr>
        <w:t>行智能处理，开展科技创新、赋能行业发展。</w:t>
      </w:r>
    </w:p>
    <w:p>
      <w:pPr>
        <w:pStyle w:val="BodyText"/>
        <w:ind w:left="579" w:right="676" w:firstLine="422"/>
        <w:spacing w:before="187" w:line="309" w:lineRule="auto"/>
        <w:rPr/>
      </w:pPr>
      <w:r>
        <w:rPr>
          <w:spacing w:val="-2"/>
        </w:rPr>
        <w:t>2020</w:t>
      </w:r>
      <w:r>
        <w:rPr>
          <w:spacing w:val="-46"/>
        </w:rPr>
        <w:t xml:space="preserve"> </w:t>
      </w:r>
      <w:r>
        <w:rPr>
          <w:spacing w:val="-2"/>
        </w:rPr>
        <w:t>年面对错综复杂的内外部环境和新冠疫情等挑战，中国联通始终坚持聚焦创新</w:t>
      </w:r>
      <w:r>
        <w:rPr>
          <w:spacing w:val="-3"/>
        </w:rPr>
        <w:t>合作战略，积</w:t>
      </w:r>
      <w:r>
        <w:rPr/>
        <w:t xml:space="preserve"> </w:t>
      </w:r>
      <w:r>
        <w:rPr>
          <w:spacing w:val="-1"/>
        </w:rPr>
        <w:t>极推动全面数字化转型，坚持差异化经营，以 5G 业务为引领，强化融合经营，提升用户发展效能，</w:t>
      </w:r>
      <w:r>
        <w:rPr>
          <w:spacing w:val="14"/>
        </w:rPr>
        <w:t xml:space="preserve"> </w:t>
      </w:r>
      <w:r>
        <w:rPr>
          <w:spacing w:val="-1"/>
        </w:rPr>
        <w:t>积极推进高质量可持续发展。截至</w:t>
      </w:r>
      <w:r>
        <w:rPr>
          <w:spacing w:val="-41"/>
        </w:rPr>
        <w:t xml:space="preserve"> </w:t>
      </w:r>
      <w:r>
        <w:rPr>
          <w:spacing w:val="-1"/>
        </w:rPr>
        <w:t>2020</w:t>
      </w:r>
      <w:r>
        <w:rPr>
          <w:spacing w:val="-44"/>
        </w:rPr>
        <w:t xml:space="preserve"> </w:t>
      </w:r>
      <w:r>
        <w:rPr>
          <w:spacing w:val="-2"/>
        </w:rPr>
        <w:t>年底，本公司拥有移动出账用户约</w:t>
      </w:r>
      <w:r>
        <w:rPr>
          <w:spacing w:val="-40"/>
        </w:rPr>
        <w:t xml:space="preserve"> </w:t>
      </w:r>
      <w:r>
        <w:rPr>
          <w:spacing w:val="-2"/>
        </w:rPr>
        <w:t>30,581.1</w:t>
      </w:r>
      <w:r>
        <w:rPr>
          <w:spacing w:val="-38"/>
        </w:rPr>
        <w:t xml:space="preserve"> </w:t>
      </w:r>
      <w:r>
        <w:rPr>
          <w:spacing w:val="-2"/>
        </w:rPr>
        <w:t>万，固网宽带用</w:t>
      </w:r>
      <w:r>
        <w:rPr/>
        <w:t xml:space="preserve"> </w:t>
      </w:r>
      <w:r>
        <w:rPr>
          <w:spacing w:val="-2"/>
        </w:rPr>
        <w:t>户约</w:t>
      </w:r>
      <w:r>
        <w:rPr>
          <w:spacing w:val="-43"/>
        </w:rPr>
        <w:t xml:space="preserve"> </w:t>
      </w:r>
      <w:r>
        <w:rPr>
          <w:spacing w:val="-2"/>
        </w:rPr>
        <w:t>8,609.5</w:t>
      </w:r>
      <w:r>
        <w:rPr>
          <w:spacing w:val="-39"/>
        </w:rPr>
        <w:t xml:space="preserve"> </w:t>
      </w:r>
      <w:r>
        <w:rPr>
          <w:spacing w:val="-2"/>
        </w:rPr>
        <w:t>万，本地电话用户约</w:t>
      </w:r>
      <w:r>
        <w:rPr>
          <w:spacing w:val="-45"/>
        </w:rPr>
        <w:t xml:space="preserve"> </w:t>
      </w:r>
      <w:r>
        <w:rPr>
          <w:spacing w:val="-2"/>
        </w:rPr>
        <w:t>4,73</w:t>
      </w:r>
      <w:r>
        <w:rPr>
          <w:spacing w:val="-3"/>
        </w:rPr>
        <w:t>3.9</w:t>
      </w:r>
      <w:r>
        <w:rPr>
          <w:spacing w:val="-39"/>
        </w:rPr>
        <w:t xml:space="preserve"> </w:t>
      </w:r>
      <w:r>
        <w:rPr>
          <w:spacing w:val="-3"/>
        </w:rPr>
        <w:t>万。</w:t>
      </w:r>
    </w:p>
    <w:p>
      <w:pPr>
        <w:pStyle w:val="BodyText"/>
        <w:ind w:left="1000"/>
        <w:spacing w:before="190" w:line="219" w:lineRule="auto"/>
        <w:rPr/>
      </w:pPr>
      <w:r>
        <w:rPr>
          <w:spacing w:val="3"/>
        </w:rPr>
        <w:t>有关公司详细经营情况及行业情况分析请见本报告第四节“经营情况讨</w:t>
      </w:r>
      <w:r>
        <w:rPr>
          <w:spacing w:val="2"/>
        </w:rPr>
        <w:t>论与分析”</w:t>
      </w:r>
    </w:p>
    <w:p>
      <w:pPr>
        <w:spacing w:line="264" w:lineRule="auto"/>
        <w:rPr>
          <w:rFonts w:ascii="Arial"/>
          <w:sz w:val="21"/>
        </w:rPr>
      </w:pPr>
      <w:r/>
    </w:p>
    <w:p>
      <w:pPr>
        <w:spacing w:line="264" w:lineRule="auto"/>
        <w:rPr>
          <w:rFonts w:ascii="Arial"/>
          <w:sz w:val="21"/>
        </w:rPr>
      </w:pPr>
      <w:r/>
    </w:p>
    <w:p>
      <w:pPr>
        <w:pStyle w:val="BodyText"/>
        <w:ind w:left="584"/>
        <w:spacing w:before="68" w:line="220" w:lineRule="auto"/>
        <w:rPr/>
      </w:pPr>
      <w:r>
        <w:rPr>
          <w:b/>
          <w:bCs/>
          <w:spacing w:val="-2"/>
        </w:rPr>
        <w:t>3</w:t>
      </w:r>
      <w:r>
        <w:rPr>
          <w:spacing w:val="-2"/>
        </w:rPr>
        <w:t xml:space="preserve">   </w:t>
      </w:r>
      <w:r>
        <w:rPr>
          <w:b/>
          <w:bCs/>
          <w:spacing w:val="-2"/>
        </w:rPr>
        <w:t>公司主要会计数据和财务指标</w:t>
      </w:r>
    </w:p>
    <w:p>
      <w:pPr>
        <w:pStyle w:val="BodyText"/>
        <w:ind w:left="584"/>
        <w:spacing w:before="218" w:line="220" w:lineRule="auto"/>
        <w:rPr/>
      </w:pPr>
      <w:r>
        <w:rPr>
          <w:b/>
          <w:bCs/>
          <w:spacing w:val="-3"/>
        </w:rPr>
        <w:t>3.1</w:t>
      </w:r>
      <w:r>
        <w:rPr>
          <w:spacing w:val="-3"/>
        </w:rPr>
        <w:t xml:space="preserve"> </w:t>
      </w:r>
      <w:r>
        <w:rPr>
          <w:b/>
          <w:bCs/>
          <w:spacing w:val="-3"/>
        </w:rPr>
        <w:t>近</w:t>
      </w:r>
      <w:r>
        <w:rPr>
          <w:spacing w:val="-36"/>
        </w:rPr>
        <w:t xml:space="preserve"> </w:t>
      </w:r>
      <w:r>
        <w:rPr>
          <w:rFonts w:ascii="Arial" w:hAnsi="Arial" w:eastAsia="Arial" w:cs="Arial"/>
          <w:b/>
          <w:bCs/>
          <w:spacing w:val="-3"/>
        </w:rPr>
        <w:t>3 </w:t>
      </w:r>
      <w:r>
        <w:rPr>
          <w:b/>
          <w:bCs/>
          <w:spacing w:val="-3"/>
        </w:rPr>
        <w:t>年的主要会计数据和财务指标</w:t>
      </w:r>
    </w:p>
    <w:p>
      <w:pPr>
        <w:pStyle w:val="BodyText"/>
        <w:ind w:left="7484"/>
        <w:spacing w:before="141" w:line="220" w:lineRule="auto"/>
        <w:rPr/>
      </w:pPr>
      <w:r>
        <w:rPr>
          <w:spacing w:val="-4"/>
        </w:rPr>
        <w:t>单位：元</w:t>
      </w:r>
      <w:r>
        <w:rPr>
          <w:spacing w:val="16"/>
        </w:rPr>
        <w:t xml:space="preserve">  </w:t>
      </w:r>
      <w:r>
        <w:rPr>
          <w:spacing w:val="-4"/>
        </w:rPr>
        <w:t>币种：人民币</w:t>
      </w:r>
    </w:p>
    <w:p>
      <w:pPr>
        <w:spacing w:line="118" w:lineRule="auto"/>
        <w:rPr>
          <w:rFonts w:ascii="Arial"/>
          <w:sz w:val="2"/>
        </w:rPr>
      </w:pPr>
      <w:r>
        <w:rPr>
          <w:rFonts w:ascii="Arial"/>
          <w:sz w:val="2"/>
        </w:rPr>
      </w:r>
    </w:p>
    <w:tbl>
      <w:tblPr>
        <w:tblStyle w:val="TableNormal"/>
        <w:tblW w:w="1046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07"/>
        <w:gridCol w:w="1789"/>
        <w:gridCol w:w="1917"/>
        <w:gridCol w:w="1953"/>
        <w:gridCol w:w="1794"/>
      </w:tblGrid>
      <w:tr>
        <w:trPr>
          <w:trHeight w:val="554" w:hRule="atLeast"/>
        </w:trPr>
        <w:tc>
          <w:tcPr>
            <w:shd w:val="clear" w:fill="D9D9D9"/>
            <w:tcW w:w="3007" w:type="dxa"/>
            <w:vAlign w:val="top"/>
          </w:tcPr>
          <w:p>
            <w:pPr>
              <w:rPr>
                <w:rFonts w:ascii="Arial"/>
                <w:sz w:val="21"/>
              </w:rPr>
            </w:pPr>
            <w:r/>
          </w:p>
        </w:tc>
        <w:tc>
          <w:tcPr>
            <w:shd w:val="clear" w:fill="D9D9D9"/>
            <w:tcW w:w="1789" w:type="dxa"/>
            <w:vAlign w:val="top"/>
          </w:tcPr>
          <w:p>
            <w:pPr>
              <w:pStyle w:val="TableText"/>
              <w:ind w:left="585"/>
              <w:spacing w:before="170" w:line="221" w:lineRule="auto"/>
              <w:rPr/>
            </w:pPr>
            <w:r>
              <w:rPr>
                <w:spacing w:val="-2"/>
              </w:rPr>
              <w:t>2020年</w:t>
            </w:r>
          </w:p>
        </w:tc>
        <w:tc>
          <w:tcPr>
            <w:shd w:val="clear" w:fill="D9D9D9"/>
            <w:tcW w:w="1917" w:type="dxa"/>
            <w:vAlign w:val="top"/>
          </w:tcPr>
          <w:p>
            <w:pPr>
              <w:pStyle w:val="TableText"/>
              <w:ind w:left="651"/>
              <w:spacing w:before="170" w:line="221" w:lineRule="auto"/>
              <w:rPr/>
            </w:pPr>
            <w:r>
              <w:rPr>
                <w:spacing w:val="-2"/>
              </w:rPr>
              <w:t>2019年</w:t>
            </w:r>
          </w:p>
        </w:tc>
        <w:tc>
          <w:tcPr>
            <w:shd w:val="clear" w:fill="D9D9D9"/>
            <w:tcW w:w="1953" w:type="dxa"/>
            <w:vAlign w:val="top"/>
          </w:tcPr>
          <w:p>
            <w:pPr>
              <w:pStyle w:val="TableText"/>
              <w:ind w:left="616" w:right="444" w:hanging="158"/>
              <w:spacing w:before="34" w:line="224" w:lineRule="auto"/>
              <w:rPr/>
            </w:pPr>
            <w:r>
              <w:rPr>
                <w:spacing w:val="-2"/>
              </w:rPr>
              <w:t>本年比上年</w:t>
            </w:r>
            <w:r>
              <w:rPr>
                <w:spacing w:val="3"/>
              </w:rPr>
              <w:t xml:space="preserve"> </w:t>
            </w:r>
            <w:r>
              <w:rPr>
                <w:spacing w:val="-2"/>
              </w:rPr>
              <w:t>增减(%)</w:t>
            </w:r>
          </w:p>
        </w:tc>
        <w:tc>
          <w:tcPr>
            <w:shd w:val="clear" w:fill="D9D9D9"/>
            <w:tcW w:w="1794" w:type="dxa"/>
            <w:vAlign w:val="top"/>
          </w:tcPr>
          <w:p>
            <w:pPr>
              <w:pStyle w:val="TableText"/>
              <w:ind w:left="588"/>
              <w:spacing w:before="170" w:line="221" w:lineRule="auto"/>
              <w:rPr/>
            </w:pPr>
            <w:r>
              <w:rPr>
                <w:spacing w:val="-2"/>
              </w:rPr>
              <w:t>2018年</w:t>
            </w:r>
          </w:p>
        </w:tc>
      </w:tr>
      <w:tr>
        <w:trPr>
          <w:trHeight w:val="390" w:hRule="atLeast"/>
        </w:trPr>
        <w:tc>
          <w:tcPr>
            <w:tcW w:w="3007" w:type="dxa"/>
            <w:vAlign w:val="top"/>
          </w:tcPr>
          <w:p>
            <w:pPr>
              <w:pStyle w:val="TableText"/>
              <w:ind w:left="121"/>
              <w:spacing w:before="86" w:line="221" w:lineRule="auto"/>
              <w:rPr/>
            </w:pPr>
            <w:r>
              <w:rPr>
                <w:spacing w:val="-3"/>
              </w:rPr>
              <w:t>总资产</w:t>
            </w:r>
          </w:p>
        </w:tc>
        <w:tc>
          <w:tcPr>
            <w:tcW w:w="1789" w:type="dxa"/>
            <w:vAlign w:val="top"/>
          </w:tcPr>
          <w:p>
            <w:pPr>
              <w:pStyle w:val="TableText"/>
              <w:ind w:left="116"/>
              <w:spacing w:before="122" w:line="182" w:lineRule="auto"/>
              <w:rPr/>
            </w:pPr>
            <w:r>
              <w:rPr>
                <w:spacing w:val="-1"/>
              </w:rPr>
              <w:t>582,475,430,408</w:t>
            </w:r>
          </w:p>
        </w:tc>
        <w:tc>
          <w:tcPr>
            <w:tcW w:w="1917" w:type="dxa"/>
            <w:vAlign w:val="top"/>
          </w:tcPr>
          <w:p>
            <w:pPr>
              <w:pStyle w:val="TableText"/>
              <w:ind w:left="245"/>
              <w:spacing w:before="121" w:line="183" w:lineRule="auto"/>
              <w:rPr/>
            </w:pPr>
            <w:r>
              <w:rPr>
                <w:spacing w:val="-1"/>
              </w:rPr>
              <w:t>564,230,618,712</w:t>
            </w:r>
          </w:p>
        </w:tc>
        <w:tc>
          <w:tcPr>
            <w:tcW w:w="1953" w:type="dxa"/>
            <w:vAlign w:val="top"/>
          </w:tcPr>
          <w:p>
            <w:pPr>
              <w:pStyle w:val="TableText"/>
              <w:ind w:left="1542"/>
              <w:spacing w:before="122" w:line="182" w:lineRule="auto"/>
              <w:rPr/>
            </w:pPr>
            <w:r>
              <w:rPr>
                <w:spacing w:val="-3"/>
              </w:rPr>
              <w:t>3.2</w:t>
            </w:r>
          </w:p>
        </w:tc>
        <w:tc>
          <w:tcPr>
            <w:tcW w:w="1794" w:type="dxa"/>
            <w:vAlign w:val="top"/>
          </w:tcPr>
          <w:p>
            <w:pPr>
              <w:pStyle w:val="TableText"/>
              <w:ind w:left="120"/>
              <w:spacing w:before="121" w:line="183" w:lineRule="auto"/>
              <w:rPr/>
            </w:pPr>
            <w:r>
              <w:rPr>
                <w:spacing w:val="-1"/>
              </w:rPr>
              <w:t>541,762,283,984</w:t>
            </w:r>
          </w:p>
        </w:tc>
      </w:tr>
      <w:tr>
        <w:trPr>
          <w:trHeight w:val="393" w:hRule="atLeast"/>
        </w:trPr>
        <w:tc>
          <w:tcPr>
            <w:tcW w:w="3007" w:type="dxa"/>
            <w:vAlign w:val="top"/>
          </w:tcPr>
          <w:p>
            <w:pPr>
              <w:pStyle w:val="TableText"/>
              <w:ind w:left="122"/>
              <w:spacing w:before="87" w:line="221" w:lineRule="auto"/>
              <w:rPr/>
            </w:pPr>
            <w:r>
              <w:rPr>
                <w:spacing w:val="-3"/>
              </w:rPr>
              <w:t>营业收入</w:t>
            </w:r>
          </w:p>
        </w:tc>
        <w:tc>
          <w:tcPr>
            <w:tcW w:w="1789" w:type="dxa"/>
            <w:vAlign w:val="top"/>
          </w:tcPr>
          <w:p>
            <w:pPr>
              <w:pStyle w:val="TableText"/>
              <w:ind w:left="116"/>
              <w:spacing w:before="122" w:line="183" w:lineRule="auto"/>
              <w:rPr/>
            </w:pPr>
            <w:r>
              <w:rPr>
                <w:spacing w:val="-1"/>
              </w:rPr>
              <w:t>303,838,070,591</w:t>
            </w:r>
          </w:p>
        </w:tc>
        <w:tc>
          <w:tcPr>
            <w:tcW w:w="1917" w:type="dxa"/>
            <w:vAlign w:val="top"/>
          </w:tcPr>
          <w:p>
            <w:pPr>
              <w:pStyle w:val="TableText"/>
              <w:ind w:left="243"/>
              <w:spacing w:before="122" w:line="183" w:lineRule="auto"/>
              <w:rPr/>
            </w:pPr>
            <w:r>
              <w:rPr>
                <w:spacing w:val="-1"/>
              </w:rPr>
              <w:t>290,514,554,553</w:t>
            </w:r>
          </w:p>
        </w:tc>
        <w:tc>
          <w:tcPr>
            <w:tcW w:w="1953" w:type="dxa"/>
            <w:vAlign w:val="top"/>
          </w:tcPr>
          <w:p>
            <w:pPr>
              <w:pStyle w:val="TableText"/>
              <w:ind w:left="1537"/>
              <w:spacing w:before="123" w:line="182" w:lineRule="auto"/>
              <w:rPr/>
            </w:pPr>
            <w:r>
              <w:rPr>
                <w:spacing w:val="-2"/>
              </w:rPr>
              <w:t>4.6</w:t>
            </w:r>
          </w:p>
        </w:tc>
        <w:tc>
          <w:tcPr>
            <w:tcW w:w="1794" w:type="dxa"/>
            <w:vAlign w:val="top"/>
          </w:tcPr>
          <w:p>
            <w:pPr>
              <w:pStyle w:val="TableText"/>
              <w:ind w:left="118"/>
              <w:spacing w:before="123" w:line="182" w:lineRule="auto"/>
              <w:rPr/>
            </w:pPr>
            <w:r>
              <w:rPr>
                <w:spacing w:val="-1"/>
              </w:rPr>
              <w:t>290,876,776,866</w:t>
            </w:r>
          </w:p>
        </w:tc>
      </w:tr>
      <w:tr>
        <w:trPr>
          <w:trHeight w:val="391" w:hRule="atLeast"/>
        </w:trPr>
        <w:tc>
          <w:tcPr>
            <w:tcW w:w="3007" w:type="dxa"/>
            <w:vAlign w:val="top"/>
          </w:tcPr>
          <w:p>
            <w:pPr>
              <w:pStyle w:val="TableText"/>
              <w:ind w:left="328"/>
              <w:spacing w:before="88" w:line="221" w:lineRule="auto"/>
              <w:rPr/>
            </w:pPr>
            <w:r>
              <w:rPr>
                <w:spacing w:val="-1"/>
              </w:rPr>
              <w:t>其中：主营业务收入</w:t>
            </w:r>
          </w:p>
        </w:tc>
        <w:tc>
          <w:tcPr>
            <w:tcW w:w="1789" w:type="dxa"/>
            <w:vAlign w:val="top"/>
          </w:tcPr>
          <w:p>
            <w:pPr>
              <w:pStyle w:val="TableText"/>
              <w:ind w:left="114"/>
              <w:spacing w:before="122" w:line="183" w:lineRule="auto"/>
              <w:rPr/>
            </w:pPr>
            <w:r>
              <w:rPr>
                <w:spacing w:val="-1"/>
              </w:rPr>
              <w:t>275,813,703,657</w:t>
            </w:r>
          </w:p>
        </w:tc>
        <w:tc>
          <w:tcPr>
            <w:tcW w:w="1917" w:type="dxa"/>
            <w:vAlign w:val="top"/>
          </w:tcPr>
          <w:p>
            <w:pPr>
              <w:pStyle w:val="TableText"/>
              <w:ind w:left="243"/>
              <w:spacing w:before="122" w:line="183" w:lineRule="auto"/>
              <w:rPr/>
            </w:pPr>
            <w:r>
              <w:rPr>
                <w:spacing w:val="-1"/>
              </w:rPr>
              <w:t>264,386,419,726</w:t>
            </w:r>
          </w:p>
        </w:tc>
        <w:tc>
          <w:tcPr>
            <w:tcW w:w="1953" w:type="dxa"/>
            <w:vAlign w:val="top"/>
          </w:tcPr>
          <w:p>
            <w:pPr>
              <w:pStyle w:val="TableText"/>
              <w:ind w:left="1537"/>
              <w:spacing w:before="124" w:line="182" w:lineRule="auto"/>
              <w:rPr/>
            </w:pPr>
            <w:r>
              <w:rPr>
                <w:spacing w:val="-2"/>
              </w:rPr>
              <w:t>4.3</w:t>
            </w:r>
          </w:p>
        </w:tc>
        <w:tc>
          <w:tcPr>
            <w:tcW w:w="1794" w:type="dxa"/>
            <w:vAlign w:val="top"/>
          </w:tcPr>
          <w:p>
            <w:pPr>
              <w:pStyle w:val="TableText"/>
              <w:ind w:left="118"/>
              <w:spacing w:before="122" w:line="183" w:lineRule="auto"/>
              <w:rPr/>
            </w:pPr>
            <w:r>
              <w:rPr>
                <w:spacing w:val="-1"/>
              </w:rPr>
              <w:t>263,682,588,116</w:t>
            </w:r>
          </w:p>
        </w:tc>
      </w:tr>
      <w:tr>
        <w:trPr>
          <w:trHeight w:val="391" w:hRule="atLeast"/>
        </w:trPr>
        <w:tc>
          <w:tcPr>
            <w:tcW w:w="3007" w:type="dxa"/>
            <w:vAlign w:val="top"/>
          </w:tcPr>
          <w:p>
            <w:pPr>
              <w:pStyle w:val="TableText"/>
              <w:ind w:left="124"/>
              <w:spacing w:before="88" w:line="221" w:lineRule="auto"/>
              <w:rPr/>
            </w:pPr>
            <w:r>
              <w:rPr>
                <w:spacing w:val="-1"/>
              </w:rPr>
              <w:t>归属于上市公司股东的净利润</w:t>
            </w:r>
          </w:p>
        </w:tc>
        <w:tc>
          <w:tcPr>
            <w:tcW w:w="1789" w:type="dxa"/>
            <w:vAlign w:val="top"/>
          </w:tcPr>
          <w:p>
            <w:pPr>
              <w:pStyle w:val="TableText"/>
              <w:ind w:left="325"/>
              <w:spacing w:before="122" w:line="183" w:lineRule="auto"/>
              <w:rPr/>
            </w:pPr>
            <w:r>
              <w:rPr>
                <w:spacing w:val="-1"/>
              </w:rPr>
              <w:t>5,521,311,508</w:t>
            </w:r>
          </w:p>
        </w:tc>
        <w:tc>
          <w:tcPr>
            <w:tcW w:w="1917" w:type="dxa"/>
            <w:vAlign w:val="top"/>
          </w:tcPr>
          <w:p>
            <w:pPr>
              <w:pStyle w:val="TableText"/>
              <w:ind w:left="448"/>
              <w:spacing w:before="122" w:line="183" w:lineRule="auto"/>
              <w:rPr/>
            </w:pPr>
            <w:r>
              <w:rPr>
                <w:spacing w:val="-1"/>
              </w:rPr>
              <w:t>4,982,083,711</w:t>
            </w:r>
          </w:p>
        </w:tc>
        <w:tc>
          <w:tcPr>
            <w:tcW w:w="1953" w:type="dxa"/>
            <w:vAlign w:val="top"/>
          </w:tcPr>
          <w:p>
            <w:pPr>
              <w:pStyle w:val="TableText"/>
              <w:ind w:left="1448"/>
              <w:spacing w:before="123" w:line="183" w:lineRule="auto"/>
              <w:rPr/>
            </w:pPr>
            <w:r>
              <w:rPr>
                <w:spacing w:val="-5"/>
              </w:rPr>
              <w:t>10.8</w:t>
            </w:r>
          </w:p>
        </w:tc>
        <w:tc>
          <w:tcPr>
            <w:tcW w:w="1794" w:type="dxa"/>
            <w:vAlign w:val="top"/>
          </w:tcPr>
          <w:p>
            <w:pPr>
              <w:pStyle w:val="TableText"/>
              <w:ind w:left="323"/>
              <w:spacing w:before="122" w:line="183" w:lineRule="auto"/>
              <w:rPr/>
            </w:pPr>
            <w:r>
              <w:rPr>
                <w:spacing w:val="-1"/>
              </w:rPr>
              <w:t>4,080,771,727</w:t>
            </w:r>
          </w:p>
        </w:tc>
      </w:tr>
      <w:tr>
        <w:trPr>
          <w:trHeight w:val="695" w:hRule="atLeast"/>
        </w:trPr>
        <w:tc>
          <w:tcPr>
            <w:tcW w:w="3007" w:type="dxa"/>
            <w:vAlign w:val="top"/>
          </w:tcPr>
          <w:p>
            <w:pPr>
              <w:pStyle w:val="TableText"/>
              <w:ind w:left="117" w:right="108" w:firstLine="6"/>
              <w:spacing w:before="105" w:line="230" w:lineRule="auto"/>
              <w:rPr/>
            </w:pPr>
            <w:r>
              <w:rPr>
                <w:spacing w:val="3"/>
              </w:rPr>
              <w:t>归属于上市公司股东的扣除非</w:t>
            </w:r>
            <w:r>
              <w:rPr/>
              <w:t xml:space="preserve"> </w:t>
            </w:r>
            <w:r>
              <w:rPr>
                <w:spacing w:val="-1"/>
              </w:rPr>
              <w:t>经常性损益的净利润</w:t>
            </w:r>
          </w:p>
        </w:tc>
        <w:tc>
          <w:tcPr>
            <w:tcW w:w="1789" w:type="dxa"/>
            <w:vAlign w:val="top"/>
          </w:tcPr>
          <w:p>
            <w:pPr>
              <w:pStyle w:val="TableText"/>
              <w:ind w:left="325"/>
              <w:spacing w:before="277" w:line="182" w:lineRule="auto"/>
              <w:rPr/>
            </w:pPr>
            <w:r>
              <w:rPr>
                <w:spacing w:val="-1"/>
              </w:rPr>
              <w:t>5,450,075,630</w:t>
            </w:r>
          </w:p>
        </w:tc>
        <w:tc>
          <w:tcPr>
            <w:tcW w:w="1917" w:type="dxa"/>
            <w:vAlign w:val="top"/>
          </w:tcPr>
          <w:p>
            <w:pPr>
              <w:pStyle w:val="TableText"/>
              <w:ind w:left="454"/>
              <w:spacing w:before="276" w:line="183" w:lineRule="auto"/>
              <w:rPr/>
            </w:pPr>
            <w:r>
              <w:rPr>
                <w:spacing w:val="-1"/>
              </w:rPr>
              <w:t>5,198,176,968</w:t>
            </w:r>
          </w:p>
        </w:tc>
        <w:tc>
          <w:tcPr>
            <w:tcW w:w="1953" w:type="dxa"/>
            <w:vAlign w:val="top"/>
          </w:tcPr>
          <w:p>
            <w:pPr>
              <w:pStyle w:val="TableText"/>
              <w:ind w:left="1537"/>
              <w:spacing w:before="277" w:line="182" w:lineRule="auto"/>
              <w:rPr/>
            </w:pPr>
            <w:r>
              <w:rPr>
                <w:spacing w:val="-2"/>
              </w:rPr>
              <w:t>4.8</w:t>
            </w:r>
          </w:p>
        </w:tc>
        <w:tc>
          <w:tcPr>
            <w:tcW w:w="1794" w:type="dxa"/>
            <w:vAlign w:val="top"/>
          </w:tcPr>
          <w:p>
            <w:pPr>
              <w:pStyle w:val="TableText"/>
              <w:ind w:left="329"/>
              <w:spacing w:before="276" w:line="183" w:lineRule="auto"/>
              <w:rPr/>
            </w:pPr>
            <w:r>
              <w:rPr>
                <w:spacing w:val="-1"/>
              </w:rPr>
              <w:t>5,027,283,119</w:t>
            </w:r>
          </w:p>
        </w:tc>
      </w:tr>
      <w:tr>
        <w:trPr>
          <w:trHeight w:val="393" w:hRule="atLeast"/>
        </w:trPr>
        <w:tc>
          <w:tcPr>
            <w:tcW w:w="3007" w:type="dxa"/>
            <w:vAlign w:val="top"/>
          </w:tcPr>
          <w:p>
            <w:pPr>
              <w:pStyle w:val="TableText"/>
              <w:ind w:left="124"/>
              <w:spacing w:before="89" w:line="221" w:lineRule="auto"/>
              <w:rPr/>
            </w:pPr>
            <w:r>
              <w:rPr>
                <w:spacing w:val="-1"/>
              </w:rPr>
              <w:t>归属于上市公司股东的净资产</w:t>
            </w:r>
          </w:p>
        </w:tc>
        <w:tc>
          <w:tcPr>
            <w:tcW w:w="1789" w:type="dxa"/>
            <w:vAlign w:val="top"/>
          </w:tcPr>
          <w:p>
            <w:pPr>
              <w:pStyle w:val="TableText"/>
              <w:ind w:left="128"/>
              <w:spacing w:before="123" w:line="183" w:lineRule="auto"/>
              <w:rPr/>
            </w:pPr>
            <w:r>
              <w:rPr>
                <w:spacing w:val="-2"/>
              </w:rPr>
              <w:t>147,708,515,154</w:t>
            </w:r>
          </w:p>
        </w:tc>
        <w:tc>
          <w:tcPr>
            <w:tcW w:w="1917" w:type="dxa"/>
            <w:vAlign w:val="top"/>
          </w:tcPr>
          <w:p>
            <w:pPr>
              <w:pStyle w:val="TableText"/>
              <w:ind w:left="256"/>
              <w:spacing w:before="123" w:line="183" w:lineRule="auto"/>
              <w:rPr/>
            </w:pPr>
            <w:r>
              <w:rPr>
                <w:spacing w:val="-2"/>
              </w:rPr>
              <w:t>143,327,302,175</w:t>
            </w:r>
          </w:p>
        </w:tc>
        <w:tc>
          <w:tcPr>
            <w:tcW w:w="1953" w:type="dxa"/>
            <w:vAlign w:val="top"/>
          </w:tcPr>
          <w:p>
            <w:pPr>
              <w:pStyle w:val="TableText"/>
              <w:ind w:left="1542"/>
              <w:spacing w:before="123" w:line="183" w:lineRule="auto"/>
              <w:rPr/>
            </w:pPr>
            <w:r>
              <w:rPr>
                <w:spacing w:val="-3"/>
              </w:rPr>
              <w:t>3.1</w:t>
            </w:r>
          </w:p>
        </w:tc>
        <w:tc>
          <w:tcPr>
            <w:tcW w:w="1794" w:type="dxa"/>
            <w:vAlign w:val="top"/>
          </w:tcPr>
          <w:p>
            <w:pPr>
              <w:pStyle w:val="TableText"/>
              <w:ind w:left="131"/>
              <w:spacing w:before="123" w:line="183" w:lineRule="auto"/>
              <w:rPr/>
            </w:pPr>
            <w:r>
              <w:rPr>
                <w:spacing w:val="-2"/>
              </w:rPr>
              <w:t>140,144,361,690</w:t>
            </w:r>
          </w:p>
        </w:tc>
      </w:tr>
      <w:tr>
        <w:trPr>
          <w:trHeight w:val="391" w:hRule="atLeast"/>
        </w:trPr>
        <w:tc>
          <w:tcPr>
            <w:tcW w:w="3007" w:type="dxa"/>
            <w:vAlign w:val="top"/>
          </w:tcPr>
          <w:p>
            <w:pPr>
              <w:pStyle w:val="TableText"/>
              <w:ind w:left="117"/>
              <w:spacing w:before="90" w:line="221" w:lineRule="auto"/>
              <w:rPr/>
            </w:pPr>
            <w:r>
              <w:rPr>
                <w:spacing w:val="-1"/>
              </w:rPr>
              <w:t>经营活动产生的现金流量净额</w:t>
            </w:r>
          </w:p>
        </w:tc>
        <w:tc>
          <w:tcPr>
            <w:tcW w:w="1789" w:type="dxa"/>
            <w:vAlign w:val="top"/>
          </w:tcPr>
          <w:p>
            <w:pPr>
              <w:pStyle w:val="TableText"/>
              <w:ind w:left="128"/>
              <w:spacing w:before="124" w:line="183" w:lineRule="auto"/>
              <w:rPr/>
            </w:pPr>
            <w:r>
              <w:rPr>
                <w:spacing w:val="-2"/>
              </w:rPr>
              <w:t>107,333,764,603</w:t>
            </w:r>
          </w:p>
        </w:tc>
        <w:tc>
          <w:tcPr>
            <w:tcW w:w="1917" w:type="dxa"/>
            <w:vAlign w:val="top"/>
          </w:tcPr>
          <w:p>
            <w:pPr>
              <w:pStyle w:val="TableText"/>
              <w:ind w:left="345"/>
              <w:spacing w:before="125" w:line="182" w:lineRule="auto"/>
              <w:rPr/>
            </w:pPr>
            <w:r>
              <w:rPr>
                <w:spacing w:val="-1"/>
              </w:rPr>
              <w:t>96,208,235,799</w:t>
            </w:r>
          </w:p>
        </w:tc>
        <w:tc>
          <w:tcPr>
            <w:tcW w:w="1953" w:type="dxa"/>
            <w:vAlign w:val="top"/>
          </w:tcPr>
          <w:p>
            <w:pPr>
              <w:pStyle w:val="TableText"/>
              <w:ind w:left="1448"/>
              <w:spacing w:before="124" w:line="183" w:lineRule="auto"/>
              <w:rPr/>
            </w:pPr>
            <w:r>
              <w:rPr>
                <w:spacing w:val="-5"/>
              </w:rPr>
              <w:t>11.6</w:t>
            </w:r>
          </w:p>
        </w:tc>
        <w:tc>
          <w:tcPr>
            <w:tcW w:w="1794" w:type="dxa"/>
            <w:vAlign w:val="top"/>
          </w:tcPr>
          <w:p>
            <w:pPr>
              <w:pStyle w:val="TableText"/>
              <w:ind w:left="220"/>
              <w:spacing w:before="125" w:line="182" w:lineRule="auto"/>
              <w:rPr/>
            </w:pPr>
            <w:r>
              <w:rPr>
                <w:spacing w:val="-1"/>
              </w:rPr>
              <w:t>94,829,725,347</w:t>
            </w:r>
          </w:p>
        </w:tc>
      </w:tr>
      <w:tr>
        <w:trPr>
          <w:trHeight w:val="390" w:hRule="atLeast"/>
        </w:trPr>
        <w:tc>
          <w:tcPr>
            <w:tcW w:w="3007" w:type="dxa"/>
            <w:vAlign w:val="top"/>
          </w:tcPr>
          <w:p>
            <w:pPr>
              <w:pStyle w:val="TableText"/>
              <w:ind w:left="116"/>
              <w:spacing w:before="90" w:line="220" w:lineRule="auto"/>
              <w:rPr/>
            </w:pPr>
            <w:r>
              <w:rPr>
                <w:spacing w:val="-2"/>
              </w:rPr>
              <w:t>基本每股收益（元／股）</w:t>
            </w:r>
          </w:p>
        </w:tc>
        <w:tc>
          <w:tcPr>
            <w:tcW w:w="1789" w:type="dxa"/>
            <w:vAlign w:val="top"/>
          </w:tcPr>
          <w:p>
            <w:pPr>
              <w:pStyle w:val="TableText"/>
              <w:ind w:left="1162"/>
              <w:spacing w:before="124" w:line="183" w:lineRule="auto"/>
              <w:rPr/>
            </w:pPr>
            <w:r>
              <w:rPr>
                <w:spacing w:val="-2"/>
              </w:rPr>
              <w:t>0.178</w:t>
            </w:r>
          </w:p>
        </w:tc>
        <w:tc>
          <w:tcPr>
            <w:tcW w:w="1917" w:type="dxa"/>
            <w:vAlign w:val="top"/>
          </w:tcPr>
          <w:p>
            <w:pPr>
              <w:pStyle w:val="TableText"/>
              <w:ind w:left="1291"/>
              <w:spacing w:before="124" w:line="183" w:lineRule="auto"/>
              <w:rPr/>
            </w:pPr>
            <w:r>
              <w:rPr>
                <w:spacing w:val="-2"/>
              </w:rPr>
              <w:t>0.161</w:t>
            </w:r>
          </w:p>
        </w:tc>
        <w:tc>
          <w:tcPr>
            <w:tcW w:w="1953" w:type="dxa"/>
            <w:vAlign w:val="top"/>
          </w:tcPr>
          <w:p>
            <w:pPr>
              <w:pStyle w:val="TableText"/>
              <w:ind w:left="1448"/>
              <w:spacing w:before="124" w:line="183" w:lineRule="auto"/>
              <w:rPr/>
            </w:pPr>
            <w:r>
              <w:rPr>
                <w:spacing w:val="-5"/>
              </w:rPr>
              <w:t>10.6</w:t>
            </w:r>
          </w:p>
        </w:tc>
        <w:tc>
          <w:tcPr>
            <w:tcW w:w="1794" w:type="dxa"/>
            <w:vAlign w:val="top"/>
          </w:tcPr>
          <w:p>
            <w:pPr>
              <w:pStyle w:val="TableText"/>
              <w:ind w:left="1166"/>
              <w:spacing w:before="124" w:line="183" w:lineRule="auto"/>
              <w:rPr/>
            </w:pPr>
            <w:r>
              <w:rPr>
                <w:spacing w:val="-2"/>
              </w:rPr>
              <w:t>0.132</w:t>
            </w:r>
          </w:p>
        </w:tc>
      </w:tr>
      <w:tr>
        <w:trPr>
          <w:trHeight w:val="393" w:hRule="atLeast"/>
        </w:trPr>
        <w:tc>
          <w:tcPr>
            <w:tcW w:w="3007" w:type="dxa"/>
            <w:vAlign w:val="top"/>
          </w:tcPr>
          <w:p>
            <w:pPr>
              <w:pStyle w:val="TableText"/>
              <w:ind w:left="115"/>
              <w:spacing w:before="91" w:line="221" w:lineRule="auto"/>
              <w:rPr/>
            </w:pPr>
            <w:r>
              <w:rPr>
                <w:spacing w:val="-2"/>
              </w:rPr>
              <w:t>稀释每股收益（元／股）</w:t>
            </w:r>
          </w:p>
        </w:tc>
        <w:tc>
          <w:tcPr>
            <w:tcW w:w="1789" w:type="dxa"/>
            <w:vAlign w:val="top"/>
          </w:tcPr>
          <w:p>
            <w:pPr>
              <w:pStyle w:val="TableText"/>
              <w:ind w:left="1162"/>
              <w:spacing w:before="125" w:line="183" w:lineRule="auto"/>
              <w:rPr/>
            </w:pPr>
            <w:r>
              <w:rPr>
                <w:spacing w:val="-2"/>
              </w:rPr>
              <w:t>0.178</w:t>
            </w:r>
          </w:p>
        </w:tc>
        <w:tc>
          <w:tcPr>
            <w:tcW w:w="1917" w:type="dxa"/>
            <w:vAlign w:val="top"/>
          </w:tcPr>
          <w:p>
            <w:pPr>
              <w:pStyle w:val="TableText"/>
              <w:ind w:left="1291"/>
              <w:spacing w:before="125" w:line="183" w:lineRule="auto"/>
              <w:rPr/>
            </w:pPr>
            <w:r>
              <w:rPr>
                <w:spacing w:val="-2"/>
              </w:rPr>
              <w:t>0.161</w:t>
            </w:r>
          </w:p>
        </w:tc>
        <w:tc>
          <w:tcPr>
            <w:tcW w:w="1953" w:type="dxa"/>
            <w:vAlign w:val="top"/>
          </w:tcPr>
          <w:p>
            <w:pPr>
              <w:pStyle w:val="TableText"/>
              <w:ind w:left="1448"/>
              <w:spacing w:before="125" w:line="183" w:lineRule="auto"/>
              <w:rPr/>
            </w:pPr>
            <w:r>
              <w:rPr>
                <w:spacing w:val="-5"/>
              </w:rPr>
              <w:t>10.6</w:t>
            </w:r>
          </w:p>
        </w:tc>
        <w:tc>
          <w:tcPr>
            <w:tcW w:w="1794" w:type="dxa"/>
            <w:vAlign w:val="top"/>
          </w:tcPr>
          <w:p>
            <w:pPr>
              <w:pStyle w:val="TableText"/>
              <w:ind w:left="1166"/>
              <w:spacing w:before="125" w:line="183" w:lineRule="auto"/>
              <w:rPr/>
            </w:pPr>
            <w:r>
              <w:rPr>
                <w:spacing w:val="-2"/>
              </w:rPr>
              <w:t>0.132</w:t>
            </w:r>
          </w:p>
        </w:tc>
      </w:tr>
      <w:tr>
        <w:trPr>
          <w:trHeight w:val="395" w:hRule="atLeast"/>
        </w:trPr>
        <w:tc>
          <w:tcPr>
            <w:tcW w:w="3007" w:type="dxa"/>
            <w:vAlign w:val="top"/>
          </w:tcPr>
          <w:p>
            <w:pPr>
              <w:pStyle w:val="TableText"/>
              <w:ind w:left="116"/>
              <w:spacing w:before="91" w:line="221" w:lineRule="auto"/>
              <w:rPr/>
            </w:pPr>
            <w:r>
              <w:rPr>
                <w:spacing w:val="-1"/>
              </w:rPr>
              <w:t>加权平均净资产收益率（%）</w:t>
            </w:r>
          </w:p>
        </w:tc>
        <w:tc>
          <w:tcPr>
            <w:tcW w:w="1789" w:type="dxa"/>
            <w:vAlign w:val="top"/>
          </w:tcPr>
          <w:p>
            <w:pPr>
              <w:pStyle w:val="TableText"/>
              <w:ind w:left="1271"/>
              <w:spacing w:before="127" w:line="182" w:lineRule="auto"/>
              <w:rPr/>
            </w:pPr>
            <w:r>
              <w:rPr>
                <w:spacing w:val="-2"/>
              </w:rPr>
              <w:t>3.73</w:t>
            </w:r>
          </w:p>
        </w:tc>
        <w:tc>
          <w:tcPr>
            <w:tcW w:w="1917" w:type="dxa"/>
            <w:vAlign w:val="top"/>
          </w:tcPr>
          <w:p>
            <w:pPr>
              <w:pStyle w:val="TableText"/>
              <w:ind w:left="1400"/>
              <w:spacing w:before="127" w:line="182" w:lineRule="auto"/>
              <w:rPr/>
            </w:pPr>
            <w:r>
              <w:rPr>
                <w:spacing w:val="-2"/>
              </w:rPr>
              <w:t>3.45</w:t>
            </w:r>
          </w:p>
        </w:tc>
        <w:tc>
          <w:tcPr>
            <w:tcW w:w="1953" w:type="dxa"/>
            <w:vAlign w:val="top"/>
          </w:tcPr>
          <w:p>
            <w:pPr>
              <w:pStyle w:val="TableText"/>
              <w:ind w:left="173"/>
              <w:spacing w:before="91" w:line="221" w:lineRule="auto"/>
              <w:rPr/>
            </w:pPr>
            <w:r>
              <w:rPr>
                <w:spacing w:val="-1"/>
              </w:rPr>
              <w:t>增加0.28个百分点</w:t>
            </w:r>
          </w:p>
        </w:tc>
        <w:tc>
          <w:tcPr>
            <w:tcW w:w="1794" w:type="dxa"/>
            <w:vAlign w:val="top"/>
          </w:tcPr>
          <w:p>
            <w:pPr>
              <w:pStyle w:val="TableText"/>
              <w:ind w:left="1272"/>
              <w:spacing w:before="127" w:line="182" w:lineRule="auto"/>
              <w:rPr/>
            </w:pPr>
            <w:r>
              <w:rPr>
                <w:spacing w:val="-2"/>
              </w:rPr>
              <w:t>2.86</w:t>
            </w:r>
          </w:p>
        </w:tc>
      </w:tr>
    </w:tbl>
    <w:p>
      <w:pPr>
        <w:rPr>
          <w:rFonts w:ascii="Arial"/>
          <w:sz w:val="21"/>
        </w:rPr>
      </w:pPr>
      <w:r/>
    </w:p>
    <w:p>
      <w:pPr>
        <w:sectPr>
          <w:headerReference w:type="default" r:id="rId6"/>
          <w:footerReference w:type="default" r:id="rId7"/>
          <w:pgSz w:w="11907" w:h="16839"/>
          <w:pgMar w:top="1377" w:right="593" w:bottom="1375" w:left="847" w:header="837" w:footer="1212" w:gutter="0"/>
        </w:sectPr>
        <w:rPr>
          <w:rFonts w:ascii="Arial" w:hAnsi="Arial" w:eastAsia="Arial" w:cs="Arial"/>
          <w:sz w:val="21"/>
          <w:szCs w:val="21"/>
        </w:rPr>
      </w:pPr>
    </w:p>
    <w:p>
      <w:pPr>
        <w:pStyle w:val="BodyText"/>
        <w:ind w:left="869"/>
        <w:spacing w:before="280" w:line="219" w:lineRule="auto"/>
        <w:outlineLvl w:val="0"/>
        <w:rPr/>
      </w:pPr>
      <w:r>
        <w:rPr>
          <w:b/>
          <w:bCs/>
          <w:spacing w:val="-3"/>
        </w:rPr>
        <w:t>3.2</w:t>
      </w:r>
      <w:r>
        <w:rPr>
          <w:spacing w:val="-3"/>
        </w:rPr>
        <w:t xml:space="preserve"> </w:t>
      </w:r>
      <w:r>
        <w:rPr>
          <w:b/>
          <w:bCs/>
          <w:spacing w:val="-3"/>
        </w:rPr>
        <w:t>报告期分季度的主要会计数据</w:t>
      </w:r>
    </w:p>
    <w:p>
      <w:pPr>
        <w:pStyle w:val="BodyText"/>
        <w:ind w:left="7770"/>
        <w:spacing w:before="141" w:line="220" w:lineRule="auto"/>
        <w:rPr/>
      </w:pPr>
      <w:r>
        <w:rPr>
          <w:spacing w:val="-4"/>
        </w:rPr>
        <w:t>单位：元</w:t>
      </w:r>
      <w:r>
        <w:rPr>
          <w:spacing w:val="16"/>
        </w:rPr>
        <w:t xml:space="preserve">  </w:t>
      </w:r>
      <w:r>
        <w:rPr>
          <w:spacing w:val="-4"/>
        </w:rPr>
        <w:t>币种：人民币</w:t>
      </w:r>
    </w:p>
    <w:p>
      <w:pPr>
        <w:spacing w:line="109" w:lineRule="auto"/>
        <w:rPr>
          <w:rFonts w:ascii="Arial"/>
          <w:sz w:val="2"/>
        </w:rPr>
      </w:pPr>
      <w:r>
        <w:rPr>
          <w:rFonts w:ascii="Arial"/>
          <w:sz w:val="2"/>
        </w:rPr>
      </w:r>
    </w:p>
    <w:tbl>
      <w:tblPr>
        <w:tblStyle w:val="TableNormal"/>
        <w:tblW w:w="10924"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82"/>
        <w:gridCol w:w="1984"/>
        <w:gridCol w:w="2126"/>
        <w:gridCol w:w="1984"/>
        <w:gridCol w:w="1848"/>
      </w:tblGrid>
      <w:tr>
        <w:trPr>
          <w:trHeight w:val="632" w:hRule="atLeast"/>
        </w:trPr>
        <w:tc>
          <w:tcPr>
            <w:shd w:val="clear" w:fill="D9D9D9"/>
            <w:tcW w:w="2982" w:type="dxa"/>
            <w:vAlign w:val="top"/>
          </w:tcPr>
          <w:p>
            <w:pPr>
              <w:rPr>
                <w:rFonts w:ascii="Arial"/>
                <w:sz w:val="21"/>
              </w:rPr>
            </w:pPr>
            <w:r/>
          </w:p>
        </w:tc>
        <w:tc>
          <w:tcPr>
            <w:shd w:val="clear" w:fill="D9D9D9"/>
            <w:tcW w:w="1984" w:type="dxa"/>
            <w:vAlign w:val="top"/>
          </w:tcPr>
          <w:p>
            <w:pPr>
              <w:pStyle w:val="TableText"/>
              <w:ind w:left="400" w:right="397" w:firstLine="176"/>
              <w:spacing w:before="55" w:line="249" w:lineRule="auto"/>
              <w:rPr/>
            </w:pPr>
            <w:r>
              <w:rPr>
                <w:spacing w:val="-2"/>
              </w:rPr>
              <w:t>第一季度</w:t>
            </w:r>
            <w:r>
              <w:rPr/>
              <w:t xml:space="preserve">  </w:t>
            </w:r>
            <w:r>
              <w:rPr>
                <w:spacing w:val="-6"/>
              </w:rPr>
              <w:t>（1-3</w:t>
            </w:r>
            <w:r>
              <w:rPr>
                <w:spacing w:val="-39"/>
              </w:rPr>
              <w:t xml:space="preserve"> </w:t>
            </w:r>
            <w:r>
              <w:rPr>
                <w:spacing w:val="-6"/>
              </w:rPr>
              <w:t>月份）</w:t>
            </w:r>
          </w:p>
        </w:tc>
        <w:tc>
          <w:tcPr>
            <w:shd w:val="clear" w:fill="D9D9D9"/>
            <w:tcW w:w="2126" w:type="dxa"/>
            <w:vAlign w:val="top"/>
          </w:tcPr>
          <w:p>
            <w:pPr>
              <w:pStyle w:val="TableText"/>
              <w:ind w:left="470" w:right="469" w:firstLine="178"/>
              <w:spacing w:before="55" w:line="249" w:lineRule="auto"/>
              <w:rPr/>
            </w:pPr>
            <w:r>
              <w:rPr>
                <w:spacing w:val="-2"/>
              </w:rPr>
              <w:t>第二季度</w:t>
            </w:r>
            <w:r>
              <w:rPr/>
              <w:t xml:space="preserve">  </w:t>
            </w:r>
            <w:r>
              <w:rPr>
                <w:spacing w:val="-6"/>
              </w:rPr>
              <w:t>（4-6</w:t>
            </w:r>
            <w:r>
              <w:rPr>
                <w:spacing w:val="-39"/>
              </w:rPr>
              <w:t xml:space="preserve"> </w:t>
            </w:r>
            <w:r>
              <w:rPr>
                <w:spacing w:val="-6"/>
              </w:rPr>
              <w:t>月份）</w:t>
            </w:r>
          </w:p>
        </w:tc>
        <w:tc>
          <w:tcPr>
            <w:shd w:val="clear" w:fill="D9D9D9"/>
            <w:tcW w:w="1984" w:type="dxa"/>
            <w:vAlign w:val="top"/>
          </w:tcPr>
          <w:p>
            <w:pPr>
              <w:pStyle w:val="TableText"/>
              <w:ind w:left="402" w:right="396" w:firstLine="176"/>
              <w:spacing w:before="55" w:line="249" w:lineRule="auto"/>
              <w:rPr/>
            </w:pPr>
            <w:r>
              <w:rPr>
                <w:spacing w:val="-2"/>
              </w:rPr>
              <w:t>第三季度</w:t>
            </w:r>
            <w:r>
              <w:rPr/>
              <w:t xml:space="preserve">  </w:t>
            </w:r>
            <w:r>
              <w:rPr>
                <w:spacing w:val="-6"/>
              </w:rPr>
              <w:t>（7-9</w:t>
            </w:r>
            <w:r>
              <w:rPr>
                <w:spacing w:val="-39"/>
              </w:rPr>
              <w:t xml:space="preserve"> </w:t>
            </w:r>
            <w:r>
              <w:rPr>
                <w:spacing w:val="-6"/>
              </w:rPr>
              <w:t>月份）</w:t>
            </w:r>
          </w:p>
        </w:tc>
        <w:tc>
          <w:tcPr>
            <w:shd w:val="clear" w:fill="D9D9D9"/>
            <w:tcW w:w="1848" w:type="dxa"/>
            <w:vAlign w:val="top"/>
          </w:tcPr>
          <w:p>
            <w:pPr>
              <w:pStyle w:val="TableText"/>
              <w:ind w:left="225" w:right="225" w:firstLine="284"/>
              <w:spacing w:before="55" w:line="249" w:lineRule="auto"/>
              <w:rPr/>
            </w:pPr>
            <w:r>
              <w:rPr>
                <w:spacing w:val="-2"/>
              </w:rPr>
              <w:t>第四季度</w:t>
            </w:r>
            <w:r>
              <w:rPr/>
              <w:t xml:space="preserve">   </w:t>
            </w:r>
            <w:r>
              <w:rPr>
                <w:spacing w:val="-5"/>
              </w:rPr>
              <w:t>（10-12</w:t>
            </w:r>
            <w:r>
              <w:rPr>
                <w:spacing w:val="-35"/>
              </w:rPr>
              <w:t xml:space="preserve"> </w:t>
            </w:r>
            <w:r>
              <w:rPr>
                <w:spacing w:val="-5"/>
              </w:rPr>
              <w:t>月份）</w:t>
            </w:r>
          </w:p>
        </w:tc>
      </w:tr>
      <w:tr>
        <w:trPr>
          <w:trHeight w:val="316" w:hRule="atLeast"/>
        </w:trPr>
        <w:tc>
          <w:tcPr>
            <w:tcW w:w="2982" w:type="dxa"/>
            <w:vAlign w:val="top"/>
          </w:tcPr>
          <w:p>
            <w:pPr>
              <w:pStyle w:val="TableText"/>
              <w:ind w:left="122"/>
              <w:spacing w:before="52" w:line="221" w:lineRule="auto"/>
              <w:rPr/>
            </w:pPr>
            <w:r>
              <w:rPr>
                <w:spacing w:val="-3"/>
              </w:rPr>
              <w:t>营业收入</w:t>
            </w:r>
          </w:p>
        </w:tc>
        <w:tc>
          <w:tcPr>
            <w:tcW w:w="1984" w:type="dxa"/>
            <w:vAlign w:val="top"/>
          </w:tcPr>
          <w:p>
            <w:pPr>
              <w:pStyle w:val="TableText"/>
              <w:ind w:left="416"/>
              <w:spacing w:before="86" w:line="183" w:lineRule="auto"/>
              <w:rPr/>
            </w:pPr>
            <w:r>
              <w:rPr>
                <w:spacing w:val="-1"/>
              </w:rPr>
              <w:t>73,823,878,391</w:t>
            </w:r>
          </w:p>
        </w:tc>
        <w:tc>
          <w:tcPr>
            <w:tcW w:w="2126" w:type="dxa"/>
            <w:vAlign w:val="top"/>
          </w:tcPr>
          <w:p>
            <w:pPr>
              <w:pStyle w:val="TableText"/>
              <w:ind w:left="558"/>
              <w:spacing w:before="86" w:line="183" w:lineRule="auto"/>
              <w:rPr/>
            </w:pPr>
            <w:r>
              <w:rPr>
                <w:spacing w:val="-1"/>
              </w:rPr>
              <w:t>76,573,061,876</w:t>
            </w:r>
          </w:p>
        </w:tc>
        <w:tc>
          <w:tcPr>
            <w:tcW w:w="1984" w:type="dxa"/>
            <w:vAlign w:val="top"/>
          </w:tcPr>
          <w:p>
            <w:pPr>
              <w:pStyle w:val="TableText"/>
              <w:ind w:left="417"/>
              <w:spacing w:before="86" w:line="183" w:lineRule="auto"/>
              <w:rPr/>
            </w:pPr>
            <w:r>
              <w:rPr>
                <w:spacing w:val="-1"/>
              </w:rPr>
              <w:t>74,958,137,732</w:t>
            </w:r>
          </w:p>
        </w:tc>
        <w:tc>
          <w:tcPr>
            <w:tcW w:w="1848" w:type="dxa"/>
            <w:vAlign w:val="top"/>
          </w:tcPr>
          <w:p>
            <w:pPr>
              <w:pStyle w:val="TableText"/>
              <w:ind w:left="277"/>
              <w:spacing w:before="87" w:line="182" w:lineRule="auto"/>
              <w:rPr/>
            </w:pPr>
            <w:r>
              <w:rPr>
                <w:spacing w:val="-1"/>
              </w:rPr>
              <w:t>78,482,992,592</w:t>
            </w:r>
          </w:p>
        </w:tc>
      </w:tr>
      <w:tr>
        <w:trPr>
          <w:trHeight w:val="316" w:hRule="atLeast"/>
        </w:trPr>
        <w:tc>
          <w:tcPr>
            <w:tcW w:w="2982" w:type="dxa"/>
            <w:vAlign w:val="top"/>
          </w:tcPr>
          <w:p>
            <w:pPr>
              <w:pStyle w:val="TableText"/>
              <w:ind w:left="124"/>
              <w:spacing w:before="52" w:line="221" w:lineRule="auto"/>
              <w:rPr/>
            </w:pPr>
            <w:r>
              <w:rPr>
                <w:spacing w:val="-1"/>
              </w:rPr>
              <w:t>归属于上市公司股东的净利润</w:t>
            </w:r>
          </w:p>
        </w:tc>
        <w:tc>
          <w:tcPr>
            <w:tcW w:w="1984" w:type="dxa"/>
            <w:vAlign w:val="top"/>
          </w:tcPr>
          <w:p>
            <w:pPr>
              <w:pStyle w:val="TableText"/>
              <w:ind w:left="532"/>
              <w:spacing w:before="87" w:line="183" w:lineRule="auto"/>
              <w:rPr/>
            </w:pPr>
            <w:r>
              <w:rPr>
                <w:spacing w:val="-2"/>
              </w:rPr>
              <w:t>1,395,724,501</w:t>
            </w:r>
          </w:p>
        </w:tc>
        <w:tc>
          <w:tcPr>
            <w:tcW w:w="2126" w:type="dxa"/>
            <w:vAlign w:val="top"/>
          </w:tcPr>
          <w:p>
            <w:pPr>
              <w:pStyle w:val="TableText"/>
              <w:ind w:left="674"/>
              <w:spacing w:before="87" w:line="183" w:lineRule="auto"/>
              <w:rPr/>
            </w:pPr>
            <w:r>
              <w:rPr>
                <w:spacing w:val="-2"/>
              </w:rPr>
              <w:t>1,948,493,348</w:t>
            </w:r>
          </w:p>
        </w:tc>
        <w:tc>
          <w:tcPr>
            <w:tcW w:w="1984" w:type="dxa"/>
            <w:vAlign w:val="top"/>
          </w:tcPr>
          <w:p>
            <w:pPr>
              <w:pStyle w:val="TableText"/>
              <w:ind w:left="533"/>
              <w:spacing w:before="87" w:line="183" w:lineRule="auto"/>
              <w:rPr/>
            </w:pPr>
            <w:r>
              <w:rPr>
                <w:spacing w:val="-2"/>
              </w:rPr>
              <w:t>1,439,585,030</w:t>
            </w:r>
          </w:p>
        </w:tc>
        <w:tc>
          <w:tcPr>
            <w:tcW w:w="1848" w:type="dxa"/>
            <w:vAlign w:val="top"/>
          </w:tcPr>
          <w:p>
            <w:pPr>
              <w:pStyle w:val="TableText"/>
              <w:ind w:left="594"/>
              <w:spacing w:before="88" w:line="182" w:lineRule="auto"/>
              <w:rPr/>
            </w:pPr>
            <w:r>
              <w:rPr>
                <w:spacing w:val="-1"/>
              </w:rPr>
              <w:t>737,508,629</w:t>
            </w:r>
          </w:p>
        </w:tc>
      </w:tr>
      <w:tr>
        <w:trPr>
          <w:trHeight w:val="627" w:hRule="atLeast"/>
        </w:trPr>
        <w:tc>
          <w:tcPr>
            <w:tcW w:w="2982" w:type="dxa"/>
            <w:vAlign w:val="top"/>
          </w:tcPr>
          <w:p>
            <w:pPr>
              <w:pStyle w:val="TableText"/>
              <w:ind w:left="117" w:right="106" w:firstLine="6"/>
              <w:spacing w:before="52" w:line="248" w:lineRule="auto"/>
              <w:rPr/>
            </w:pPr>
            <w:r>
              <w:rPr>
                <w:spacing w:val="1"/>
              </w:rPr>
              <w:t>归属于上市公司股东的扣除非</w:t>
            </w:r>
            <w:r>
              <w:rPr>
                <w:spacing w:val="2"/>
              </w:rPr>
              <w:t xml:space="preserve"> </w:t>
            </w:r>
            <w:r>
              <w:rPr>
                <w:spacing w:val="-1"/>
              </w:rPr>
              <w:t>经常性损益后的净利润</w:t>
            </w:r>
          </w:p>
        </w:tc>
        <w:tc>
          <w:tcPr>
            <w:tcW w:w="1984" w:type="dxa"/>
            <w:vAlign w:val="top"/>
          </w:tcPr>
          <w:p>
            <w:pPr>
              <w:pStyle w:val="TableText"/>
              <w:ind w:left="532"/>
              <w:spacing w:before="243" w:line="183" w:lineRule="auto"/>
              <w:rPr/>
            </w:pPr>
            <w:r>
              <w:rPr>
                <w:spacing w:val="-2"/>
              </w:rPr>
              <w:t>1,635,198,437</w:t>
            </w:r>
          </w:p>
        </w:tc>
        <w:tc>
          <w:tcPr>
            <w:tcW w:w="2126" w:type="dxa"/>
            <w:vAlign w:val="top"/>
          </w:tcPr>
          <w:p>
            <w:pPr>
              <w:pStyle w:val="TableText"/>
              <w:ind w:left="674"/>
              <w:spacing w:before="243" w:line="183" w:lineRule="auto"/>
              <w:rPr/>
            </w:pPr>
            <w:r>
              <w:rPr>
                <w:spacing w:val="-2"/>
              </w:rPr>
              <w:t>1,906,250,820</w:t>
            </w:r>
          </w:p>
        </w:tc>
        <w:tc>
          <w:tcPr>
            <w:tcW w:w="1984" w:type="dxa"/>
            <w:vAlign w:val="top"/>
          </w:tcPr>
          <w:p>
            <w:pPr>
              <w:pStyle w:val="TableText"/>
              <w:ind w:left="533"/>
              <w:spacing w:before="243" w:line="183" w:lineRule="auto"/>
              <w:rPr/>
            </w:pPr>
            <w:r>
              <w:rPr>
                <w:spacing w:val="-2"/>
              </w:rPr>
              <w:t>1,406,326,139</w:t>
            </w:r>
          </w:p>
        </w:tc>
        <w:tc>
          <w:tcPr>
            <w:tcW w:w="1848" w:type="dxa"/>
            <w:vAlign w:val="top"/>
          </w:tcPr>
          <w:p>
            <w:pPr>
              <w:pStyle w:val="TableText"/>
              <w:ind w:left="591"/>
              <w:spacing w:before="245" w:line="182" w:lineRule="auto"/>
              <w:rPr/>
            </w:pPr>
            <w:r>
              <w:rPr>
                <w:spacing w:val="-1"/>
              </w:rPr>
              <w:t>502,300,234</w:t>
            </w:r>
          </w:p>
        </w:tc>
      </w:tr>
      <w:tr>
        <w:trPr>
          <w:trHeight w:val="323" w:hRule="atLeast"/>
        </w:trPr>
        <w:tc>
          <w:tcPr>
            <w:tcW w:w="2982" w:type="dxa"/>
            <w:vAlign w:val="top"/>
          </w:tcPr>
          <w:p>
            <w:pPr>
              <w:pStyle w:val="TableText"/>
              <w:ind w:left="117"/>
              <w:spacing w:before="54" w:line="221" w:lineRule="auto"/>
              <w:rPr/>
            </w:pPr>
            <w:r>
              <w:rPr>
                <w:spacing w:val="-1"/>
              </w:rPr>
              <w:t>经营活动产生的现金流量净额</w:t>
            </w:r>
          </w:p>
        </w:tc>
        <w:tc>
          <w:tcPr>
            <w:tcW w:w="1984" w:type="dxa"/>
            <w:vAlign w:val="top"/>
          </w:tcPr>
          <w:p>
            <w:pPr>
              <w:pStyle w:val="TableText"/>
              <w:ind w:left="426"/>
              <w:spacing w:before="89" w:line="183" w:lineRule="auto"/>
              <w:rPr/>
            </w:pPr>
            <w:r>
              <w:rPr>
                <w:spacing w:val="-2"/>
              </w:rPr>
              <w:t>18,936,308,946</w:t>
            </w:r>
          </w:p>
        </w:tc>
        <w:tc>
          <w:tcPr>
            <w:tcW w:w="2126" w:type="dxa"/>
            <w:vAlign w:val="top"/>
          </w:tcPr>
          <w:p>
            <w:pPr>
              <w:pStyle w:val="TableText"/>
              <w:ind w:left="555"/>
              <w:spacing w:before="89" w:line="183" w:lineRule="auto"/>
              <w:rPr/>
            </w:pPr>
            <w:r>
              <w:rPr>
                <w:spacing w:val="-1"/>
              </w:rPr>
              <w:t>29,700,211,748</w:t>
            </w:r>
          </w:p>
        </w:tc>
        <w:tc>
          <w:tcPr>
            <w:tcW w:w="1984" w:type="dxa"/>
            <w:vAlign w:val="top"/>
          </w:tcPr>
          <w:p>
            <w:pPr>
              <w:pStyle w:val="TableText"/>
              <w:ind w:left="415"/>
              <w:spacing w:before="89" w:line="183" w:lineRule="auto"/>
              <w:rPr/>
            </w:pPr>
            <w:r>
              <w:rPr>
                <w:spacing w:val="-1"/>
              </w:rPr>
              <w:t>28,179,536,640</w:t>
            </w:r>
          </w:p>
        </w:tc>
        <w:tc>
          <w:tcPr>
            <w:tcW w:w="1848" w:type="dxa"/>
            <w:vAlign w:val="top"/>
          </w:tcPr>
          <w:p>
            <w:pPr>
              <w:pStyle w:val="TableText"/>
              <w:ind w:left="276"/>
              <w:spacing w:before="89" w:line="183" w:lineRule="auto"/>
              <w:rPr/>
            </w:pPr>
            <w:r>
              <w:rPr>
                <w:spacing w:val="-1"/>
              </w:rPr>
              <w:t>30,517,707,269</w:t>
            </w:r>
          </w:p>
        </w:tc>
      </w:tr>
    </w:tbl>
    <w:p>
      <w:pPr>
        <w:spacing w:line="293" w:lineRule="auto"/>
        <w:rPr>
          <w:rFonts w:ascii="Arial"/>
          <w:sz w:val="21"/>
        </w:rPr>
      </w:pPr>
      <w:r/>
    </w:p>
    <w:p>
      <w:pPr>
        <w:pStyle w:val="BodyText"/>
        <w:ind w:left="866"/>
        <w:spacing w:before="68" w:line="219" w:lineRule="auto"/>
        <w:rPr/>
      </w:pPr>
      <w:r>
        <w:rPr>
          <w:spacing w:val="-1"/>
        </w:rPr>
        <w:t>季度数据与已披露定期报告数据差异说明</w:t>
      </w:r>
    </w:p>
    <w:p>
      <w:pPr>
        <w:pStyle w:val="BodyText"/>
        <w:ind w:left="887"/>
        <w:spacing w:before="63" w:line="222" w:lineRule="auto"/>
        <w:rPr/>
      </w:pPr>
      <w:r>
        <w:rPr>
          <w:spacing w:val="-13"/>
        </w:rPr>
        <w:t>□适用</w:t>
      </w:r>
      <w:r>
        <w:rPr>
          <w:spacing w:val="31"/>
        </w:rPr>
        <w:t xml:space="preserve">  </w:t>
      </w:r>
      <w:r>
        <w:rPr>
          <w:spacing w:val="-13"/>
        </w:rPr>
        <w:t>√不适用</w:t>
      </w:r>
    </w:p>
    <w:p>
      <w:pPr>
        <w:spacing w:line="377" w:lineRule="auto"/>
        <w:rPr>
          <w:rFonts w:ascii="Arial"/>
          <w:sz w:val="21"/>
        </w:rPr>
      </w:pPr>
      <w:r/>
    </w:p>
    <w:p>
      <w:pPr>
        <w:pStyle w:val="BodyText"/>
        <w:ind w:left="864"/>
        <w:spacing w:before="69" w:line="220" w:lineRule="auto"/>
        <w:rPr/>
      </w:pPr>
      <w:r>
        <w:rPr>
          <w:b/>
          <w:bCs/>
          <w:spacing w:val="-2"/>
        </w:rPr>
        <w:t>4</w:t>
      </w:r>
      <w:r>
        <w:rPr>
          <w:spacing w:val="-2"/>
        </w:rPr>
        <w:t xml:space="preserve">   </w:t>
      </w:r>
      <w:r>
        <w:rPr>
          <w:b/>
          <w:bCs/>
          <w:spacing w:val="-2"/>
        </w:rPr>
        <w:t>股本及股东情况</w:t>
      </w:r>
    </w:p>
    <w:p>
      <w:pPr>
        <w:pStyle w:val="BodyText"/>
        <w:ind w:left="864"/>
        <w:spacing w:before="217" w:line="221" w:lineRule="auto"/>
        <w:rPr/>
      </w:pPr>
      <w:r>
        <w:rPr>
          <w:b/>
          <w:bCs/>
          <w:spacing w:val="-2"/>
        </w:rPr>
        <w:t>4.1</w:t>
      </w:r>
      <w:r>
        <w:rPr>
          <w:spacing w:val="-2"/>
        </w:rPr>
        <w:t xml:space="preserve"> </w:t>
      </w:r>
      <w:r>
        <w:rPr>
          <w:b/>
          <w:bCs/>
          <w:spacing w:val="-2"/>
        </w:rPr>
        <w:t>普通股股东和表决权恢复的优先股股东数量及前</w:t>
      </w:r>
      <w:r>
        <w:rPr>
          <w:spacing w:val="-35"/>
        </w:rPr>
        <w:t xml:space="preserve"> </w:t>
      </w:r>
      <w:r>
        <w:rPr>
          <w:rFonts w:ascii="Arial" w:hAnsi="Arial" w:eastAsia="Arial" w:cs="Arial"/>
          <w:b/>
          <w:bCs/>
          <w:spacing w:val="-2"/>
        </w:rPr>
        <w:t>10  </w:t>
      </w:r>
      <w:r>
        <w:rPr>
          <w:b/>
          <w:bCs/>
          <w:spacing w:val="-2"/>
        </w:rPr>
        <w:t>名股</w:t>
      </w:r>
      <w:r>
        <w:rPr>
          <w:b/>
          <w:bCs/>
          <w:spacing w:val="-3"/>
        </w:rPr>
        <w:t>东持股情况表</w:t>
      </w:r>
    </w:p>
    <w:p>
      <w:pPr>
        <w:pStyle w:val="BodyText"/>
        <w:ind w:left="9242"/>
        <w:spacing w:before="141" w:line="221" w:lineRule="auto"/>
        <w:rPr/>
      </w:pPr>
      <w:r>
        <w:rPr>
          <w:spacing w:val="-1"/>
        </w:rPr>
        <w:t>单位: 股</w:t>
      </w:r>
    </w:p>
    <w:p>
      <w:pPr>
        <w:spacing w:line="95" w:lineRule="auto"/>
        <w:rPr>
          <w:rFonts w:ascii="Arial"/>
          <w:sz w:val="2"/>
        </w:rPr>
      </w:pPr>
      <w:r>
        <w:rPr>
          <w:rFonts w:ascii="Arial"/>
          <w:sz w:val="2"/>
        </w:rPr>
      </w:r>
    </w:p>
    <w:tbl>
      <w:tblPr>
        <w:tblStyle w:val="TableNormal"/>
        <w:tblW w:w="1106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68"/>
        <w:gridCol w:w="1296"/>
        <w:gridCol w:w="1663"/>
        <w:gridCol w:w="693"/>
        <w:gridCol w:w="1118"/>
        <w:gridCol w:w="261"/>
        <w:gridCol w:w="795"/>
        <w:gridCol w:w="1439"/>
        <w:gridCol w:w="833"/>
      </w:tblGrid>
      <w:tr>
        <w:trPr>
          <w:trHeight w:val="321" w:hRule="atLeast"/>
        </w:trPr>
        <w:tc>
          <w:tcPr>
            <w:shd w:val="clear" w:fill="D9D9D9"/>
            <w:tcW w:w="7738" w:type="dxa"/>
            <w:vAlign w:val="top"/>
            <w:gridSpan w:val="5"/>
          </w:tcPr>
          <w:p>
            <w:pPr>
              <w:pStyle w:val="TableText"/>
              <w:ind w:left="115"/>
              <w:spacing w:before="56" w:line="219" w:lineRule="auto"/>
              <w:rPr/>
            </w:pPr>
            <w:r>
              <w:rPr>
                <w:spacing w:val="-2"/>
              </w:rPr>
              <w:t>截止报告期末普通股股东总数（户）</w:t>
            </w:r>
          </w:p>
        </w:tc>
        <w:tc>
          <w:tcPr>
            <w:tcW w:w="3328" w:type="dxa"/>
            <w:vAlign w:val="top"/>
            <w:gridSpan w:val="4"/>
          </w:tcPr>
          <w:p>
            <w:pPr>
              <w:pStyle w:val="TableText"/>
              <w:ind w:left="2490"/>
              <w:spacing w:before="91" w:line="182" w:lineRule="auto"/>
              <w:rPr/>
            </w:pPr>
            <w:r>
              <w:rPr>
                <w:spacing w:val="-1"/>
              </w:rPr>
              <w:t>635,642</w:t>
            </w:r>
          </w:p>
        </w:tc>
      </w:tr>
      <w:tr>
        <w:trPr>
          <w:trHeight w:val="316" w:hRule="atLeast"/>
        </w:trPr>
        <w:tc>
          <w:tcPr>
            <w:shd w:val="clear" w:fill="D9D9D9"/>
            <w:tcW w:w="7738" w:type="dxa"/>
            <w:vAlign w:val="top"/>
            <w:gridSpan w:val="5"/>
          </w:tcPr>
          <w:p>
            <w:pPr>
              <w:pStyle w:val="TableText"/>
              <w:ind w:left="116"/>
              <w:spacing w:before="51" w:line="219" w:lineRule="auto"/>
              <w:rPr/>
            </w:pPr>
            <w:r>
              <w:rPr>
                <w:spacing w:val="-1"/>
              </w:rPr>
              <w:t>年度报告披露日前上一月末的普通股股东总数（户）</w:t>
            </w:r>
          </w:p>
        </w:tc>
        <w:tc>
          <w:tcPr>
            <w:tcW w:w="3328" w:type="dxa"/>
            <w:vAlign w:val="top"/>
            <w:gridSpan w:val="4"/>
          </w:tcPr>
          <w:p>
            <w:pPr>
              <w:pStyle w:val="TableText"/>
              <w:ind w:left="2490"/>
              <w:spacing w:before="85" w:line="183" w:lineRule="auto"/>
              <w:rPr/>
            </w:pPr>
            <w:r>
              <w:rPr>
                <w:spacing w:val="-1"/>
              </w:rPr>
              <w:t>641,373</w:t>
            </w:r>
          </w:p>
        </w:tc>
      </w:tr>
      <w:tr>
        <w:trPr>
          <w:trHeight w:val="316" w:hRule="atLeast"/>
        </w:trPr>
        <w:tc>
          <w:tcPr>
            <w:shd w:val="clear" w:fill="D9D9D9"/>
            <w:tcW w:w="7738" w:type="dxa"/>
            <w:vAlign w:val="top"/>
            <w:gridSpan w:val="5"/>
          </w:tcPr>
          <w:p>
            <w:pPr>
              <w:pStyle w:val="TableText"/>
              <w:ind w:left="115"/>
              <w:spacing w:before="52" w:line="219" w:lineRule="auto"/>
              <w:rPr/>
            </w:pPr>
            <w:r>
              <w:rPr>
                <w:spacing w:val="-1"/>
              </w:rPr>
              <w:t>截止报告期末表决权恢复的优先股股东总数（户）</w:t>
            </w:r>
          </w:p>
        </w:tc>
        <w:tc>
          <w:tcPr>
            <w:tcW w:w="3328" w:type="dxa"/>
            <w:vAlign w:val="top"/>
            <w:gridSpan w:val="4"/>
          </w:tcPr>
          <w:p>
            <w:pPr>
              <w:pStyle w:val="TableText"/>
              <w:ind w:left="2595"/>
              <w:spacing w:before="52" w:line="222" w:lineRule="auto"/>
              <w:rPr/>
            </w:pPr>
            <w:r>
              <w:rPr>
                <w:spacing w:val="-2"/>
              </w:rPr>
              <w:t>不适用</w:t>
            </w:r>
          </w:p>
        </w:tc>
      </w:tr>
      <w:tr>
        <w:trPr>
          <w:trHeight w:val="317" w:hRule="atLeast"/>
        </w:trPr>
        <w:tc>
          <w:tcPr>
            <w:shd w:val="clear" w:fill="D9D9D9"/>
            <w:tcW w:w="7738" w:type="dxa"/>
            <w:vAlign w:val="top"/>
            <w:gridSpan w:val="5"/>
          </w:tcPr>
          <w:p>
            <w:pPr>
              <w:pStyle w:val="TableText"/>
              <w:ind w:left="116"/>
              <w:spacing w:before="52" w:line="219" w:lineRule="auto"/>
              <w:rPr/>
            </w:pPr>
            <w:r>
              <w:rPr>
                <w:spacing w:val="-1"/>
              </w:rPr>
              <w:t>年度报告披露日前上一月末表决权恢复的优先股股东总数（户）</w:t>
            </w:r>
          </w:p>
        </w:tc>
        <w:tc>
          <w:tcPr>
            <w:tcW w:w="3328" w:type="dxa"/>
            <w:vAlign w:val="top"/>
            <w:gridSpan w:val="4"/>
          </w:tcPr>
          <w:p>
            <w:pPr>
              <w:pStyle w:val="TableText"/>
              <w:ind w:left="2595"/>
              <w:spacing w:before="52" w:line="222" w:lineRule="auto"/>
              <w:rPr/>
            </w:pPr>
            <w:r>
              <w:rPr>
                <w:spacing w:val="-2"/>
              </w:rPr>
              <w:t>不适用</w:t>
            </w:r>
          </w:p>
        </w:tc>
      </w:tr>
      <w:tr>
        <w:trPr>
          <w:trHeight w:val="317" w:hRule="atLeast"/>
        </w:trPr>
        <w:tc>
          <w:tcPr>
            <w:shd w:val="clear" w:fill="D9D9D9"/>
            <w:tcW w:w="11066" w:type="dxa"/>
            <w:vAlign w:val="top"/>
            <w:gridSpan w:val="9"/>
          </w:tcPr>
          <w:p>
            <w:pPr>
              <w:pStyle w:val="TableText"/>
              <w:ind w:left="4543"/>
              <w:spacing w:before="51" w:line="221" w:lineRule="auto"/>
              <w:rPr/>
            </w:pPr>
            <w:r>
              <w:rPr>
                <w:spacing w:val="-5"/>
              </w:rPr>
              <w:t>前</w:t>
            </w:r>
            <w:r>
              <w:rPr>
                <w:spacing w:val="-21"/>
              </w:rPr>
              <w:t xml:space="preserve"> </w:t>
            </w:r>
            <w:r>
              <w:rPr>
                <w:spacing w:val="-5"/>
              </w:rPr>
              <w:t>10</w:t>
            </w:r>
            <w:r>
              <w:rPr>
                <w:spacing w:val="-44"/>
              </w:rPr>
              <w:t xml:space="preserve"> </w:t>
            </w:r>
            <w:r>
              <w:rPr>
                <w:spacing w:val="-5"/>
              </w:rPr>
              <w:t>名股东持股情况</w:t>
            </w:r>
          </w:p>
        </w:tc>
      </w:tr>
      <w:tr>
        <w:trPr>
          <w:trHeight w:val="470" w:hRule="atLeast"/>
        </w:trPr>
        <w:tc>
          <w:tcPr>
            <w:shd w:val="clear" w:fill="D9D9D9"/>
            <w:tcW w:w="2968" w:type="dxa"/>
            <w:vAlign w:val="top"/>
            <w:vMerge w:val="restart"/>
            <w:tcBorders>
              <w:bottom w:val="nil"/>
            </w:tcBorders>
          </w:tcPr>
          <w:p>
            <w:pPr>
              <w:pStyle w:val="TableText"/>
              <w:ind w:left="1075" w:right="1059" w:hanging="6"/>
              <w:spacing w:before="292" w:line="262" w:lineRule="auto"/>
              <w:rPr/>
            </w:pPr>
            <w:r>
              <w:rPr>
                <w:spacing w:val="-2"/>
              </w:rPr>
              <w:t>股东名称</w:t>
            </w:r>
            <w:r>
              <w:rPr>
                <w:spacing w:val="1"/>
              </w:rPr>
              <w:t xml:space="preserve"> </w:t>
            </w:r>
            <w:r>
              <w:rPr>
                <w:spacing w:val="-6"/>
              </w:rPr>
              <w:t>（全称）</w:t>
            </w:r>
          </w:p>
        </w:tc>
        <w:tc>
          <w:tcPr>
            <w:shd w:val="clear" w:fill="D9D9D9"/>
            <w:tcW w:w="1296" w:type="dxa"/>
            <w:vAlign w:val="top"/>
            <w:vMerge w:val="restart"/>
            <w:tcBorders>
              <w:bottom w:val="nil"/>
            </w:tcBorders>
          </w:tcPr>
          <w:p>
            <w:pPr>
              <w:pStyle w:val="TableText"/>
              <w:ind w:left="544" w:right="121" w:hanging="422"/>
              <w:spacing w:before="291" w:line="262" w:lineRule="auto"/>
              <w:rPr/>
            </w:pPr>
            <w:r>
              <w:rPr>
                <w:spacing w:val="-1"/>
              </w:rPr>
              <w:t>报告期内增</w:t>
            </w:r>
            <w:r>
              <w:rPr>
                <w:spacing w:val="1"/>
              </w:rPr>
              <w:t xml:space="preserve"> </w:t>
            </w:r>
            <w:r>
              <w:rPr/>
              <w:t>减</w:t>
            </w:r>
          </w:p>
        </w:tc>
        <w:tc>
          <w:tcPr>
            <w:shd w:val="clear" w:fill="D9D9D9"/>
            <w:tcW w:w="1663" w:type="dxa"/>
            <w:vAlign w:val="top"/>
            <w:vMerge w:val="restart"/>
            <w:tcBorders>
              <w:bottom w:val="nil"/>
            </w:tcBorders>
          </w:tcPr>
          <w:p>
            <w:pPr>
              <w:spacing w:line="377" w:lineRule="auto"/>
              <w:rPr>
                <w:rFonts w:ascii="Arial"/>
                <w:sz w:val="21"/>
              </w:rPr>
            </w:pPr>
            <w:r/>
          </w:p>
          <w:p>
            <w:pPr>
              <w:pStyle w:val="TableText"/>
              <w:ind w:left="206"/>
              <w:spacing w:before="68" w:line="221" w:lineRule="auto"/>
              <w:rPr/>
            </w:pPr>
            <w:r>
              <w:rPr>
                <w:spacing w:val="-2"/>
              </w:rPr>
              <w:t>期末持股数量</w:t>
            </w:r>
          </w:p>
        </w:tc>
        <w:tc>
          <w:tcPr>
            <w:shd w:val="clear" w:fill="D9D9D9"/>
            <w:tcW w:w="693" w:type="dxa"/>
            <w:vAlign w:val="top"/>
            <w:vMerge w:val="restart"/>
            <w:tcBorders>
              <w:bottom w:val="nil"/>
            </w:tcBorders>
          </w:tcPr>
          <w:p>
            <w:pPr>
              <w:pStyle w:val="TableText"/>
              <w:ind w:left="229" w:right="133" w:hanging="66"/>
              <w:spacing w:before="292" w:line="262" w:lineRule="auto"/>
              <w:rPr/>
            </w:pPr>
            <w:r>
              <w:rPr>
                <w:spacing w:val="-15"/>
              </w:rPr>
              <w:t>比例</w:t>
            </w:r>
            <w:r>
              <w:rPr/>
              <w:t xml:space="preserve"> </w:t>
            </w:r>
            <w:r>
              <w:rPr>
                <w:spacing w:val="-10"/>
              </w:rPr>
              <w:t>(%)</w:t>
            </w:r>
          </w:p>
        </w:tc>
        <w:tc>
          <w:tcPr>
            <w:shd w:val="clear" w:fill="D9D9D9"/>
            <w:tcW w:w="1379" w:type="dxa"/>
            <w:vAlign w:val="top"/>
            <w:gridSpan w:val="2"/>
            <w:vMerge w:val="restart"/>
            <w:tcBorders>
              <w:bottom w:val="nil"/>
            </w:tcBorders>
          </w:tcPr>
          <w:p>
            <w:pPr>
              <w:pStyle w:val="TableText"/>
              <w:ind w:left="195"/>
              <w:spacing w:before="139" w:line="228" w:lineRule="auto"/>
              <w:rPr>
                <w:sz w:val="19"/>
                <w:szCs w:val="19"/>
              </w:rPr>
            </w:pPr>
            <w:r>
              <w:rPr>
                <w:sz w:val="19"/>
                <w:szCs w:val="19"/>
                <w:spacing w:val="7"/>
              </w:rPr>
              <w:t>持有有限售</w:t>
            </w:r>
          </w:p>
          <w:p>
            <w:pPr>
              <w:pStyle w:val="TableText"/>
              <w:ind w:left="194"/>
              <w:spacing w:before="77" w:line="228" w:lineRule="auto"/>
              <w:rPr>
                <w:sz w:val="19"/>
                <w:szCs w:val="19"/>
              </w:rPr>
            </w:pPr>
            <w:r>
              <w:rPr>
                <w:sz w:val="19"/>
                <w:szCs w:val="19"/>
                <w:spacing w:val="7"/>
              </w:rPr>
              <w:t>条件的股份</w:t>
            </w:r>
          </w:p>
          <w:p>
            <w:pPr>
              <w:pStyle w:val="TableText"/>
              <w:ind w:left="494"/>
              <w:spacing w:before="77" w:line="228" w:lineRule="auto"/>
              <w:rPr>
                <w:sz w:val="19"/>
                <w:szCs w:val="19"/>
              </w:rPr>
            </w:pPr>
            <w:r>
              <w:rPr>
                <w:sz w:val="19"/>
                <w:szCs w:val="19"/>
                <w:spacing w:val="4"/>
              </w:rPr>
              <w:t>数量</w:t>
            </w:r>
          </w:p>
        </w:tc>
        <w:tc>
          <w:tcPr>
            <w:shd w:val="clear" w:fill="D9D9D9"/>
            <w:tcW w:w="2234" w:type="dxa"/>
            <w:vAlign w:val="top"/>
            <w:gridSpan w:val="2"/>
          </w:tcPr>
          <w:p>
            <w:pPr>
              <w:pStyle w:val="TableText"/>
              <w:ind w:left="387"/>
              <w:spacing w:before="131" w:line="221" w:lineRule="auto"/>
              <w:rPr/>
            </w:pPr>
            <w:r>
              <w:rPr>
                <w:spacing w:val="-1"/>
              </w:rPr>
              <w:t>质押或冻结情况</w:t>
            </w:r>
          </w:p>
        </w:tc>
        <w:tc>
          <w:tcPr>
            <w:shd w:val="clear" w:fill="D9D9D9"/>
            <w:tcW w:w="833" w:type="dxa"/>
            <w:vAlign w:val="top"/>
            <w:vMerge w:val="restart"/>
            <w:tcBorders>
              <w:bottom w:val="nil"/>
            </w:tcBorders>
          </w:tcPr>
          <w:p>
            <w:pPr>
              <w:pStyle w:val="TableText"/>
              <w:ind w:left="211" w:right="204" w:hanging="2"/>
              <w:spacing w:before="292" w:line="261" w:lineRule="auto"/>
              <w:rPr/>
            </w:pPr>
            <w:r>
              <w:rPr>
                <w:spacing w:val="-3"/>
              </w:rPr>
              <w:t>股东</w:t>
            </w:r>
            <w:r>
              <w:rPr/>
              <w:t xml:space="preserve"> </w:t>
            </w:r>
            <w:r>
              <w:rPr>
                <w:spacing w:val="-5"/>
              </w:rPr>
              <w:t>性质</w:t>
            </w:r>
          </w:p>
        </w:tc>
      </w:tr>
      <w:tr>
        <w:trPr>
          <w:trHeight w:val="631" w:hRule="atLeast"/>
        </w:trPr>
        <w:tc>
          <w:tcPr>
            <w:tcW w:w="2968" w:type="dxa"/>
            <w:vAlign w:val="top"/>
            <w:vMerge w:val="continue"/>
            <w:tcBorders>
              <w:top w:val="nil"/>
            </w:tcBorders>
          </w:tcPr>
          <w:p>
            <w:pPr>
              <w:rPr>
                <w:rFonts w:ascii="Arial"/>
                <w:sz w:val="21"/>
              </w:rPr>
            </w:pPr>
            <w:r/>
          </w:p>
        </w:tc>
        <w:tc>
          <w:tcPr>
            <w:tcW w:w="1296" w:type="dxa"/>
            <w:vAlign w:val="top"/>
            <w:vMerge w:val="continue"/>
            <w:tcBorders>
              <w:top w:val="nil"/>
            </w:tcBorders>
          </w:tcPr>
          <w:p>
            <w:pPr>
              <w:rPr>
                <w:rFonts w:ascii="Arial"/>
                <w:sz w:val="21"/>
              </w:rPr>
            </w:pPr>
            <w:r/>
          </w:p>
        </w:tc>
        <w:tc>
          <w:tcPr>
            <w:tcW w:w="1663" w:type="dxa"/>
            <w:vAlign w:val="top"/>
            <w:vMerge w:val="continue"/>
            <w:tcBorders>
              <w:top w:val="nil"/>
            </w:tcBorders>
          </w:tcPr>
          <w:p>
            <w:pPr>
              <w:rPr>
                <w:rFonts w:ascii="Arial"/>
                <w:sz w:val="21"/>
              </w:rPr>
            </w:pPr>
            <w:r/>
          </w:p>
        </w:tc>
        <w:tc>
          <w:tcPr>
            <w:tcW w:w="693" w:type="dxa"/>
            <w:vAlign w:val="top"/>
            <w:vMerge w:val="continue"/>
            <w:tcBorders>
              <w:top w:val="nil"/>
            </w:tcBorders>
          </w:tcPr>
          <w:p>
            <w:pPr>
              <w:rPr>
                <w:rFonts w:ascii="Arial"/>
                <w:sz w:val="21"/>
              </w:rPr>
            </w:pPr>
            <w:r/>
          </w:p>
        </w:tc>
        <w:tc>
          <w:tcPr>
            <w:tcW w:w="1379" w:type="dxa"/>
            <w:vAlign w:val="top"/>
            <w:gridSpan w:val="2"/>
            <w:vMerge w:val="continue"/>
            <w:tcBorders>
              <w:top w:val="nil"/>
            </w:tcBorders>
          </w:tcPr>
          <w:p>
            <w:pPr>
              <w:rPr>
                <w:rFonts w:ascii="Arial"/>
                <w:sz w:val="21"/>
              </w:rPr>
            </w:pPr>
            <w:r/>
          </w:p>
        </w:tc>
        <w:tc>
          <w:tcPr>
            <w:shd w:val="clear" w:fill="D9D9D9"/>
            <w:tcW w:w="795" w:type="dxa"/>
            <w:vAlign w:val="top"/>
          </w:tcPr>
          <w:p>
            <w:pPr>
              <w:pStyle w:val="TableText"/>
              <w:ind w:left="192" w:right="183"/>
              <w:spacing w:before="54" w:line="249" w:lineRule="auto"/>
              <w:rPr/>
            </w:pPr>
            <w:r>
              <w:rPr>
                <w:spacing w:val="-3"/>
              </w:rPr>
              <w:t>股份</w:t>
            </w:r>
            <w:r>
              <w:rPr/>
              <w:t xml:space="preserve"> </w:t>
            </w:r>
            <w:r>
              <w:rPr>
                <w:spacing w:val="-3"/>
              </w:rPr>
              <w:t>状态</w:t>
            </w:r>
          </w:p>
        </w:tc>
        <w:tc>
          <w:tcPr>
            <w:shd w:val="clear" w:fill="D9D9D9"/>
            <w:tcW w:w="1439" w:type="dxa"/>
            <w:vAlign w:val="top"/>
          </w:tcPr>
          <w:p>
            <w:pPr>
              <w:pStyle w:val="TableText"/>
              <w:ind w:left="515"/>
              <w:spacing w:before="210" w:line="221" w:lineRule="auto"/>
              <w:rPr/>
            </w:pPr>
            <w:r>
              <w:rPr>
                <w:spacing w:val="-2"/>
              </w:rPr>
              <w:t>数量</w:t>
            </w:r>
          </w:p>
        </w:tc>
        <w:tc>
          <w:tcPr>
            <w:tcW w:w="833" w:type="dxa"/>
            <w:vAlign w:val="top"/>
            <w:vMerge w:val="continue"/>
            <w:tcBorders>
              <w:top w:val="nil"/>
            </w:tcBorders>
          </w:tcPr>
          <w:p>
            <w:pPr>
              <w:rPr>
                <w:rFonts w:ascii="Arial"/>
                <w:sz w:val="21"/>
              </w:rPr>
            </w:pPr>
            <w:r/>
          </w:p>
        </w:tc>
      </w:tr>
      <w:tr>
        <w:trPr>
          <w:trHeight w:val="628" w:hRule="atLeast"/>
        </w:trPr>
        <w:tc>
          <w:tcPr>
            <w:tcW w:w="2968" w:type="dxa"/>
            <w:vAlign w:val="top"/>
          </w:tcPr>
          <w:p>
            <w:pPr>
              <w:pStyle w:val="TableText"/>
              <w:ind w:left="131"/>
              <w:spacing w:before="220" w:line="220" w:lineRule="auto"/>
              <w:rPr>
                <w:sz w:val="18"/>
                <w:szCs w:val="18"/>
              </w:rPr>
            </w:pPr>
            <w:r>
              <w:rPr>
                <w:sz w:val="18"/>
                <w:szCs w:val="18"/>
                <w:spacing w:val="-2"/>
              </w:rPr>
              <w:t>中国联合网络通信集团有限公司</w:t>
            </w:r>
          </w:p>
        </w:tc>
        <w:tc>
          <w:tcPr>
            <w:tcW w:w="1296" w:type="dxa"/>
            <w:vAlign w:val="top"/>
          </w:tcPr>
          <w:p>
            <w:pPr>
              <w:pStyle w:val="TableText"/>
              <w:ind w:left="605"/>
              <w:spacing w:before="251" w:line="181" w:lineRule="auto"/>
              <w:rPr>
                <w:sz w:val="18"/>
                <w:szCs w:val="18"/>
              </w:rPr>
            </w:pPr>
            <w:r>
              <w:rPr>
                <w:sz w:val="18"/>
                <w:szCs w:val="18"/>
              </w:rPr>
              <w:t>0</w:t>
            </w:r>
          </w:p>
        </w:tc>
        <w:tc>
          <w:tcPr>
            <w:tcW w:w="1663" w:type="dxa"/>
            <w:vAlign w:val="top"/>
          </w:tcPr>
          <w:p>
            <w:pPr>
              <w:pStyle w:val="TableText"/>
              <w:ind w:left="216"/>
              <w:spacing w:before="250" w:line="182" w:lineRule="auto"/>
              <w:rPr>
                <w:sz w:val="18"/>
                <w:szCs w:val="18"/>
              </w:rPr>
            </w:pPr>
            <w:r>
              <w:rPr>
                <w:sz w:val="18"/>
                <w:szCs w:val="18"/>
                <w:spacing w:val="-2"/>
              </w:rPr>
              <w:t>11,399,724,220</w:t>
            </w:r>
          </w:p>
        </w:tc>
        <w:tc>
          <w:tcPr>
            <w:tcW w:w="693" w:type="dxa"/>
            <w:vAlign w:val="top"/>
          </w:tcPr>
          <w:p>
            <w:pPr>
              <w:pStyle w:val="TableText"/>
              <w:ind w:left="173"/>
              <w:spacing w:before="251" w:line="181" w:lineRule="auto"/>
              <w:rPr>
                <w:sz w:val="18"/>
                <w:szCs w:val="18"/>
              </w:rPr>
            </w:pPr>
            <w:r>
              <w:rPr>
                <w:sz w:val="18"/>
                <w:szCs w:val="18"/>
                <w:spacing w:val="-3"/>
              </w:rPr>
              <w:t>36.8</w:t>
            </w:r>
          </w:p>
        </w:tc>
        <w:tc>
          <w:tcPr>
            <w:tcW w:w="1379" w:type="dxa"/>
            <w:vAlign w:val="top"/>
            <w:gridSpan w:val="2"/>
          </w:tcPr>
          <w:p>
            <w:pPr>
              <w:pStyle w:val="TableText"/>
              <w:ind w:left="647"/>
              <w:spacing w:before="251" w:line="181" w:lineRule="auto"/>
              <w:rPr>
                <w:sz w:val="18"/>
                <w:szCs w:val="18"/>
              </w:rPr>
            </w:pPr>
            <w:r>
              <w:rPr>
                <w:sz w:val="18"/>
                <w:szCs w:val="18"/>
              </w:rPr>
              <w:t>0</w:t>
            </w:r>
          </w:p>
        </w:tc>
        <w:tc>
          <w:tcPr>
            <w:tcW w:w="795" w:type="dxa"/>
            <w:vAlign w:val="top"/>
          </w:tcPr>
          <w:p>
            <w:pPr>
              <w:pStyle w:val="TableText"/>
              <w:ind w:left="312"/>
              <w:spacing w:before="221" w:line="220" w:lineRule="auto"/>
              <w:rPr>
                <w:sz w:val="18"/>
                <w:szCs w:val="18"/>
              </w:rPr>
            </w:pPr>
            <w:r>
              <w:rPr>
                <w:sz w:val="18"/>
                <w:szCs w:val="18"/>
              </w:rPr>
              <w:t>无</w:t>
            </w:r>
          </w:p>
        </w:tc>
        <w:tc>
          <w:tcPr>
            <w:tcW w:w="1439" w:type="dxa"/>
            <w:vAlign w:val="top"/>
          </w:tcPr>
          <w:p>
            <w:pPr>
              <w:pStyle w:val="TableText"/>
              <w:ind w:left="679"/>
              <w:spacing w:before="251" w:line="181" w:lineRule="auto"/>
              <w:rPr>
                <w:sz w:val="18"/>
                <w:szCs w:val="18"/>
              </w:rPr>
            </w:pPr>
            <w:r>
              <w:rPr>
                <w:sz w:val="18"/>
                <w:szCs w:val="18"/>
              </w:rPr>
              <w:t>0</w:t>
            </w:r>
          </w:p>
        </w:tc>
        <w:tc>
          <w:tcPr>
            <w:tcW w:w="833" w:type="dxa"/>
            <w:vAlign w:val="top"/>
          </w:tcPr>
          <w:p>
            <w:pPr>
              <w:pStyle w:val="TableText"/>
              <w:ind w:left="329" w:right="146" w:hanging="163"/>
              <w:spacing w:before="64" w:line="284" w:lineRule="auto"/>
              <w:rPr>
                <w:sz w:val="18"/>
                <w:szCs w:val="18"/>
              </w:rPr>
            </w:pPr>
            <w:r>
              <w:rPr>
                <w:sz w:val="18"/>
                <w:szCs w:val="18"/>
                <w:spacing w:val="-9"/>
              </w:rPr>
              <w:t>国有法</w:t>
            </w:r>
            <w:r>
              <w:rPr>
                <w:sz w:val="18"/>
                <w:szCs w:val="18"/>
                <w:spacing w:val="1"/>
              </w:rPr>
              <w:t xml:space="preserve"> </w:t>
            </w:r>
            <w:r>
              <w:rPr>
                <w:sz w:val="18"/>
                <w:szCs w:val="18"/>
              </w:rPr>
              <w:t>人</w:t>
            </w:r>
          </w:p>
        </w:tc>
      </w:tr>
      <w:tr>
        <w:trPr>
          <w:trHeight w:val="628" w:hRule="atLeast"/>
        </w:trPr>
        <w:tc>
          <w:tcPr>
            <w:tcW w:w="2968" w:type="dxa"/>
            <w:vAlign w:val="top"/>
          </w:tcPr>
          <w:p>
            <w:pPr>
              <w:pStyle w:val="TableText"/>
              <w:ind w:left="131"/>
              <w:spacing w:before="65" w:line="219" w:lineRule="auto"/>
              <w:rPr>
                <w:sz w:val="18"/>
                <w:szCs w:val="18"/>
              </w:rPr>
            </w:pPr>
            <w:r>
              <w:rPr>
                <w:sz w:val="18"/>
                <w:szCs w:val="18"/>
                <w:spacing w:val="1"/>
              </w:rPr>
              <w:t>中国人寿保险股份有限公司－传统</w:t>
            </w:r>
          </w:p>
          <w:p>
            <w:pPr>
              <w:pStyle w:val="TableText"/>
              <w:ind w:left="131"/>
              <w:spacing w:before="98" w:line="219" w:lineRule="auto"/>
              <w:rPr>
                <w:sz w:val="18"/>
                <w:szCs w:val="18"/>
              </w:rPr>
            </w:pPr>
            <w:r>
              <w:rPr>
                <w:sz w:val="18"/>
                <w:szCs w:val="18"/>
                <w:spacing w:val="3"/>
              </w:rPr>
              <w:t>-普通保险产品－005L－</w:t>
            </w:r>
            <w:r>
              <w:rPr>
                <w:sz w:val="18"/>
                <w:szCs w:val="18"/>
              </w:rPr>
              <w:t>CT</w:t>
            </w:r>
            <w:r>
              <w:rPr>
                <w:sz w:val="18"/>
                <w:szCs w:val="18"/>
                <w:spacing w:val="3"/>
              </w:rPr>
              <w:t>001</w:t>
            </w:r>
            <w:r>
              <w:rPr>
                <w:sz w:val="18"/>
                <w:szCs w:val="18"/>
                <w:spacing w:val="-21"/>
              </w:rPr>
              <w:t xml:space="preserve"> </w:t>
            </w:r>
            <w:r>
              <w:rPr>
                <w:sz w:val="18"/>
                <w:szCs w:val="18"/>
                <w:spacing w:val="3"/>
              </w:rPr>
              <w:t>沪</w:t>
            </w:r>
          </w:p>
        </w:tc>
        <w:tc>
          <w:tcPr>
            <w:tcW w:w="1296" w:type="dxa"/>
            <w:vAlign w:val="top"/>
          </w:tcPr>
          <w:p>
            <w:pPr>
              <w:pStyle w:val="TableText"/>
              <w:ind w:left="605"/>
              <w:spacing w:before="252" w:line="181" w:lineRule="auto"/>
              <w:rPr>
                <w:sz w:val="18"/>
                <w:szCs w:val="18"/>
              </w:rPr>
            </w:pPr>
            <w:r>
              <w:rPr>
                <w:sz w:val="18"/>
                <w:szCs w:val="18"/>
              </w:rPr>
              <w:t>0</w:t>
            </w:r>
          </w:p>
        </w:tc>
        <w:tc>
          <w:tcPr>
            <w:tcW w:w="1663" w:type="dxa"/>
            <w:vAlign w:val="top"/>
          </w:tcPr>
          <w:p>
            <w:pPr>
              <w:pStyle w:val="TableText"/>
              <w:ind w:left="252"/>
              <w:spacing w:before="250" w:line="182" w:lineRule="auto"/>
              <w:rPr>
                <w:sz w:val="18"/>
                <w:szCs w:val="18"/>
              </w:rPr>
            </w:pPr>
            <w:r>
              <w:rPr>
                <w:sz w:val="18"/>
                <w:szCs w:val="18"/>
                <w:spacing w:val="-1"/>
              </w:rPr>
              <w:t>3,190,419,687</w:t>
            </w:r>
          </w:p>
        </w:tc>
        <w:tc>
          <w:tcPr>
            <w:tcW w:w="693" w:type="dxa"/>
            <w:vAlign w:val="top"/>
          </w:tcPr>
          <w:p>
            <w:pPr>
              <w:pStyle w:val="TableText"/>
              <w:ind w:left="183"/>
              <w:spacing w:before="251" w:line="182" w:lineRule="auto"/>
              <w:rPr>
                <w:sz w:val="18"/>
                <w:szCs w:val="18"/>
              </w:rPr>
            </w:pPr>
            <w:r>
              <w:rPr>
                <w:sz w:val="18"/>
                <w:szCs w:val="18"/>
                <w:spacing w:val="-5"/>
              </w:rPr>
              <w:t>10.3</w:t>
            </w:r>
          </w:p>
        </w:tc>
        <w:tc>
          <w:tcPr>
            <w:tcW w:w="1379" w:type="dxa"/>
            <w:vAlign w:val="top"/>
            <w:gridSpan w:val="2"/>
          </w:tcPr>
          <w:p>
            <w:pPr>
              <w:pStyle w:val="TableText"/>
              <w:ind w:left="647"/>
              <w:spacing w:before="252" w:line="181" w:lineRule="auto"/>
              <w:rPr>
                <w:sz w:val="18"/>
                <w:szCs w:val="18"/>
              </w:rPr>
            </w:pPr>
            <w:r>
              <w:rPr>
                <w:sz w:val="18"/>
                <w:szCs w:val="18"/>
              </w:rPr>
              <w:t>0</w:t>
            </w:r>
          </w:p>
        </w:tc>
        <w:tc>
          <w:tcPr>
            <w:tcW w:w="795" w:type="dxa"/>
            <w:vAlign w:val="top"/>
          </w:tcPr>
          <w:p>
            <w:pPr>
              <w:pStyle w:val="TableText"/>
              <w:ind w:left="312"/>
              <w:spacing w:before="221" w:line="220" w:lineRule="auto"/>
              <w:rPr>
                <w:sz w:val="18"/>
                <w:szCs w:val="18"/>
              </w:rPr>
            </w:pPr>
            <w:r>
              <w:rPr>
                <w:sz w:val="18"/>
                <w:szCs w:val="18"/>
              </w:rPr>
              <w:t>无</w:t>
            </w:r>
          </w:p>
        </w:tc>
        <w:tc>
          <w:tcPr>
            <w:tcW w:w="1439" w:type="dxa"/>
            <w:vAlign w:val="top"/>
          </w:tcPr>
          <w:p>
            <w:pPr>
              <w:pStyle w:val="TableText"/>
              <w:ind w:left="679"/>
              <w:spacing w:before="252" w:line="181" w:lineRule="auto"/>
              <w:rPr>
                <w:sz w:val="18"/>
                <w:szCs w:val="18"/>
              </w:rPr>
            </w:pPr>
            <w:r>
              <w:rPr>
                <w:sz w:val="18"/>
                <w:szCs w:val="18"/>
              </w:rPr>
              <w:t>0</w:t>
            </w:r>
          </w:p>
        </w:tc>
        <w:tc>
          <w:tcPr>
            <w:tcW w:w="833" w:type="dxa"/>
            <w:vAlign w:val="top"/>
          </w:tcPr>
          <w:p>
            <w:pPr>
              <w:pStyle w:val="TableText"/>
              <w:ind w:left="240"/>
              <w:spacing w:before="221" w:line="220" w:lineRule="auto"/>
              <w:rPr>
                <w:sz w:val="18"/>
                <w:szCs w:val="18"/>
              </w:rPr>
            </w:pPr>
            <w:r>
              <w:rPr>
                <w:sz w:val="18"/>
                <w:szCs w:val="18"/>
                <w:spacing w:val="-3"/>
              </w:rPr>
              <w:t>未知</w:t>
            </w:r>
          </w:p>
        </w:tc>
      </w:tr>
      <w:tr>
        <w:trPr>
          <w:trHeight w:val="628" w:hRule="atLeast"/>
        </w:trPr>
        <w:tc>
          <w:tcPr>
            <w:tcW w:w="2968" w:type="dxa"/>
            <w:vAlign w:val="top"/>
          </w:tcPr>
          <w:p>
            <w:pPr>
              <w:pStyle w:val="TableText"/>
              <w:ind w:left="127" w:right="112" w:firstLine="4"/>
              <w:spacing w:before="66" w:line="283" w:lineRule="auto"/>
              <w:rPr>
                <w:sz w:val="18"/>
                <w:szCs w:val="18"/>
              </w:rPr>
            </w:pPr>
            <w:r>
              <w:rPr>
                <w:sz w:val="18"/>
                <w:szCs w:val="18"/>
                <w:spacing w:val="1"/>
              </w:rPr>
              <w:t>中国国有企业结构调整基金股份有</w:t>
            </w:r>
            <w:r>
              <w:rPr>
                <w:sz w:val="18"/>
                <w:szCs w:val="18"/>
                <w:spacing w:val="2"/>
              </w:rPr>
              <w:t xml:space="preserve"> </w:t>
            </w:r>
            <w:r>
              <w:rPr>
                <w:sz w:val="18"/>
                <w:szCs w:val="18"/>
                <w:spacing w:val="-5"/>
              </w:rPr>
              <w:t>限公司</w:t>
            </w:r>
          </w:p>
        </w:tc>
        <w:tc>
          <w:tcPr>
            <w:tcW w:w="1296" w:type="dxa"/>
            <w:vAlign w:val="top"/>
          </w:tcPr>
          <w:p>
            <w:pPr>
              <w:pStyle w:val="TableText"/>
              <w:ind w:left="605"/>
              <w:spacing w:before="252" w:line="181" w:lineRule="auto"/>
              <w:rPr>
                <w:sz w:val="18"/>
                <w:szCs w:val="18"/>
              </w:rPr>
            </w:pPr>
            <w:r>
              <w:rPr>
                <w:sz w:val="18"/>
                <w:szCs w:val="18"/>
              </w:rPr>
              <w:t>0</w:t>
            </w:r>
          </w:p>
        </w:tc>
        <w:tc>
          <w:tcPr>
            <w:tcW w:w="1663" w:type="dxa"/>
            <w:vAlign w:val="top"/>
          </w:tcPr>
          <w:p>
            <w:pPr>
              <w:pStyle w:val="TableText"/>
              <w:ind w:left="261"/>
              <w:spacing w:before="251" w:line="182" w:lineRule="auto"/>
              <w:rPr>
                <w:sz w:val="18"/>
                <w:szCs w:val="18"/>
              </w:rPr>
            </w:pPr>
            <w:r>
              <w:rPr>
                <w:sz w:val="18"/>
                <w:szCs w:val="18"/>
                <w:spacing w:val="-2"/>
              </w:rPr>
              <w:t>1,899,764,201</w:t>
            </w:r>
          </w:p>
        </w:tc>
        <w:tc>
          <w:tcPr>
            <w:tcW w:w="693" w:type="dxa"/>
            <w:vAlign w:val="top"/>
          </w:tcPr>
          <w:p>
            <w:pPr>
              <w:pStyle w:val="TableText"/>
              <w:ind w:left="214"/>
              <w:spacing w:before="251" w:line="182" w:lineRule="auto"/>
              <w:rPr>
                <w:sz w:val="18"/>
                <w:szCs w:val="18"/>
              </w:rPr>
            </w:pPr>
            <w:r>
              <w:rPr>
                <w:sz w:val="18"/>
                <w:szCs w:val="18"/>
                <w:spacing w:val="-2"/>
              </w:rPr>
              <w:t>6.1</w:t>
            </w:r>
          </w:p>
        </w:tc>
        <w:tc>
          <w:tcPr>
            <w:tcW w:w="1379" w:type="dxa"/>
            <w:vAlign w:val="top"/>
            <w:gridSpan w:val="2"/>
          </w:tcPr>
          <w:p>
            <w:pPr>
              <w:pStyle w:val="TableText"/>
              <w:ind w:left="647"/>
              <w:spacing w:before="252" w:line="181" w:lineRule="auto"/>
              <w:rPr>
                <w:sz w:val="18"/>
                <w:szCs w:val="18"/>
              </w:rPr>
            </w:pPr>
            <w:r>
              <w:rPr>
                <w:sz w:val="18"/>
                <w:szCs w:val="18"/>
              </w:rPr>
              <w:t>0</w:t>
            </w:r>
          </w:p>
        </w:tc>
        <w:tc>
          <w:tcPr>
            <w:tcW w:w="795" w:type="dxa"/>
            <w:vAlign w:val="top"/>
          </w:tcPr>
          <w:p>
            <w:pPr>
              <w:pStyle w:val="TableText"/>
              <w:ind w:left="312"/>
              <w:spacing w:before="222" w:line="220" w:lineRule="auto"/>
              <w:rPr>
                <w:sz w:val="18"/>
                <w:szCs w:val="18"/>
              </w:rPr>
            </w:pPr>
            <w:r>
              <w:rPr>
                <w:sz w:val="18"/>
                <w:szCs w:val="18"/>
              </w:rPr>
              <w:t>无</w:t>
            </w:r>
          </w:p>
        </w:tc>
        <w:tc>
          <w:tcPr>
            <w:tcW w:w="1439" w:type="dxa"/>
            <w:vAlign w:val="top"/>
          </w:tcPr>
          <w:p>
            <w:pPr>
              <w:pStyle w:val="TableText"/>
              <w:ind w:left="679"/>
              <w:spacing w:before="252" w:line="181" w:lineRule="auto"/>
              <w:rPr>
                <w:sz w:val="18"/>
                <w:szCs w:val="18"/>
              </w:rPr>
            </w:pPr>
            <w:r>
              <w:rPr>
                <w:sz w:val="18"/>
                <w:szCs w:val="18"/>
              </w:rPr>
              <w:t>0</w:t>
            </w:r>
          </w:p>
        </w:tc>
        <w:tc>
          <w:tcPr>
            <w:tcW w:w="833" w:type="dxa"/>
            <w:vAlign w:val="top"/>
          </w:tcPr>
          <w:p>
            <w:pPr>
              <w:pStyle w:val="TableText"/>
              <w:ind w:left="240"/>
              <w:spacing w:before="222" w:line="220" w:lineRule="auto"/>
              <w:rPr>
                <w:sz w:val="18"/>
                <w:szCs w:val="18"/>
              </w:rPr>
            </w:pPr>
            <w:r>
              <w:rPr>
                <w:sz w:val="18"/>
                <w:szCs w:val="18"/>
                <w:spacing w:val="-3"/>
              </w:rPr>
              <w:t>未知</w:t>
            </w:r>
          </w:p>
        </w:tc>
      </w:tr>
      <w:tr>
        <w:trPr>
          <w:trHeight w:val="628" w:hRule="atLeast"/>
        </w:trPr>
        <w:tc>
          <w:tcPr>
            <w:tcW w:w="2968" w:type="dxa"/>
            <w:vAlign w:val="top"/>
          </w:tcPr>
          <w:p>
            <w:pPr>
              <w:pStyle w:val="TableText"/>
              <w:ind w:left="126" w:right="112" w:hanging="12"/>
              <w:spacing w:before="66" w:line="283" w:lineRule="auto"/>
              <w:rPr>
                <w:sz w:val="18"/>
                <w:szCs w:val="18"/>
              </w:rPr>
            </w:pPr>
            <w:r>
              <w:rPr>
                <w:sz w:val="18"/>
                <w:szCs w:val="18"/>
                <w:spacing w:val="2"/>
              </w:rPr>
              <w:t>深圳市腾讯信达有限合伙企业（有</w:t>
            </w:r>
            <w:r>
              <w:rPr>
                <w:sz w:val="18"/>
                <w:szCs w:val="18"/>
                <w:spacing w:val="4"/>
              </w:rPr>
              <w:t xml:space="preserve"> </w:t>
            </w:r>
            <w:r>
              <w:rPr>
                <w:sz w:val="18"/>
                <w:szCs w:val="18"/>
                <w:spacing w:val="-6"/>
              </w:rPr>
              <w:t>限合伙）</w:t>
            </w:r>
          </w:p>
        </w:tc>
        <w:tc>
          <w:tcPr>
            <w:tcW w:w="1296" w:type="dxa"/>
            <w:vAlign w:val="top"/>
          </w:tcPr>
          <w:p>
            <w:pPr>
              <w:pStyle w:val="TableText"/>
              <w:ind w:left="605"/>
              <w:spacing w:before="253" w:line="181" w:lineRule="auto"/>
              <w:rPr>
                <w:sz w:val="18"/>
                <w:szCs w:val="18"/>
              </w:rPr>
            </w:pPr>
            <w:r>
              <w:rPr>
                <w:sz w:val="18"/>
                <w:szCs w:val="18"/>
              </w:rPr>
              <w:t>0</w:t>
            </w:r>
          </w:p>
        </w:tc>
        <w:tc>
          <w:tcPr>
            <w:tcW w:w="1663" w:type="dxa"/>
            <w:vAlign w:val="top"/>
          </w:tcPr>
          <w:p>
            <w:pPr>
              <w:pStyle w:val="TableText"/>
              <w:ind w:left="261"/>
              <w:spacing w:before="252" w:line="182" w:lineRule="auto"/>
              <w:rPr>
                <w:sz w:val="18"/>
                <w:szCs w:val="18"/>
              </w:rPr>
            </w:pPr>
            <w:r>
              <w:rPr>
                <w:sz w:val="18"/>
                <w:szCs w:val="18"/>
                <w:spacing w:val="-2"/>
              </w:rPr>
              <w:t>1,610,541,728</w:t>
            </w:r>
          </w:p>
        </w:tc>
        <w:tc>
          <w:tcPr>
            <w:tcW w:w="693" w:type="dxa"/>
            <w:vAlign w:val="top"/>
          </w:tcPr>
          <w:p>
            <w:pPr>
              <w:pStyle w:val="TableText"/>
              <w:ind w:left="216"/>
              <w:spacing w:before="253" w:line="181" w:lineRule="auto"/>
              <w:rPr>
                <w:sz w:val="18"/>
                <w:szCs w:val="18"/>
              </w:rPr>
            </w:pPr>
            <w:r>
              <w:rPr>
                <w:sz w:val="18"/>
                <w:szCs w:val="18"/>
                <w:spacing w:val="-2"/>
              </w:rPr>
              <w:t>5.2</w:t>
            </w:r>
          </w:p>
        </w:tc>
        <w:tc>
          <w:tcPr>
            <w:tcW w:w="1379" w:type="dxa"/>
            <w:vAlign w:val="top"/>
            <w:gridSpan w:val="2"/>
          </w:tcPr>
          <w:p>
            <w:pPr>
              <w:pStyle w:val="TableText"/>
              <w:ind w:left="647"/>
              <w:spacing w:before="253" w:line="181" w:lineRule="auto"/>
              <w:rPr>
                <w:sz w:val="18"/>
                <w:szCs w:val="18"/>
              </w:rPr>
            </w:pPr>
            <w:r>
              <w:rPr>
                <w:sz w:val="18"/>
                <w:szCs w:val="18"/>
              </w:rPr>
              <w:t>0</w:t>
            </w:r>
          </w:p>
        </w:tc>
        <w:tc>
          <w:tcPr>
            <w:tcW w:w="795" w:type="dxa"/>
            <w:vAlign w:val="top"/>
          </w:tcPr>
          <w:p>
            <w:pPr>
              <w:pStyle w:val="TableText"/>
              <w:ind w:left="312"/>
              <w:spacing w:before="223" w:line="220" w:lineRule="auto"/>
              <w:rPr>
                <w:sz w:val="18"/>
                <w:szCs w:val="18"/>
              </w:rPr>
            </w:pPr>
            <w:r>
              <w:rPr>
                <w:sz w:val="18"/>
                <w:szCs w:val="18"/>
              </w:rPr>
              <w:t>无</w:t>
            </w:r>
          </w:p>
        </w:tc>
        <w:tc>
          <w:tcPr>
            <w:tcW w:w="1439" w:type="dxa"/>
            <w:vAlign w:val="top"/>
          </w:tcPr>
          <w:p>
            <w:pPr>
              <w:pStyle w:val="TableText"/>
              <w:ind w:left="679"/>
              <w:spacing w:before="253" w:line="181" w:lineRule="auto"/>
              <w:rPr>
                <w:sz w:val="18"/>
                <w:szCs w:val="18"/>
              </w:rPr>
            </w:pPr>
            <w:r>
              <w:rPr>
                <w:sz w:val="18"/>
                <w:szCs w:val="18"/>
              </w:rPr>
              <w:t>0</w:t>
            </w:r>
          </w:p>
        </w:tc>
        <w:tc>
          <w:tcPr>
            <w:tcW w:w="833" w:type="dxa"/>
            <w:vAlign w:val="top"/>
          </w:tcPr>
          <w:p>
            <w:pPr>
              <w:pStyle w:val="TableText"/>
              <w:ind w:left="240"/>
              <w:spacing w:before="223" w:line="220" w:lineRule="auto"/>
              <w:rPr>
                <w:sz w:val="18"/>
                <w:szCs w:val="18"/>
              </w:rPr>
            </w:pPr>
            <w:r>
              <w:rPr>
                <w:sz w:val="18"/>
                <w:szCs w:val="18"/>
                <w:spacing w:val="-3"/>
              </w:rPr>
              <w:t>未知</w:t>
            </w:r>
          </w:p>
        </w:tc>
      </w:tr>
      <w:tr>
        <w:trPr>
          <w:trHeight w:val="629" w:hRule="atLeast"/>
        </w:trPr>
        <w:tc>
          <w:tcPr>
            <w:tcW w:w="2968" w:type="dxa"/>
            <w:vAlign w:val="top"/>
          </w:tcPr>
          <w:p>
            <w:pPr>
              <w:pStyle w:val="TableText"/>
              <w:ind w:left="115" w:right="112"/>
              <w:spacing w:before="67" w:line="283" w:lineRule="auto"/>
              <w:rPr>
                <w:sz w:val="18"/>
                <w:szCs w:val="18"/>
              </w:rPr>
            </w:pPr>
            <w:r>
              <w:rPr>
                <w:sz w:val="18"/>
                <w:szCs w:val="18"/>
                <w:spacing w:val="2"/>
              </w:rPr>
              <w:t>宿迁京东三弘企业管理中心（有限</w:t>
            </w:r>
            <w:r>
              <w:rPr>
                <w:sz w:val="18"/>
                <w:szCs w:val="18"/>
                <w:spacing w:val="3"/>
              </w:rPr>
              <w:t xml:space="preserve"> </w:t>
            </w:r>
            <w:r>
              <w:rPr>
                <w:sz w:val="18"/>
                <w:szCs w:val="18"/>
                <w:spacing w:val="-5"/>
              </w:rPr>
              <w:t>合伙）</w:t>
            </w:r>
          </w:p>
        </w:tc>
        <w:tc>
          <w:tcPr>
            <w:tcW w:w="1296" w:type="dxa"/>
            <w:vAlign w:val="top"/>
          </w:tcPr>
          <w:p>
            <w:pPr>
              <w:pStyle w:val="TableText"/>
              <w:ind w:left="605"/>
              <w:spacing w:before="254" w:line="181" w:lineRule="auto"/>
              <w:rPr>
                <w:sz w:val="18"/>
                <w:szCs w:val="18"/>
              </w:rPr>
            </w:pPr>
            <w:r>
              <w:rPr>
                <w:sz w:val="18"/>
                <w:szCs w:val="18"/>
              </w:rPr>
              <w:t>0</w:t>
            </w:r>
          </w:p>
        </w:tc>
        <w:tc>
          <w:tcPr>
            <w:tcW w:w="1663" w:type="dxa"/>
            <w:vAlign w:val="top"/>
          </w:tcPr>
          <w:p>
            <w:pPr>
              <w:pStyle w:val="TableText"/>
              <w:ind w:left="341"/>
              <w:spacing w:before="253" w:line="182" w:lineRule="auto"/>
              <w:rPr>
                <w:sz w:val="18"/>
                <w:szCs w:val="18"/>
              </w:rPr>
            </w:pPr>
            <w:r>
              <w:rPr>
                <w:sz w:val="18"/>
                <w:szCs w:val="18"/>
                <w:spacing w:val="-1"/>
              </w:rPr>
              <w:t>732,064,421</w:t>
            </w:r>
          </w:p>
        </w:tc>
        <w:tc>
          <w:tcPr>
            <w:tcW w:w="693" w:type="dxa"/>
            <w:vAlign w:val="top"/>
          </w:tcPr>
          <w:p>
            <w:pPr>
              <w:pStyle w:val="TableText"/>
              <w:ind w:left="215"/>
              <w:spacing w:before="254" w:line="181" w:lineRule="auto"/>
              <w:rPr>
                <w:sz w:val="18"/>
                <w:szCs w:val="18"/>
              </w:rPr>
            </w:pPr>
            <w:r>
              <w:rPr>
                <w:sz w:val="18"/>
                <w:szCs w:val="18"/>
                <w:spacing w:val="-2"/>
              </w:rPr>
              <w:t>2.4</w:t>
            </w:r>
          </w:p>
        </w:tc>
        <w:tc>
          <w:tcPr>
            <w:tcW w:w="1379" w:type="dxa"/>
            <w:vAlign w:val="top"/>
            <w:gridSpan w:val="2"/>
          </w:tcPr>
          <w:p>
            <w:pPr>
              <w:pStyle w:val="TableText"/>
              <w:ind w:left="647"/>
              <w:spacing w:before="254" w:line="181" w:lineRule="auto"/>
              <w:rPr>
                <w:sz w:val="18"/>
                <w:szCs w:val="18"/>
              </w:rPr>
            </w:pPr>
            <w:r>
              <w:rPr>
                <w:sz w:val="18"/>
                <w:szCs w:val="18"/>
              </w:rPr>
              <w:t>0</w:t>
            </w:r>
          </w:p>
        </w:tc>
        <w:tc>
          <w:tcPr>
            <w:tcW w:w="795" w:type="dxa"/>
            <w:vAlign w:val="top"/>
          </w:tcPr>
          <w:p>
            <w:pPr>
              <w:pStyle w:val="TableText"/>
              <w:ind w:left="312"/>
              <w:spacing w:before="224" w:line="220" w:lineRule="auto"/>
              <w:rPr>
                <w:sz w:val="18"/>
                <w:szCs w:val="18"/>
              </w:rPr>
            </w:pPr>
            <w:r>
              <w:rPr>
                <w:sz w:val="18"/>
                <w:szCs w:val="18"/>
              </w:rPr>
              <w:t>无</w:t>
            </w:r>
          </w:p>
        </w:tc>
        <w:tc>
          <w:tcPr>
            <w:tcW w:w="1439" w:type="dxa"/>
            <w:vAlign w:val="top"/>
          </w:tcPr>
          <w:p>
            <w:pPr>
              <w:pStyle w:val="TableText"/>
              <w:ind w:left="679"/>
              <w:spacing w:before="254" w:line="181" w:lineRule="auto"/>
              <w:rPr>
                <w:sz w:val="18"/>
                <w:szCs w:val="18"/>
              </w:rPr>
            </w:pPr>
            <w:r>
              <w:rPr>
                <w:sz w:val="18"/>
                <w:szCs w:val="18"/>
              </w:rPr>
              <w:t>0</w:t>
            </w:r>
          </w:p>
        </w:tc>
        <w:tc>
          <w:tcPr>
            <w:tcW w:w="833" w:type="dxa"/>
            <w:vAlign w:val="top"/>
          </w:tcPr>
          <w:p>
            <w:pPr>
              <w:pStyle w:val="TableText"/>
              <w:ind w:left="240"/>
              <w:spacing w:before="224" w:line="220" w:lineRule="auto"/>
              <w:rPr>
                <w:sz w:val="18"/>
                <w:szCs w:val="18"/>
              </w:rPr>
            </w:pPr>
            <w:r>
              <w:rPr>
                <w:sz w:val="18"/>
                <w:szCs w:val="18"/>
                <w:spacing w:val="-3"/>
              </w:rPr>
              <w:t>未知</w:t>
            </w:r>
          </w:p>
        </w:tc>
      </w:tr>
      <w:tr>
        <w:trPr>
          <w:trHeight w:val="319" w:hRule="atLeast"/>
        </w:trPr>
        <w:tc>
          <w:tcPr>
            <w:tcW w:w="2968" w:type="dxa"/>
            <w:vAlign w:val="top"/>
          </w:tcPr>
          <w:p>
            <w:pPr>
              <w:pStyle w:val="TableText"/>
              <w:ind w:left="114"/>
              <w:spacing w:before="69" w:line="219" w:lineRule="auto"/>
              <w:rPr>
                <w:sz w:val="18"/>
                <w:szCs w:val="18"/>
              </w:rPr>
            </w:pPr>
            <w:r>
              <w:rPr>
                <w:sz w:val="18"/>
                <w:szCs w:val="18"/>
                <w:spacing w:val="-1"/>
              </w:rPr>
              <w:t>杭州阿里创业投资有限公司</w:t>
            </w:r>
          </w:p>
        </w:tc>
        <w:tc>
          <w:tcPr>
            <w:tcW w:w="1296" w:type="dxa"/>
            <w:vAlign w:val="top"/>
          </w:tcPr>
          <w:p>
            <w:pPr>
              <w:pStyle w:val="TableText"/>
              <w:ind w:left="605"/>
              <w:spacing w:before="100" w:line="181" w:lineRule="auto"/>
              <w:rPr>
                <w:sz w:val="18"/>
                <w:szCs w:val="18"/>
              </w:rPr>
            </w:pPr>
            <w:r>
              <w:rPr>
                <w:sz w:val="18"/>
                <w:szCs w:val="18"/>
              </w:rPr>
              <w:t>0</w:t>
            </w:r>
          </w:p>
        </w:tc>
        <w:tc>
          <w:tcPr>
            <w:tcW w:w="1663" w:type="dxa"/>
            <w:vAlign w:val="top"/>
          </w:tcPr>
          <w:p>
            <w:pPr>
              <w:pStyle w:val="TableText"/>
              <w:ind w:left="338"/>
              <w:spacing w:before="100" w:line="181" w:lineRule="auto"/>
              <w:rPr>
                <w:sz w:val="18"/>
                <w:szCs w:val="18"/>
              </w:rPr>
            </w:pPr>
            <w:r>
              <w:rPr>
                <w:sz w:val="18"/>
                <w:szCs w:val="18"/>
                <w:spacing w:val="-1"/>
              </w:rPr>
              <w:t>633,254,734</w:t>
            </w:r>
          </w:p>
        </w:tc>
        <w:tc>
          <w:tcPr>
            <w:tcW w:w="693" w:type="dxa"/>
            <w:vAlign w:val="top"/>
          </w:tcPr>
          <w:p>
            <w:pPr>
              <w:pStyle w:val="TableText"/>
              <w:ind w:left="215"/>
              <w:spacing w:before="100" w:line="181" w:lineRule="auto"/>
              <w:rPr>
                <w:sz w:val="18"/>
                <w:szCs w:val="18"/>
              </w:rPr>
            </w:pPr>
            <w:r>
              <w:rPr>
                <w:sz w:val="18"/>
                <w:szCs w:val="18"/>
                <w:spacing w:val="-2"/>
              </w:rPr>
              <w:t>2.0</w:t>
            </w:r>
          </w:p>
        </w:tc>
        <w:tc>
          <w:tcPr>
            <w:tcW w:w="1379" w:type="dxa"/>
            <w:vAlign w:val="top"/>
            <w:gridSpan w:val="2"/>
          </w:tcPr>
          <w:p>
            <w:pPr>
              <w:pStyle w:val="TableText"/>
              <w:ind w:left="647"/>
              <w:spacing w:before="100" w:line="181" w:lineRule="auto"/>
              <w:rPr>
                <w:sz w:val="18"/>
                <w:szCs w:val="18"/>
              </w:rPr>
            </w:pPr>
            <w:r>
              <w:rPr>
                <w:sz w:val="18"/>
                <w:szCs w:val="18"/>
              </w:rPr>
              <w:t>0</w:t>
            </w:r>
          </w:p>
        </w:tc>
        <w:tc>
          <w:tcPr>
            <w:tcW w:w="795" w:type="dxa"/>
            <w:vAlign w:val="top"/>
          </w:tcPr>
          <w:p>
            <w:pPr>
              <w:pStyle w:val="TableText"/>
              <w:ind w:left="312"/>
              <w:spacing w:before="70" w:line="220" w:lineRule="auto"/>
              <w:rPr>
                <w:sz w:val="18"/>
                <w:szCs w:val="18"/>
              </w:rPr>
            </w:pPr>
            <w:r>
              <w:rPr>
                <w:sz w:val="18"/>
                <w:szCs w:val="18"/>
              </w:rPr>
              <w:t>无</w:t>
            </w:r>
          </w:p>
        </w:tc>
        <w:tc>
          <w:tcPr>
            <w:tcW w:w="1439" w:type="dxa"/>
            <w:vAlign w:val="top"/>
          </w:tcPr>
          <w:p>
            <w:pPr>
              <w:pStyle w:val="TableText"/>
              <w:ind w:left="679"/>
              <w:spacing w:before="100" w:line="181" w:lineRule="auto"/>
              <w:rPr>
                <w:sz w:val="18"/>
                <w:szCs w:val="18"/>
              </w:rPr>
            </w:pPr>
            <w:r>
              <w:rPr>
                <w:sz w:val="18"/>
                <w:szCs w:val="18"/>
              </w:rPr>
              <w:t>0</w:t>
            </w:r>
          </w:p>
        </w:tc>
        <w:tc>
          <w:tcPr>
            <w:tcW w:w="833" w:type="dxa"/>
            <w:vAlign w:val="top"/>
          </w:tcPr>
          <w:p>
            <w:pPr>
              <w:pStyle w:val="TableText"/>
              <w:ind w:left="240"/>
              <w:spacing w:before="70" w:line="220" w:lineRule="auto"/>
              <w:rPr>
                <w:sz w:val="18"/>
                <w:szCs w:val="18"/>
              </w:rPr>
            </w:pPr>
            <w:r>
              <w:rPr>
                <w:sz w:val="18"/>
                <w:szCs w:val="18"/>
                <w:spacing w:val="-3"/>
              </w:rPr>
              <w:t>未知</w:t>
            </w:r>
          </w:p>
        </w:tc>
      </w:tr>
      <w:tr>
        <w:trPr>
          <w:trHeight w:val="317" w:hRule="atLeast"/>
        </w:trPr>
        <w:tc>
          <w:tcPr>
            <w:tcW w:w="2968" w:type="dxa"/>
            <w:vAlign w:val="top"/>
          </w:tcPr>
          <w:p>
            <w:pPr>
              <w:pStyle w:val="TableText"/>
              <w:ind w:left="116"/>
              <w:spacing w:before="67" w:line="220" w:lineRule="auto"/>
              <w:rPr>
                <w:sz w:val="18"/>
                <w:szCs w:val="18"/>
              </w:rPr>
            </w:pPr>
            <w:r>
              <w:rPr>
                <w:sz w:val="18"/>
                <w:szCs w:val="18"/>
                <w:spacing w:val="-1"/>
              </w:rPr>
              <w:t>香港中央结算有限公司</w:t>
            </w:r>
          </w:p>
        </w:tc>
        <w:tc>
          <w:tcPr>
            <w:tcW w:w="1296" w:type="dxa"/>
            <w:vAlign w:val="top"/>
          </w:tcPr>
          <w:p>
            <w:pPr>
              <w:pStyle w:val="TableText"/>
              <w:ind w:left="107"/>
              <w:spacing w:before="96" w:line="182" w:lineRule="auto"/>
              <w:rPr>
                <w:sz w:val="18"/>
                <w:szCs w:val="18"/>
              </w:rPr>
            </w:pPr>
            <w:r>
              <w:rPr>
                <w:sz w:val="18"/>
                <w:szCs w:val="18"/>
                <w:spacing w:val="-1"/>
              </w:rPr>
              <w:t>-198,621,815</w:t>
            </w:r>
          </w:p>
        </w:tc>
        <w:tc>
          <w:tcPr>
            <w:tcW w:w="1663" w:type="dxa"/>
            <w:vAlign w:val="top"/>
          </w:tcPr>
          <w:p>
            <w:pPr>
              <w:pStyle w:val="TableText"/>
              <w:ind w:left="338"/>
              <w:spacing w:before="97" w:line="181" w:lineRule="auto"/>
              <w:rPr>
                <w:sz w:val="18"/>
                <w:szCs w:val="18"/>
              </w:rPr>
            </w:pPr>
            <w:r>
              <w:rPr>
                <w:sz w:val="18"/>
                <w:szCs w:val="18"/>
                <w:spacing w:val="-1"/>
              </w:rPr>
              <w:t>602,895,630</w:t>
            </w:r>
          </w:p>
        </w:tc>
        <w:tc>
          <w:tcPr>
            <w:tcW w:w="693" w:type="dxa"/>
            <w:vAlign w:val="top"/>
          </w:tcPr>
          <w:p>
            <w:pPr>
              <w:pStyle w:val="TableText"/>
              <w:ind w:left="226"/>
              <w:spacing w:before="97" w:line="182" w:lineRule="auto"/>
              <w:rPr>
                <w:sz w:val="18"/>
                <w:szCs w:val="18"/>
              </w:rPr>
            </w:pPr>
            <w:r>
              <w:rPr>
                <w:sz w:val="18"/>
                <w:szCs w:val="18"/>
                <w:spacing w:val="-4"/>
              </w:rPr>
              <w:t>1.9</w:t>
            </w:r>
          </w:p>
        </w:tc>
        <w:tc>
          <w:tcPr>
            <w:tcW w:w="1379" w:type="dxa"/>
            <w:vAlign w:val="top"/>
            <w:gridSpan w:val="2"/>
          </w:tcPr>
          <w:p>
            <w:pPr>
              <w:pStyle w:val="TableText"/>
              <w:ind w:left="647"/>
              <w:spacing w:before="98" w:line="181" w:lineRule="auto"/>
              <w:rPr>
                <w:sz w:val="18"/>
                <w:szCs w:val="18"/>
              </w:rPr>
            </w:pPr>
            <w:r>
              <w:rPr>
                <w:sz w:val="18"/>
                <w:szCs w:val="18"/>
              </w:rPr>
              <w:t>0</w:t>
            </w:r>
          </w:p>
        </w:tc>
        <w:tc>
          <w:tcPr>
            <w:tcW w:w="795" w:type="dxa"/>
            <w:vAlign w:val="top"/>
          </w:tcPr>
          <w:p>
            <w:pPr>
              <w:pStyle w:val="TableText"/>
              <w:ind w:left="312"/>
              <w:spacing w:before="67" w:line="220" w:lineRule="auto"/>
              <w:rPr>
                <w:sz w:val="18"/>
                <w:szCs w:val="18"/>
              </w:rPr>
            </w:pPr>
            <w:r>
              <w:rPr>
                <w:sz w:val="18"/>
                <w:szCs w:val="18"/>
              </w:rPr>
              <w:t>无</w:t>
            </w:r>
          </w:p>
        </w:tc>
        <w:tc>
          <w:tcPr>
            <w:tcW w:w="1439" w:type="dxa"/>
            <w:vAlign w:val="top"/>
          </w:tcPr>
          <w:p>
            <w:pPr>
              <w:pStyle w:val="TableText"/>
              <w:ind w:left="679"/>
              <w:spacing w:before="98" w:line="181" w:lineRule="auto"/>
              <w:rPr>
                <w:sz w:val="18"/>
                <w:szCs w:val="18"/>
              </w:rPr>
            </w:pPr>
            <w:r>
              <w:rPr>
                <w:sz w:val="18"/>
                <w:szCs w:val="18"/>
              </w:rPr>
              <w:t>0</w:t>
            </w:r>
          </w:p>
        </w:tc>
        <w:tc>
          <w:tcPr>
            <w:tcW w:w="833" w:type="dxa"/>
            <w:vAlign w:val="top"/>
          </w:tcPr>
          <w:p>
            <w:pPr>
              <w:pStyle w:val="TableText"/>
              <w:ind w:left="240"/>
              <w:spacing w:before="67" w:line="220" w:lineRule="auto"/>
              <w:rPr>
                <w:sz w:val="18"/>
                <w:szCs w:val="18"/>
              </w:rPr>
            </w:pPr>
            <w:r>
              <w:rPr>
                <w:sz w:val="18"/>
                <w:szCs w:val="18"/>
                <w:spacing w:val="-3"/>
              </w:rPr>
              <w:t>未知</w:t>
            </w:r>
          </w:p>
        </w:tc>
      </w:tr>
      <w:tr>
        <w:trPr>
          <w:trHeight w:val="316" w:hRule="atLeast"/>
        </w:trPr>
        <w:tc>
          <w:tcPr>
            <w:tcW w:w="2968" w:type="dxa"/>
            <w:vAlign w:val="top"/>
          </w:tcPr>
          <w:p>
            <w:pPr>
              <w:pStyle w:val="TableText"/>
              <w:ind w:left="118"/>
              <w:spacing w:before="66" w:line="220" w:lineRule="auto"/>
              <w:rPr>
                <w:sz w:val="18"/>
                <w:szCs w:val="18"/>
              </w:rPr>
            </w:pPr>
            <w:r>
              <w:rPr>
                <w:sz w:val="18"/>
                <w:szCs w:val="18"/>
                <w:spacing w:val="-1"/>
              </w:rPr>
              <w:t>苏宁易购集团股份有限公司</w:t>
            </w:r>
          </w:p>
        </w:tc>
        <w:tc>
          <w:tcPr>
            <w:tcW w:w="1296" w:type="dxa"/>
            <w:vAlign w:val="top"/>
          </w:tcPr>
          <w:p>
            <w:pPr>
              <w:pStyle w:val="TableText"/>
              <w:ind w:left="605"/>
              <w:spacing w:before="97" w:line="181" w:lineRule="auto"/>
              <w:rPr>
                <w:sz w:val="18"/>
                <w:szCs w:val="18"/>
              </w:rPr>
            </w:pPr>
            <w:r>
              <w:rPr>
                <w:sz w:val="18"/>
                <w:szCs w:val="18"/>
              </w:rPr>
              <w:t>0</w:t>
            </w:r>
          </w:p>
        </w:tc>
        <w:tc>
          <w:tcPr>
            <w:tcW w:w="1663" w:type="dxa"/>
            <w:vAlign w:val="top"/>
          </w:tcPr>
          <w:p>
            <w:pPr>
              <w:pStyle w:val="TableText"/>
              <w:ind w:left="341"/>
              <w:spacing w:before="96" w:line="182" w:lineRule="auto"/>
              <w:rPr>
                <w:sz w:val="18"/>
                <w:szCs w:val="18"/>
              </w:rPr>
            </w:pPr>
            <w:r>
              <w:rPr>
                <w:sz w:val="18"/>
                <w:szCs w:val="18"/>
                <w:spacing w:val="-1"/>
              </w:rPr>
              <w:t>585,651,537</w:t>
            </w:r>
          </w:p>
        </w:tc>
        <w:tc>
          <w:tcPr>
            <w:tcW w:w="693" w:type="dxa"/>
            <w:vAlign w:val="top"/>
          </w:tcPr>
          <w:p>
            <w:pPr>
              <w:pStyle w:val="TableText"/>
              <w:ind w:left="226"/>
              <w:spacing w:before="96" w:line="182" w:lineRule="auto"/>
              <w:rPr>
                <w:sz w:val="18"/>
                <w:szCs w:val="18"/>
              </w:rPr>
            </w:pPr>
            <w:r>
              <w:rPr>
                <w:sz w:val="18"/>
                <w:szCs w:val="18"/>
                <w:spacing w:val="-4"/>
              </w:rPr>
              <w:t>1.9</w:t>
            </w:r>
          </w:p>
        </w:tc>
        <w:tc>
          <w:tcPr>
            <w:tcW w:w="1379" w:type="dxa"/>
            <w:vAlign w:val="top"/>
            <w:gridSpan w:val="2"/>
          </w:tcPr>
          <w:p>
            <w:pPr>
              <w:pStyle w:val="TableText"/>
              <w:ind w:left="647"/>
              <w:spacing w:before="97" w:line="181" w:lineRule="auto"/>
              <w:rPr>
                <w:sz w:val="18"/>
                <w:szCs w:val="18"/>
              </w:rPr>
            </w:pPr>
            <w:r>
              <w:rPr>
                <w:sz w:val="18"/>
                <w:szCs w:val="18"/>
              </w:rPr>
              <w:t>0</w:t>
            </w:r>
          </w:p>
        </w:tc>
        <w:tc>
          <w:tcPr>
            <w:tcW w:w="795" w:type="dxa"/>
            <w:vAlign w:val="top"/>
          </w:tcPr>
          <w:p>
            <w:pPr>
              <w:pStyle w:val="TableText"/>
              <w:ind w:left="220"/>
              <w:spacing w:before="67" w:line="220" w:lineRule="auto"/>
              <w:rPr>
                <w:sz w:val="18"/>
                <w:szCs w:val="18"/>
              </w:rPr>
            </w:pPr>
            <w:r>
              <w:rPr>
                <w:sz w:val="18"/>
                <w:szCs w:val="18"/>
                <w:spacing w:val="-2"/>
              </w:rPr>
              <w:t>质押</w:t>
            </w:r>
          </w:p>
        </w:tc>
        <w:tc>
          <w:tcPr>
            <w:tcW w:w="1439" w:type="dxa"/>
            <w:vAlign w:val="top"/>
          </w:tcPr>
          <w:p>
            <w:pPr>
              <w:pStyle w:val="TableText"/>
              <w:ind w:left="230"/>
              <w:spacing w:before="96" w:line="182" w:lineRule="auto"/>
              <w:rPr>
                <w:sz w:val="18"/>
                <w:szCs w:val="18"/>
              </w:rPr>
            </w:pPr>
            <w:r>
              <w:rPr>
                <w:sz w:val="18"/>
                <w:szCs w:val="18"/>
                <w:spacing w:val="-1"/>
              </w:rPr>
              <w:t>585,651,537</w:t>
            </w:r>
          </w:p>
        </w:tc>
        <w:tc>
          <w:tcPr>
            <w:tcW w:w="833" w:type="dxa"/>
            <w:vAlign w:val="top"/>
          </w:tcPr>
          <w:p>
            <w:pPr>
              <w:pStyle w:val="TableText"/>
              <w:ind w:left="240"/>
              <w:spacing w:before="67" w:line="220" w:lineRule="auto"/>
              <w:rPr>
                <w:sz w:val="18"/>
                <w:szCs w:val="18"/>
              </w:rPr>
            </w:pPr>
            <w:r>
              <w:rPr>
                <w:sz w:val="18"/>
                <w:szCs w:val="18"/>
                <w:spacing w:val="-3"/>
              </w:rPr>
              <w:t>未知</w:t>
            </w:r>
          </w:p>
        </w:tc>
      </w:tr>
      <w:tr>
        <w:trPr>
          <w:trHeight w:val="628" w:hRule="atLeast"/>
        </w:trPr>
        <w:tc>
          <w:tcPr>
            <w:tcW w:w="2968" w:type="dxa"/>
            <w:vAlign w:val="top"/>
          </w:tcPr>
          <w:p>
            <w:pPr>
              <w:pStyle w:val="TableText"/>
              <w:ind w:left="118" w:right="112" w:hanging="4"/>
              <w:spacing w:before="68" w:line="282" w:lineRule="auto"/>
              <w:rPr>
                <w:sz w:val="18"/>
                <w:szCs w:val="18"/>
              </w:rPr>
            </w:pPr>
            <w:r>
              <w:rPr>
                <w:sz w:val="18"/>
                <w:szCs w:val="18"/>
                <w:spacing w:val="15"/>
              </w:rPr>
              <w:t>深圳光启互联技术投资合伙企业</w:t>
            </w:r>
            <w:r>
              <w:rPr>
                <w:sz w:val="18"/>
                <w:szCs w:val="18"/>
                <w:spacing w:val="4"/>
              </w:rPr>
              <w:t xml:space="preserve"> </w:t>
            </w:r>
            <w:r>
              <w:rPr>
                <w:sz w:val="18"/>
                <w:szCs w:val="18"/>
                <w:spacing w:val="-4"/>
              </w:rPr>
              <w:t>（有限合伙）</w:t>
            </w:r>
          </w:p>
        </w:tc>
        <w:tc>
          <w:tcPr>
            <w:tcW w:w="1296" w:type="dxa"/>
            <w:vAlign w:val="top"/>
          </w:tcPr>
          <w:p>
            <w:pPr>
              <w:pStyle w:val="TableText"/>
              <w:ind w:left="605"/>
              <w:spacing w:before="254" w:line="181" w:lineRule="auto"/>
              <w:rPr>
                <w:sz w:val="18"/>
                <w:szCs w:val="18"/>
              </w:rPr>
            </w:pPr>
            <w:r>
              <w:rPr>
                <w:sz w:val="18"/>
                <w:szCs w:val="18"/>
              </w:rPr>
              <w:t>0</w:t>
            </w:r>
          </w:p>
        </w:tc>
        <w:tc>
          <w:tcPr>
            <w:tcW w:w="1663" w:type="dxa"/>
            <w:vAlign w:val="top"/>
          </w:tcPr>
          <w:p>
            <w:pPr>
              <w:pStyle w:val="TableText"/>
              <w:ind w:left="341"/>
              <w:spacing w:before="253" w:line="182" w:lineRule="auto"/>
              <w:rPr>
                <w:sz w:val="18"/>
                <w:szCs w:val="18"/>
              </w:rPr>
            </w:pPr>
            <w:r>
              <w:rPr>
                <w:sz w:val="18"/>
                <w:szCs w:val="18"/>
                <w:spacing w:val="-1"/>
              </w:rPr>
              <w:t>585,651,537</w:t>
            </w:r>
          </w:p>
        </w:tc>
        <w:tc>
          <w:tcPr>
            <w:tcW w:w="693" w:type="dxa"/>
            <w:vAlign w:val="top"/>
          </w:tcPr>
          <w:p>
            <w:pPr>
              <w:pStyle w:val="TableText"/>
              <w:ind w:left="226"/>
              <w:spacing w:before="253" w:line="182" w:lineRule="auto"/>
              <w:rPr>
                <w:sz w:val="18"/>
                <w:szCs w:val="18"/>
              </w:rPr>
            </w:pPr>
            <w:r>
              <w:rPr>
                <w:sz w:val="18"/>
                <w:szCs w:val="18"/>
                <w:spacing w:val="-4"/>
              </w:rPr>
              <w:t>1.9</w:t>
            </w:r>
          </w:p>
        </w:tc>
        <w:tc>
          <w:tcPr>
            <w:tcW w:w="1379" w:type="dxa"/>
            <w:vAlign w:val="top"/>
            <w:gridSpan w:val="2"/>
          </w:tcPr>
          <w:p>
            <w:pPr>
              <w:pStyle w:val="TableText"/>
              <w:ind w:left="647"/>
              <w:spacing w:before="254" w:line="181" w:lineRule="auto"/>
              <w:rPr>
                <w:sz w:val="18"/>
                <w:szCs w:val="18"/>
              </w:rPr>
            </w:pPr>
            <w:r>
              <w:rPr>
                <w:sz w:val="18"/>
                <w:szCs w:val="18"/>
              </w:rPr>
              <w:t>0</w:t>
            </w:r>
          </w:p>
        </w:tc>
        <w:tc>
          <w:tcPr>
            <w:tcW w:w="795" w:type="dxa"/>
            <w:vAlign w:val="top"/>
          </w:tcPr>
          <w:p>
            <w:pPr>
              <w:pStyle w:val="TableText"/>
              <w:ind w:left="220"/>
              <w:spacing w:before="224" w:line="220" w:lineRule="auto"/>
              <w:rPr>
                <w:sz w:val="18"/>
                <w:szCs w:val="18"/>
              </w:rPr>
            </w:pPr>
            <w:r>
              <w:rPr>
                <w:sz w:val="18"/>
                <w:szCs w:val="18"/>
                <w:spacing w:val="-2"/>
              </w:rPr>
              <w:t>质押</w:t>
            </w:r>
          </w:p>
        </w:tc>
        <w:tc>
          <w:tcPr>
            <w:tcW w:w="1439" w:type="dxa"/>
            <w:vAlign w:val="top"/>
          </w:tcPr>
          <w:p>
            <w:pPr>
              <w:pStyle w:val="TableText"/>
              <w:ind w:left="230"/>
              <w:spacing w:before="253" w:line="182" w:lineRule="auto"/>
              <w:rPr>
                <w:sz w:val="18"/>
                <w:szCs w:val="18"/>
              </w:rPr>
            </w:pPr>
            <w:r>
              <w:rPr>
                <w:sz w:val="18"/>
                <w:szCs w:val="18"/>
                <w:spacing w:val="-1"/>
              </w:rPr>
              <w:t>321,815,520</w:t>
            </w:r>
          </w:p>
        </w:tc>
        <w:tc>
          <w:tcPr>
            <w:tcW w:w="833" w:type="dxa"/>
            <w:vAlign w:val="top"/>
          </w:tcPr>
          <w:p>
            <w:pPr>
              <w:pStyle w:val="TableText"/>
              <w:ind w:left="240"/>
              <w:spacing w:before="224" w:line="220" w:lineRule="auto"/>
              <w:rPr>
                <w:sz w:val="18"/>
                <w:szCs w:val="18"/>
              </w:rPr>
            </w:pPr>
            <w:r>
              <w:rPr>
                <w:sz w:val="18"/>
                <w:szCs w:val="18"/>
                <w:spacing w:val="-3"/>
              </w:rPr>
              <w:t>未知</w:t>
            </w:r>
          </w:p>
        </w:tc>
      </w:tr>
      <w:tr>
        <w:trPr>
          <w:trHeight w:val="633" w:hRule="atLeast"/>
        </w:trPr>
        <w:tc>
          <w:tcPr>
            <w:tcW w:w="2968" w:type="dxa"/>
            <w:vAlign w:val="top"/>
          </w:tcPr>
          <w:p>
            <w:pPr>
              <w:pStyle w:val="TableText"/>
              <w:ind w:left="115" w:right="112" w:hanging="1"/>
              <w:spacing w:before="69" w:line="284" w:lineRule="auto"/>
              <w:rPr>
                <w:sz w:val="18"/>
                <w:szCs w:val="18"/>
              </w:rPr>
            </w:pPr>
            <w:r>
              <w:rPr>
                <w:sz w:val="18"/>
                <w:szCs w:val="18"/>
                <w:spacing w:val="2"/>
              </w:rPr>
              <w:t>深圳淮海方舟信息产业股权投资基</w:t>
            </w:r>
            <w:r>
              <w:rPr>
                <w:sz w:val="18"/>
                <w:szCs w:val="18"/>
                <w:spacing w:val="4"/>
              </w:rPr>
              <w:t xml:space="preserve"> </w:t>
            </w:r>
            <w:r>
              <w:rPr>
                <w:sz w:val="18"/>
                <w:szCs w:val="18"/>
                <w:spacing w:val="-3"/>
              </w:rPr>
              <w:t>金（有限合伙）</w:t>
            </w:r>
          </w:p>
        </w:tc>
        <w:tc>
          <w:tcPr>
            <w:tcW w:w="1296" w:type="dxa"/>
            <w:vAlign w:val="top"/>
          </w:tcPr>
          <w:p>
            <w:pPr>
              <w:pStyle w:val="TableText"/>
              <w:ind w:left="605"/>
              <w:spacing w:before="254" w:line="181" w:lineRule="auto"/>
              <w:rPr>
                <w:sz w:val="18"/>
                <w:szCs w:val="18"/>
              </w:rPr>
            </w:pPr>
            <w:r>
              <w:rPr>
                <w:sz w:val="18"/>
                <w:szCs w:val="18"/>
              </w:rPr>
              <w:t>0</w:t>
            </w:r>
          </w:p>
        </w:tc>
        <w:tc>
          <w:tcPr>
            <w:tcW w:w="1663" w:type="dxa"/>
            <w:vAlign w:val="top"/>
          </w:tcPr>
          <w:p>
            <w:pPr>
              <w:pStyle w:val="TableText"/>
              <w:ind w:left="341"/>
              <w:spacing w:before="253" w:line="182" w:lineRule="auto"/>
              <w:rPr>
                <w:sz w:val="18"/>
                <w:szCs w:val="18"/>
              </w:rPr>
            </w:pPr>
            <w:r>
              <w:rPr>
                <w:sz w:val="18"/>
                <w:szCs w:val="18"/>
                <w:spacing w:val="-1"/>
              </w:rPr>
              <w:t>585,651,537</w:t>
            </w:r>
          </w:p>
        </w:tc>
        <w:tc>
          <w:tcPr>
            <w:tcW w:w="693" w:type="dxa"/>
            <w:vAlign w:val="top"/>
          </w:tcPr>
          <w:p>
            <w:pPr>
              <w:pStyle w:val="TableText"/>
              <w:ind w:left="226"/>
              <w:spacing w:before="253" w:line="182" w:lineRule="auto"/>
              <w:rPr>
                <w:sz w:val="18"/>
                <w:szCs w:val="18"/>
              </w:rPr>
            </w:pPr>
            <w:r>
              <w:rPr>
                <w:sz w:val="18"/>
                <w:szCs w:val="18"/>
                <w:spacing w:val="-4"/>
              </w:rPr>
              <w:t>1.9</w:t>
            </w:r>
          </w:p>
        </w:tc>
        <w:tc>
          <w:tcPr>
            <w:tcW w:w="1379" w:type="dxa"/>
            <w:vAlign w:val="top"/>
            <w:gridSpan w:val="2"/>
          </w:tcPr>
          <w:p>
            <w:pPr>
              <w:pStyle w:val="TableText"/>
              <w:ind w:left="647"/>
              <w:spacing w:before="254" w:line="181" w:lineRule="auto"/>
              <w:rPr>
                <w:sz w:val="18"/>
                <w:szCs w:val="18"/>
              </w:rPr>
            </w:pPr>
            <w:r>
              <w:rPr>
                <w:sz w:val="18"/>
                <w:szCs w:val="18"/>
              </w:rPr>
              <w:t>0</w:t>
            </w:r>
          </w:p>
        </w:tc>
        <w:tc>
          <w:tcPr>
            <w:tcW w:w="795" w:type="dxa"/>
            <w:vAlign w:val="top"/>
          </w:tcPr>
          <w:p>
            <w:pPr>
              <w:pStyle w:val="TableText"/>
              <w:ind w:left="220"/>
              <w:spacing w:before="224" w:line="220" w:lineRule="auto"/>
              <w:rPr>
                <w:sz w:val="18"/>
                <w:szCs w:val="18"/>
              </w:rPr>
            </w:pPr>
            <w:r>
              <w:rPr>
                <w:sz w:val="18"/>
                <w:szCs w:val="18"/>
                <w:spacing w:val="-2"/>
              </w:rPr>
              <w:t>质押</w:t>
            </w:r>
          </w:p>
        </w:tc>
        <w:tc>
          <w:tcPr>
            <w:tcW w:w="1439" w:type="dxa"/>
            <w:vAlign w:val="top"/>
          </w:tcPr>
          <w:p>
            <w:pPr>
              <w:pStyle w:val="TableText"/>
              <w:ind w:left="226"/>
              <w:spacing w:before="254" w:line="181" w:lineRule="auto"/>
              <w:rPr>
                <w:sz w:val="18"/>
                <w:szCs w:val="18"/>
              </w:rPr>
            </w:pPr>
            <w:r>
              <w:rPr>
                <w:sz w:val="18"/>
                <w:szCs w:val="18"/>
                <w:spacing w:val="-1"/>
              </w:rPr>
              <w:t>434,846,266</w:t>
            </w:r>
          </w:p>
        </w:tc>
        <w:tc>
          <w:tcPr>
            <w:tcW w:w="833" w:type="dxa"/>
            <w:vAlign w:val="top"/>
          </w:tcPr>
          <w:p>
            <w:pPr>
              <w:pStyle w:val="TableText"/>
              <w:ind w:left="240"/>
              <w:spacing w:before="224" w:line="220" w:lineRule="auto"/>
              <w:rPr>
                <w:sz w:val="18"/>
                <w:szCs w:val="18"/>
              </w:rPr>
            </w:pPr>
            <w:r>
              <w:rPr>
                <w:sz w:val="18"/>
                <w:szCs w:val="18"/>
                <w:spacing w:val="-3"/>
              </w:rPr>
              <w:t>未知</w:t>
            </w:r>
          </w:p>
        </w:tc>
      </w:tr>
    </w:tbl>
    <w:p>
      <w:pPr>
        <w:rPr>
          <w:rFonts w:ascii="Arial"/>
          <w:sz w:val="21"/>
        </w:rPr>
      </w:pPr>
      <w:r/>
    </w:p>
    <w:p>
      <w:pPr>
        <w:sectPr>
          <w:headerReference w:type="default" r:id="rId8"/>
          <w:footerReference w:type="default" r:id="rId9"/>
          <w:pgSz w:w="11907" w:h="16839"/>
          <w:pgMar w:top="1377" w:right="273" w:bottom="1374" w:left="561" w:header="837" w:footer="1212" w:gutter="0"/>
        </w:sectPr>
        <w:rPr>
          <w:rFonts w:ascii="Arial" w:hAnsi="Arial" w:eastAsia="Arial" w:cs="Arial"/>
          <w:sz w:val="21"/>
          <w:szCs w:val="21"/>
        </w:rPr>
      </w:pPr>
    </w:p>
    <w:p>
      <w:pPr>
        <w:spacing w:line="151" w:lineRule="exact"/>
        <w:rPr/>
      </w:pPr>
      <w:r/>
    </w:p>
    <w:tbl>
      <w:tblPr>
        <w:tblStyle w:val="TableNormal"/>
        <w:tblW w:w="1106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68"/>
        <w:gridCol w:w="1296"/>
        <w:gridCol w:w="1663"/>
        <w:gridCol w:w="693"/>
        <w:gridCol w:w="1379"/>
        <w:gridCol w:w="795"/>
        <w:gridCol w:w="1439"/>
        <w:gridCol w:w="833"/>
      </w:tblGrid>
      <w:tr>
        <w:trPr>
          <w:trHeight w:val="1257" w:hRule="atLeast"/>
        </w:trPr>
        <w:tc>
          <w:tcPr>
            <w:tcW w:w="2968" w:type="dxa"/>
            <w:vAlign w:val="top"/>
          </w:tcPr>
          <w:p>
            <w:pPr>
              <w:pStyle w:val="TableText"/>
              <w:ind w:left="115" w:right="110" w:firstLine="2"/>
              <w:spacing w:before="69" w:line="302" w:lineRule="auto"/>
              <w:jc w:val="both"/>
              <w:rPr>
                <w:sz w:val="18"/>
                <w:szCs w:val="18"/>
              </w:rPr>
            </w:pPr>
            <w:r>
              <w:rPr>
                <w:sz w:val="18"/>
                <w:szCs w:val="18"/>
                <w:spacing w:val="2"/>
              </w:rPr>
              <w:t>兴瀚资管－兴业“万利宝－财智人</w:t>
            </w:r>
            <w:r>
              <w:rPr>
                <w:sz w:val="18"/>
                <w:szCs w:val="18"/>
                <w:spacing w:val="3"/>
              </w:rPr>
              <w:t xml:space="preserve"> </w:t>
            </w:r>
            <w:r>
              <w:rPr>
                <w:sz w:val="18"/>
                <w:szCs w:val="18"/>
                <w:spacing w:val="-3"/>
              </w:rPr>
              <w:t>生－稳盈</w:t>
            </w:r>
            <w:r>
              <w:rPr>
                <w:sz w:val="18"/>
                <w:szCs w:val="18"/>
                <w:spacing w:val="-66"/>
              </w:rPr>
              <w:t xml:space="preserve"> </w:t>
            </w:r>
            <w:r>
              <w:rPr>
                <w:sz w:val="18"/>
                <w:szCs w:val="18"/>
                <w:spacing w:val="-3"/>
              </w:rPr>
              <w:t>”开放式理财产品</w:t>
            </w:r>
            <w:r>
              <w:rPr>
                <w:sz w:val="18"/>
                <w:szCs w:val="18"/>
                <w:spacing w:val="-38"/>
              </w:rPr>
              <w:t xml:space="preserve"> </w:t>
            </w:r>
            <w:r>
              <w:rPr>
                <w:sz w:val="18"/>
                <w:szCs w:val="18"/>
                <w:spacing w:val="-3"/>
              </w:rPr>
              <w:t>4M（兴</w:t>
            </w:r>
            <w:r>
              <w:rPr>
                <w:sz w:val="18"/>
                <w:szCs w:val="18"/>
              </w:rPr>
              <w:t xml:space="preserve"> </w:t>
            </w:r>
            <w:r>
              <w:rPr>
                <w:sz w:val="18"/>
                <w:szCs w:val="18"/>
                <w:spacing w:val="4"/>
              </w:rPr>
              <w:t>新钻名单制销售</w:t>
            </w:r>
            <w:r>
              <w:rPr>
                <w:sz w:val="18"/>
                <w:szCs w:val="18"/>
                <w:spacing w:val="-9"/>
              </w:rPr>
              <w:t>）－</w:t>
            </w:r>
            <w:r>
              <w:rPr>
                <w:sz w:val="18"/>
                <w:szCs w:val="18"/>
                <w:spacing w:val="4"/>
              </w:rPr>
              <w:t>兴瀚资管－兴</w:t>
            </w:r>
            <w:r>
              <w:rPr>
                <w:sz w:val="18"/>
                <w:szCs w:val="18"/>
              </w:rPr>
              <w:t xml:space="preserve"> </w:t>
            </w:r>
            <w:r>
              <w:rPr>
                <w:sz w:val="18"/>
                <w:szCs w:val="18"/>
                <w:spacing w:val="-3"/>
              </w:rPr>
              <w:t>元</w:t>
            </w:r>
            <w:r>
              <w:rPr>
                <w:sz w:val="18"/>
                <w:szCs w:val="18"/>
                <w:spacing w:val="-32"/>
              </w:rPr>
              <w:t xml:space="preserve"> </w:t>
            </w:r>
            <w:r>
              <w:rPr>
                <w:sz w:val="18"/>
                <w:szCs w:val="18"/>
                <w:spacing w:val="-3"/>
              </w:rPr>
              <w:t>6</w:t>
            </w:r>
            <w:r>
              <w:rPr>
                <w:sz w:val="18"/>
                <w:szCs w:val="18"/>
                <w:spacing w:val="-31"/>
              </w:rPr>
              <w:t xml:space="preserve"> </w:t>
            </w:r>
            <w:r>
              <w:rPr>
                <w:sz w:val="18"/>
                <w:szCs w:val="18"/>
                <w:spacing w:val="-3"/>
              </w:rPr>
              <w:t>号单一资产管理计划</w:t>
            </w:r>
          </w:p>
        </w:tc>
        <w:tc>
          <w:tcPr>
            <w:tcW w:w="1296" w:type="dxa"/>
            <w:vAlign w:val="top"/>
          </w:tcPr>
          <w:p>
            <w:pPr>
              <w:spacing w:line="252" w:lineRule="auto"/>
              <w:rPr>
                <w:rFonts w:ascii="Arial"/>
                <w:sz w:val="21"/>
              </w:rPr>
            </w:pPr>
            <w:r/>
          </w:p>
          <w:p>
            <w:pPr>
              <w:spacing w:line="252" w:lineRule="auto"/>
              <w:rPr>
                <w:rFonts w:ascii="Arial"/>
                <w:sz w:val="21"/>
              </w:rPr>
            </w:pPr>
            <w:r/>
          </w:p>
          <w:p>
            <w:pPr>
              <w:pStyle w:val="TableText"/>
              <w:ind w:left="155"/>
              <w:spacing w:before="58" w:line="182" w:lineRule="auto"/>
              <w:rPr>
                <w:sz w:val="18"/>
                <w:szCs w:val="18"/>
              </w:rPr>
            </w:pPr>
            <w:r>
              <w:rPr>
                <w:sz w:val="18"/>
                <w:szCs w:val="18"/>
                <w:spacing w:val="-1"/>
              </w:rPr>
              <w:t>585,651,537</w:t>
            </w:r>
          </w:p>
        </w:tc>
        <w:tc>
          <w:tcPr>
            <w:tcW w:w="1663" w:type="dxa"/>
            <w:vAlign w:val="top"/>
          </w:tcPr>
          <w:p>
            <w:pPr>
              <w:spacing w:line="252" w:lineRule="auto"/>
              <w:rPr>
                <w:rFonts w:ascii="Arial"/>
                <w:sz w:val="21"/>
              </w:rPr>
            </w:pPr>
            <w:r/>
          </w:p>
          <w:p>
            <w:pPr>
              <w:spacing w:line="252" w:lineRule="auto"/>
              <w:rPr>
                <w:rFonts w:ascii="Arial"/>
                <w:sz w:val="21"/>
              </w:rPr>
            </w:pPr>
            <w:r/>
          </w:p>
          <w:p>
            <w:pPr>
              <w:pStyle w:val="TableText"/>
              <w:ind w:left="341"/>
              <w:spacing w:before="58" w:line="182" w:lineRule="auto"/>
              <w:rPr>
                <w:sz w:val="18"/>
                <w:szCs w:val="18"/>
              </w:rPr>
            </w:pPr>
            <w:r>
              <w:rPr>
                <w:sz w:val="18"/>
                <w:szCs w:val="18"/>
                <w:spacing w:val="-1"/>
              </w:rPr>
              <w:t>585,651,537</w:t>
            </w:r>
          </w:p>
        </w:tc>
        <w:tc>
          <w:tcPr>
            <w:tcW w:w="693" w:type="dxa"/>
            <w:vAlign w:val="top"/>
          </w:tcPr>
          <w:p>
            <w:pPr>
              <w:spacing w:line="252" w:lineRule="auto"/>
              <w:rPr>
                <w:rFonts w:ascii="Arial"/>
                <w:sz w:val="21"/>
              </w:rPr>
            </w:pPr>
            <w:r/>
          </w:p>
          <w:p>
            <w:pPr>
              <w:spacing w:line="252" w:lineRule="auto"/>
              <w:rPr>
                <w:rFonts w:ascii="Arial"/>
                <w:sz w:val="21"/>
              </w:rPr>
            </w:pPr>
            <w:r/>
          </w:p>
          <w:p>
            <w:pPr>
              <w:pStyle w:val="TableText"/>
              <w:ind w:left="226"/>
              <w:spacing w:before="59" w:line="182" w:lineRule="auto"/>
              <w:rPr>
                <w:sz w:val="18"/>
                <w:szCs w:val="18"/>
              </w:rPr>
            </w:pPr>
            <w:r>
              <w:rPr>
                <w:sz w:val="18"/>
                <w:szCs w:val="18"/>
                <w:spacing w:val="-4"/>
              </w:rPr>
              <w:t>1.9</w:t>
            </w:r>
          </w:p>
        </w:tc>
        <w:tc>
          <w:tcPr>
            <w:tcW w:w="1379" w:type="dxa"/>
            <w:vAlign w:val="top"/>
          </w:tcPr>
          <w:p>
            <w:pPr>
              <w:spacing w:line="252" w:lineRule="auto"/>
              <w:rPr>
                <w:rFonts w:ascii="Arial"/>
                <w:sz w:val="21"/>
              </w:rPr>
            </w:pPr>
            <w:r/>
          </w:p>
          <w:p>
            <w:pPr>
              <w:spacing w:line="253" w:lineRule="auto"/>
              <w:rPr>
                <w:rFonts w:ascii="Arial"/>
                <w:sz w:val="21"/>
              </w:rPr>
            </w:pPr>
            <w:r/>
          </w:p>
          <w:p>
            <w:pPr>
              <w:pStyle w:val="TableText"/>
              <w:ind w:left="647"/>
              <w:spacing w:before="59" w:line="181" w:lineRule="auto"/>
              <w:rPr>
                <w:sz w:val="18"/>
                <w:szCs w:val="18"/>
              </w:rPr>
            </w:pPr>
            <w:r>
              <w:rPr>
                <w:sz w:val="18"/>
                <w:szCs w:val="18"/>
              </w:rPr>
              <w:t>0</w:t>
            </w:r>
          </w:p>
        </w:tc>
        <w:tc>
          <w:tcPr>
            <w:tcW w:w="795" w:type="dxa"/>
            <w:vAlign w:val="top"/>
          </w:tcPr>
          <w:p>
            <w:pPr>
              <w:spacing w:line="475" w:lineRule="auto"/>
              <w:rPr>
                <w:rFonts w:ascii="Arial"/>
                <w:sz w:val="21"/>
              </w:rPr>
            </w:pPr>
            <w:r/>
          </w:p>
          <w:p>
            <w:pPr>
              <w:pStyle w:val="TableText"/>
              <w:ind w:left="312"/>
              <w:spacing w:before="59" w:line="220" w:lineRule="auto"/>
              <w:rPr>
                <w:sz w:val="18"/>
                <w:szCs w:val="18"/>
              </w:rPr>
            </w:pPr>
            <w:r>
              <w:rPr>
                <w:sz w:val="18"/>
                <w:szCs w:val="18"/>
              </w:rPr>
              <w:t>无</w:t>
            </w:r>
          </w:p>
        </w:tc>
        <w:tc>
          <w:tcPr>
            <w:tcW w:w="1439" w:type="dxa"/>
            <w:vAlign w:val="top"/>
          </w:tcPr>
          <w:p>
            <w:pPr>
              <w:spacing w:line="252" w:lineRule="auto"/>
              <w:rPr>
                <w:rFonts w:ascii="Arial"/>
                <w:sz w:val="21"/>
              </w:rPr>
            </w:pPr>
            <w:r/>
          </w:p>
          <w:p>
            <w:pPr>
              <w:spacing w:line="253" w:lineRule="auto"/>
              <w:rPr>
                <w:rFonts w:ascii="Arial"/>
                <w:sz w:val="21"/>
              </w:rPr>
            </w:pPr>
            <w:r/>
          </w:p>
          <w:p>
            <w:pPr>
              <w:pStyle w:val="TableText"/>
              <w:ind w:left="679"/>
              <w:spacing w:before="59" w:line="181" w:lineRule="auto"/>
              <w:rPr>
                <w:sz w:val="18"/>
                <w:szCs w:val="18"/>
              </w:rPr>
            </w:pPr>
            <w:r>
              <w:rPr>
                <w:sz w:val="18"/>
                <w:szCs w:val="18"/>
              </w:rPr>
              <w:t>0</w:t>
            </w:r>
          </w:p>
        </w:tc>
        <w:tc>
          <w:tcPr>
            <w:tcW w:w="833" w:type="dxa"/>
            <w:vAlign w:val="top"/>
          </w:tcPr>
          <w:p>
            <w:pPr>
              <w:spacing w:line="475" w:lineRule="auto"/>
              <w:rPr>
                <w:rFonts w:ascii="Arial"/>
                <w:sz w:val="21"/>
              </w:rPr>
            </w:pPr>
            <w:r/>
          </w:p>
          <w:p>
            <w:pPr>
              <w:pStyle w:val="TableText"/>
              <w:ind w:left="240"/>
              <w:spacing w:before="59" w:line="220" w:lineRule="auto"/>
              <w:rPr>
                <w:sz w:val="18"/>
                <w:szCs w:val="18"/>
              </w:rPr>
            </w:pPr>
            <w:r>
              <w:rPr>
                <w:sz w:val="18"/>
                <w:szCs w:val="18"/>
                <w:spacing w:val="-3"/>
              </w:rPr>
              <w:t>未知</w:t>
            </w:r>
          </w:p>
        </w:tc>
      </w:tr>
      <w:tr>
        <w:trPr>
          <w:trHeight w:val="940" w:hRule="atLeast"/>
        </w:trPr>
        <w:tc>
          <w:tcPr>
            <w:tcW w:w="2968" w:type="dxa"/>
            <w:vAlign w:val="top"/>
          </w:tcPr>
          <w:p>
            <w:pPr>
              <w:pStyle w:val="TableText"/>
              <w:ind w:left="114" w:right="112" w:firstLine="2"/>
              <w:spacing w:before="64" w:line="296" w:lineRule="auto"/>
              <w:jc w:val="both"/>
              <w:rPr>
                <w:sz w:val="18"/>
                <w:szCs w:val="18"/>
              </w:rPr>
            </w:pPr>
            <w:r>
              <w:rPr>
                <w:sz w:val="18"/>
                <w:szCs w:val="18"/>
                <w:spacing w:val="2"/>
              </w:rPr>
              <w:t>嘉兴小度投资管理有限公司－宁波 </w:t>
            </w:r>
            <w:r>
              <w:rPr>
                <w:sz w:val="18"/>
                <w:szCs w:val="18"/>
                <w:spacing w:val="2"/>
              </w:rPr>
              <w:t>梅山保税港区百度鹏寰投资合伙企</w:t>
            </w:r>
            <w:r>
              <w:rPr>
                <w:sz w:val="18"/>
                <w:szCs w:val="18"/>
                <w:spacing w:val="5"/>
              </w:rPr>
              <w:t xml:space="preserve"> </w:t>
            </w:r>
            <w:r>
              <w:rPr>
                <w:sz w:val="18"/>
                <w:szCs w:val="18"/>
                <w:spacing w:val="-3"/>
              </w:rPr>
              <w:t>业（有限合伙）</w:t>
            </w:r>
          </w:p>
        </w:tc>
        <w:tc>
          <w:tcPr>
            <w:tcW w:w="1296" w:type="dxa"/>
            <w:vAlign w:val="top"/>
          </w:tcPr>
          <w:p>
            <w:pPr>
              <w:spacing w:line="345" w:lineRule="auto"/>
              <w:rPr>
                <w:rFonts w:ascii="Arial"/>
                <w:sz w:val="21"/>
              </w:rPr>
            </w:pPr>
            <w:r/>
          </w:p>
          <w:p>
            <w:pPr>
              <w:pStyle w:val="TableText"/>
              <w:ind w:left="107"/>
              <w:spacing w:before="58" w:line="182" w:lineRule="auto"/>
              <w:rPr>
                <w:sz w:val="18"/>
                <w:szCs w:val="18"/>
              </w:rPr>
            </w:pPr>
            <w:r>
              <w:rPr>
                <w:sz w:val="18"/>
                <w:szCs w:val="18"/>
                <w:spacing w:val="-1"/>
              </w:rPr>
              <w:t>-585,651,537</w:t>
            </w:r>
          </w:p>
        </w:tc>
        <w:tc>
          <w:tcPr>
            <w:tcW w:w="1663" w:type="dxa"/>
            <w:vAlign w:val="top"/>
          </w:tcPr>
          <w:p>
            <w:pPr>
              <w:spacing w:line="345" w:lineRule="auto"/>
              <w:rPr>
                <w:rFonts w:ascii="Arial"/>
                <w:sz w:val="21"/>
              </w:rPr>
            </w:pPr>
            <w:r/>
          </w:p>
          <w:p>
            <w:pPr>
              <w:pStyle w:val="TableText"/>
              <w:ind w:left="336"/>
              <w:spacing w:before="59" w:line="181" w:lineRule="auto"/>
              <w:rPr>
                <w:sz w:val="18"/>
                <w:szCs w:val="18"/>
              </w:rPr>
            </w:pPr>
            <w:r>
              <w:rPr>
                <w:sz w:val="18"/>
                <w:szCs w:val="18"/>
                <w:spacing w:val="-1"/>
              </w:rPr>
              <w:t>439,238,653</w:t>
            </w:r>
          </w:p>
        </w:tc>
        <w:tc>
          <w:tcPr>
            <w:tcW w:w="693" w:type="dxa"/>
            <w:vAlign w:val="top"/>
          </w:tcPr>
          <w:p>
            <w:pPr>
              <w:spacing w:line="345" w:lineRule="auto"/>
              <w:rPr>
                <w:rFonts w:ascii="Arial"/>
                <w:sz w:val="21"/>
              </w:rPr>
            </w:pPr>
            <w:r/>
          </w:p>
          <w:p>
            <w:pPr>
              <w:pStyle w:val="TableText"/>
              <w:ind w:left="226"/>
              <w:spacing w:before="58" w:line="182" w:lineRule="auto"/>
              <w:rPr>
                <w:sz w:val="18"/>
                <w:szCs w:val="18"/>
              </w:rPr>
            </w:pPr>
            <w:r>
              <w:rPr>
                <w:sz w:val="18"/>
                <w:szCs w:val="18"/>
                <w:spacing w:val="-4"/>
              </w:rPr>
              <w:t>1.4</w:t>
            </w:r>
          </w:p>
        </w:tc>
        <w:tc>
          <w:tcPr>
            <w:tcW w:w="1379" w:type="dxa"/>
            <w:vAlign w:val="top"/>
          </w:tcPr>
          <w:p>
            <w:pPr>
              <w:spacing w:line="346" w:lineRule="auto"/>
              <w:rPr>
                <w:rFonts w:ascii="Arial"/>
                <w:sz w:val="21"/>
              </w:rPr>
            </w:pPr>
            <w:r/>
          </w:p>
          <w:p>
            <w:pPr>
              <w:pStyle w:val="TableText"/>
              <w:ind w:left="647"/>
              <w:spacing w:before="58" w:line="181" w:lineRule="auto"/>
              <w:rPr>
                <w:sz w:val="18"/>
                <w:szCs w:val="18"/>
              </w:rPr>
            </w:pPr>
            <w:r>
              <w:rPr>
                <w:sz w:val="18"/>
                <w:szCs w:val="18"/>
              </w:rPr>
              <w:t>0</w:t>
            </w:r>
          </w:p>
        </w:tc>
        <w:tc>
          <w:tcPr>
            <w:tcW w:w="795" w:type="dxa"/>
            <w:vAlign w:val="top"/>
          </w:tcPr>
          <w:p>
            <w:pPr>
              <w:spacing w:line="316" w:lineRule="auto"/>
              <w:rPr>
                <w:rFonts w:ascii="Arial"/>
                <w:sz w:val="21"/>
              </w:rPr>
            </w:pPr>
            <w:r/>
          </w:p>
          <w:p>
            <w:pPr>
              <w:pStyle w:val="TableText"/>
              <w:ind w:left="312"/>
              <w:spacing w:before="58" w:line="220" w:lineRule="auto"/>
              <w:rPr>
                <w:sz w:val="18"/>
                <w:szCs w:val="18"/>
              </w:rPr>
            </w:pPr>
            <w:r>
              <w:rPr>
                <w:sz w:val="18"/>
                <w:szCs w:val="18"/>
              </w:rPr>
              <w:t>无</w:t>
            </w:r>
          </w:p>
        </w:tc>
        <w:tc>
          <w:tcPr>
            <w:tcW w:w="1439" w:type="dxa"/>
            <w:vAlign w:val="top"/>
          </w:tcPr>
          <w:p>
            <w:pPr>
              <w:spacing w:line="346" w:lineRule="auto"/>
              <w:rPr>
                <w:rFonts w:ascii="Arial"/>
                <w:sz w:val="21"/>
              </w:rPr>
            </w:pPr>
            <w:r/>
          </w:p>
          <w:p>
            <w:pPr>
              <w:pStyle w:val="TableText"/>
              <w:ind w:left="679"/>
              <w:spacing w:before="58" w:line="181" w:lineRule="auto"/>
              <w:rPr>
                <w:sz w:val="18"/>
                <w:szCs w:val="18"/>
              </w:rPr>
            </w:pPr>
            <w:r>
              <w:rPr>
                <w:sz w:val="18"/>
                <w:szCs w:val="18"/>
              </w:rPr>
              <w:t>0</w:t>
            </w:r>
          </w:p>
        </w:tc>
        <w:tc>
          <w:tcPr>
            <w:tcW w:w="833" w:type="dxa"/>
            <w:vAlign w:val="top"/>
          </w:tcPr>
          <w:p>
            <w:pPr>
              <w:spacing w:line="316" w:lineRule="auto"/>
              <w:rPr>
                <w:rFonts w:ascii="Arial"/>
                <w:sz w:val="21"/>
              </w:rPr>
            </w:pPr>
            <w:r/>
          </w:p>
          <w:p>
            <w:pPr>
              <w:pStyle w:val="TableText"/>
              <w:ind w:left="240"/>
              <w:spacing w:before="58" w:line="220" w:lineRule="auto"/>
              <w:rPr>
                <w:sz w:val="18"/>
                <w:szCs w:val="18"/>
              </w:rPr>
            </w:pPr>
            <w:r>
              <w:rPr>
                <w:sz w:val="18"/>
                <w:szCs w:val="18"/>
                <w:spacing w:val="-3"/>
              </w:rPr>
              <w:t>未知</w:t>
            </w:r>
          </w:p>
        </w:tc>
      </w:tr>
      <w:tr>
        <w:trPr>
          <w:trHeight w:val="316" w:hRule="atLeast"/>
        </w:trPr>
        <w:tc>
          <w:tcPr>
            <w:tcW w:w="2968" w:type="dxa"/>
            <w:vAlign w:val="top"/>
          </w:tcPr>
          <w:p>
            <w:pPr>
              <w:pStyle w:val="TableText"/>
              <w:ind w:left="131"/>
              <w:spacing w:before="64" w:line="220" w:lineRule="auto"/>
              <w:rPr>
                <w:sz w:val="18"/>
                <w:szCs w:val="18"/>
              </w:rPr>
            </w:pPr>
            <w:r>
              <w:rPr>
                <w:sz w:val="18"/>
                <w:szCs w:val="18"/>
                <w:spacing w:val="-2"/>
              </w:rPr>
              <w:t>中央汇金资产管理有限责任公司</w:t>
            </w:r>
          </w:p>
        </w:tc>
        <w:tc>
          <w:tcPr>
            <w:tcW w:w="1296" w:type="dxa"/>
            <w:vAlign w:val="top"/>
          </w:tcPr>
          <w:p>
            <w:pPr>
              <w:pStyle w:val="TableText"/>
              <w:ind w:left="605"/>
              <w:spacing w:before="95" w:line="181" w:lineRule="auto"/>
              <w:rPr>
                <w:sz w:val="18"/>
                <w:szCs w:val="18"/>
              </w:rPr>
            </w:pPr>
            <w:r>
              <w:rPr>
                <w:sz w:val="18"/>
                <w:szCs w:val="18"/>
              </w:rPr>
              <w:t>0</w:t>
            </w:r>
          </w:p>
        </w:tc>
        <w:tc>
          <w:tcPr>
            <w:tcW w:w="1663" w:type="dxa"/>
            <w:vAlign w:val="top"/>
          </w:tcPr>
          <w:p>
            <w:pPr>
              <w:pStyle w:val="TableText"/>
              <w:ind w:left="339"/>
              <w:spacing w:before="95" w:line="181" w:lineRule="auto"/>
              <w:rPr>
                <w:sz w:val="18"/>
                <w:szCs w:val="18"/>
              </w:rPr>
            </w:pPr>
            <w:r>
              <w:rPr>
                <w:sz w:val="18"/>
                <w:szCs w:val="18"/>
                <w:spacing w:val="-1"/>
              </w:rPr>
              <w:t>288,488,300</w:t>
            </w:r>
          </w:p>
        </w:tc>
        <w:tc>
          <w:tcPr>
            <w:tcW w:w="693" w:type="dxa"/>
            <w:vAlign w:val="top"/>
          </w:tcPr>
          <w:p>
            <w:pPr>
              <w:pStyle w:val="TableText"/>
              <w:ind w:left="214"/>
              <w:spacing w:before="95" w:line="181" w:lineRule="auto"/>
              <w:rPr>
                <w:sz w:val="18"/>
                <w:szCs w:val="18"/>
              </w:rPr>
            </w:pPr>
            <w:r>
              <w:rPr>
                <w:sz w:val="18"/>
                <w:szCs w:val="18"/>
                <w:spacing w:val="-2"/>
              </w:rPr>
              <w:t>0.9</w:t>
            </w:r>
          </w:p>
        </w:tc>
        <w:tc>
          <w:tcPr>
            <w:tcW w:w="1379" w:type="dxa"/>
            <w:vAlign w:val="top"/>
          </w:tcPr>
          <w:p>
            <w:pPr>
              <w:pStyle w:val="TableText"/>
              <w:ind w:left="647"/>
              <w:spacing w:before="95" w:line="181" w:lineRule="auto"/>
              <w:rPr>
                <w:sz w:val="18"/>
                <w:szCs w:val="18"/>
              </w:rPr>
            </w:pPr>
            <w:r>
              <w:rPr>
                <w:sz w:val="18"/>
                <w:szCs w:val="18"/>
              </w:rPr>
              <w:t>0</w:t>
            </w:r>
          </w:p>
        </w:tc>
        <w:tc>
          <w:tcPr>
            <w:tcW w:w="795" w:type="dxa"/>
            <w:vAlign w:val="top"/>
          </w:tcPr>
          <w:p>
            <w:pPr>
              <w:pStyle w:val="TableText"/>
              <w:ind w:left="312"/>
              <w:spacing w:before="65" w:line="220" w:lineRule="auto"/>
              <w:rPr>
                <w:sz w:val="18"/>
                <w:szCs w:val="18"/>
              </w:rPr>
            </w:pPr>
            <w:r>
              <w:rPr>
                <w:sz w:val="18"/>
                <w:szCs w:val="18"/>
              </w:rPr>
              <w:t>无</w:t>
            </w:r>
          </w:p>
        </w:tc>
        <w:tc>
          <w:tcPr>
            <w:tcW w:w="1439" w:type="dxa"/>
            <w:vAlign w:val="top"/>
          </w:tcPr>
          <w:p>
            <w:pPr>
              <w:pStyle w:val="TableText"/>
              <w:ind w:left="679"/>
              <w:spacing w:before="95" w:line="181" w:lineRule="auto"/>
              <w:rPr>
                <w:sz w:val="18"/>
                <w:szCs w:val="18"/>
              </w:rPr>
            </w:pPr>
            <w:r>
              <w:rPr>
                <w:sz w:val="18"/>
                <w:szCs w:val="18"/>
              </w:rPr>
              <w:t>0</w:t>
            </w:r>
          </w:p>
        </w:tc>
        <w:tc>
          <w:tcPr>
            <w:tcW w:w="833" w:type="dxa"/>
            <w:vAlign w:val="top"/>
          </w:tcPr>
          <w:p>
            <w:pPr>
              <w:pStyle w:val="TableText"/>
              <w:ind w:left="240"/>
              <w:spacing w:before="65" w:line="220" w:lineRule="auto"/>
              <w:rPr>
                <w:sz w:val="18"/>
                <w:szCs w:val="18"/>
              </w:rPr>
            </w:pPr>
            <w:r>
              <w:rPr>
                <w:sz w:val="18"/>
                <w:szCs w:val="18"/>
                <w:spacing w:val="-3"/>
              </w:rPr>
              <w:t>未知</w:t>
            </w:r>
          </w:p>
        </w:tc>
      </w:tr>
      <w:tr>
        <w:trPr>
          <w:trHeight w:val="1564" w:hRule="atLeast"/>
        </w:trPr>
        <w:tc>
          <w:tcPr>
            <w:tcW w:w="11066" w:type="dxa"/>
            <w:vAlign w:val="top"/>
            <w:gridSpan w:val="8"/>
          </w:tcPr>
          <w:p>
            <w:pPr>
              <w:pStyle w:val="TableText"/>
              <w:ind w:left="128" w:right="110" w:hanging="14"/>
              <w:spacing w:before="222" w:line="306" w:lineRule="auto"/>
              <w:rPr>
                <w:sz w:val="18"/>
                <w:szCs w:val="18"/>
              </w:rPr>
            </w:pPr>
            <w:r>
              <w:rPr>
                <w:sz w:val="18"/>
                <w:szCs w:val="18"/>
                <w:spacing w:val="-2"/>
              </w:rPr>
              <w:t>注：1.上表数据来源于中国证券登记结算有限责任公司上海分公司（简称“中国结算”）</w:t>
            </w:r>
            <w:r>
              <w:rPr>
                <w:sz w:val="18"/>
                <w:szCs w:val="18"/>
                <w:spacing w:val="-3"/>
              </w:rPr>
              <w:t>提供的合并普通账户和融资融券信用账户股东名册</w:t>
            </w:r>
            <w:r>
              <w:rPr>
                <w:sz w:val="18"/>
                <w:szCs w:val="18"/>
              </w:rPr>
              <w:t xml:space="preserve"> </w:t>
            </w:r>
            <w:r>
              <w:rPr>
                <w:sz w:val="18"/>
                <w:szCs w:val="18"/>
                <w:spacing w:val="-8"/>
              </w:rPr>
              <w:t>的前十大股东信息（简称“本次前十大股东信息”）。</w:t>
            </w:r>
          </w:p>
          <w:p>
            <w:pPr>
              <w:pStyle w:val="TableText"/>
              <w:ind w:left="127" w:right="105" w:hanging="11"/>
              <w:spacing w:before="26" w:line="306" w:lineRule="auto"/>
              <w:rPr>
                <w:sz w:val="18"/>
                <w:szCs w:val="18"/>
              </w:rPr>
            </w:pPr>
            <w:r>
              <w:rPr>
                <w:sz w:val="18"/>
                <w:szCs w:val="18"/>
                <w:spacing w:val="-3"/>
              </w:rPr>
              <w:t>2.报告期内，公司</w:t>
            </w:r>
            <w:r>
              <w:rPr>
                <w:sz w:val="18"/>
                <w:szCs w:val="18"/>
                <w:spacing w:val="-29"/>
              </w:rPr>
              <w:t xml:space="preserve"> </w:t>
            </w:r>
            <w:r>
              <w:rPr>
                <w:sz w:val="18"/>
                <w:szCs w:val="18"/>
                <w:spacing w:val="-3"/>
              </w:rPr>
              <w:t>2017</w:t>
            </w:r>
            <w:r>
              <w:rPr>
                <w:sz w:val="18"/>
                <w:szCs w:val="18"/>
                <w:spacing w:val="-35"/>
              </w:rPr>
              <w:t xml:space="preserve"> </w:t>
            </w:r>
            <w:r>
              <w:rPr>
                <w:sz w:val="18"/>
                <w:szCs w:val="18"/>
                <w:spacing w:val="-3"/>
              </w:rPr>
              <w:t>年非公开发行的限售股于</w:t>
            </w:r>
            <w:r>
              <w:rPr>
                <w:sz w:val="18"/>
                <w:szCs w:val="18"/>
                <w:spacing w:val="-36"/>
              </w:rPr>
              <w:t xml:space="preserve"> </w:t>
            </w:r>
            <w:r>
              <w:rPr>
                <w:sz w:val="18"/>
                <w:szCs w:val="18"/>
                <w:spacing w:val="-3"/>
              </w:rPr>
              <w:t>2020</w:t>
            </w:r>
            <w:r>
              <w:rPr>
                <w:sz w:val="18"/>
                <w:szCs w:val="18"/>
                <w:spacing w:val="-37"/>
              </w:rPr>
              <w:t xml:space="preserve"> </w:t>
            </w:r>
            <w:r>
              <w:rPr>
                <w:sz w:val="18"/>
                <w:szCs w:val="18"/>
                <w:spacing w:val="-3"/>
              </w:rPr>
              <w:t>年</w:t>
            </w:r>
            <w:r>
              <w:rPr>
                <w:sz w:val="18"/>
                <w:szCs w:val="18"/>
                <w:spacing w:val="-24"/>
              </w:rPr>
              <w:t xml:space="preserve"> </w:t>
            </w:r>
            <w:r>
              <w:rPr>
                <w:sz w:val="18"/>
                <w:szCs w:val="18"/>
                <w:spacing w:val="-3"/>
              </w:rPr>
              <w:t>10</w:t>
            </w:r>
            <w:r>
              <w:rPr>
                <w:sz w:val="18"/>
                <w:szCs w:val="18"/>
                <w:spacing w:val="-34"/>
              </w:rPr>
              <w:t xml:space="preserve"> </w:t>
            </w:r>
            <w:r>
              <w:rPr>
                <w:sz w:val="18"/>
                <w:szCs w:val="18"/>
                <w:spacing w:val="-3"/>
              </w:rPr>
              <w:t>月</w:t>
            </w:r>
            <w:r>
              <w:rPr>
                <w:sz w:val="18"/>
                <w:szCs w:val="18"/>
                <w:spacing w:val="-34"/>
              </w:rPr>
              <w:t xml:space="preserve"> </w:t>
            </w:r>
            <w:r>
              <w:rPr>
                <w:sz w:val="18"/>
                <w:szCs w:val="18"/>
                <w:spacing w:val="-3"/>
              </w:rPr>
              <w:t>31 日上市流通（由于周末休息日原因，本次限售股上市日期顺延至</w:t>
            </w:r>
            <w:r>
              <w:rPr>
                <w:sz w:val="18"/>
                <w:szCs w:val="18"/>
                <w:spacing w:val="-35"/>
              </w:rPr>
              <w:t xml:space="preserve"> </w:t>
            </w:r>
            <w:r>
              <w:rPr>
                <w:sz w:val="18"/>
                <w:szCs w:val="18"/>
                <w:spacing w:val="-3"/>
              </w:rPr>
              <w:t>2020</w:t>
            </w:r>
            <w:r>
              <w:rPr>
                <w:sz w:val="18"/>
                <w:szCs w:val="18"/>
                <w:spacing w:val="-35"/>
              </w:rPr>
              <w:t xml:space="preserve"> </w:t>
            </w:r>
            <w:r>
              <w:rPr>
                <w:sz w:val="18"/>
                <w:szCs w:val="18"/>
                <w:spacing w:val="-3"/>
              </w:rPr>
              <w:t>年</w:t>
            </w:r>
            <w:r>
              <w:rPr>
                <w:sz w:val="18"/>
                <w:szCs w:val="18"/>
              </w:rPr>
              <w:t xml:space="preserve"> </w:t>
            </w:r>
            <w:r>
              <w:rPr>
                <w:sz w:val="18"/>
                <w:szCs w:val="18"/>
                <w:spacing w:val="-4"/>
              </w:rPr>
              <w:t>11</w:t>
            </w:r>
            <w:r>
              <w:rPr>
                <w:sz w:val="18"/>
                <w:szCs w:val="18"/>
                <w:spacing w:val="-32"/>
              </w:rPr>
              <w:t xml:space="preserve"> </w:t>
            </w:r>
            <w:r>
              <w:rPr>
                <w:sz w:val="18"/>
                <w:szCs w:val="18"/>
                <w:spacing w:val="-4"/>
              </w:rPr>
              <w:t>月</w:t>
            </w:r>
            <w:r>
              <w:rPr>
                <w:sz w:val="18"/>
                <w:szCs w:val="18"/>
                <w:spacing w:val="-38"/>
              </w:rPr>
              <w:t xml:space="preserve"> </w:t>
            </w:r>
            <w:r>
              <w:rPr>
                <w:sz w:val="18"/>
                <w:szCs w:val="18"/>
                <w:spacing w:val="-4"/>
              </w:rPr>
              <w:t>2 日</w:t>
            </w:r>
            <w:r>
              <w:rPr>
                <w:sz w:val="18"/>
                <w:szCs w:val="18"/>
                <w:spacing w:val="-47"/>
                <w:w w:val="98"/>
              </w:rPr>
              <w:t>），</w:t>
            </w:r>
            <w:r>
              <w:rPr>
                <w:sz w:val="18"/>
                <w:szCs w:val="18"/>
                <w:spacing w:val="-4"/>
              </w:rPr>
              <w:t>流通数量为</w:t>
            </w:r>
            <w:r>
              <w:rPr>
                <w:sz w:val="18"/>
                <w:szCs w:val="18"/>
                <w:spacing w:val="-27"/>
              </w:rPr>
              <w:t xml:space="preserve"> </w:t>
            </w:r>
            <w:r>
              <w:rPr>
                <w:sz w:val="18"/>
                <w:szCs w:val="18"/>
                <w:spacing w:val="-4"/>
              </w:rPr>
              <w:t>9,037,354,2</w:t>
            </w:r>
            <w:r>
              <w:rPr>
                <w:sz w:val="18"/>
                <w:szCs w:val="18"/>
                <w:spacing w:val="-5"/>
              </w:rPr>
              <w:t>92</w:t>
            </w:r>
            <w:r>
              <w:rPr>
                <w:sz w:val="18"/>
                <w:szCs w:val="18"/>
                <w:spacing w:val="-35"/>
              </w:rPr>
              <w:t xml:space="preserve"> </w:t>
            </w:r>
            <w:r>
              <w:rPr>
                <w:sz w:val="18"/>
                <w:szCs w:val="18"/>
                <w:spacing w:val="-5"/>
              </w:rPr>
              <w:t>股。</w:t>
            </w:r>
          </w:p>
        </w:tc>
      </w:tr>
      <w:tr>
        <w:trPr>
          <w:trHeight w:val="2499" w:hRule="atLeast"/>
        </w:trPr>
        <w:tc>
          <w:tcPr>
            <w:tcW w:w="4264" w:type="dxa"/>
            <w:vAlign w:val="top"/>
            <w:gridSpan w:val="2"/>
          </w:tcPr>
          <w:p>
            <w:pPr>
              <w:pStyle w:val="TableText"/>
              <w:ind w:left="117"/>
              <w:spacing w:before="209" w:line="221" w:lineRule="auto"/>
              <w:rPr/>
            </w:pPr>
            <w:r>
              <w:rPr>
                <w:spacing w:val="-1"/>
              </w:rPr>
              <w:t>上述股东关联关系或一致行动的说明</w:t>
            </w:r>
          </w:p>
        </w:tc>
        <w:tc>
          <w:tcPr>
            <w:tcW w:w="6802" w:type="dxa"/>
            <w:vAlign w:val="top"/>
            <w:gridSpan w:val="6"/>
          </w:tcPr>
          <w:p>
            <w:pPr>
              <w:pStyle w:val="TableText"/>
              <w:ind w:left="122"/>
              <w:spacing w:before="222" w:line="219" w:lineRule="auto"/>
              <w:rPr>
                <w:sz w:val="18"/>
                <w:szCs w:val="18"/>
              </w:rPr>
            </w:pPr>
            <w:r>
              <w:rPr>
                <w:sz w:val="18"/>
                <w:szCs w:val="18"/>
                <w:spacing w:val="-2"/>
              </w:rPr>
              <w:t>1.中国联合网络通信集团有限公司为本公司控股股东。</w:t>
            </w:r>
          </w:p>
          <w:p>
            <w:pPr>
              <w:pStyle w:val="TableText"/>
              <w:ind w:left="111" w:right="111"/>
              <w:spacing w:before="98" w:line="307" w:lineRule="auto"/>
              <w:rPr>
                <w:sz w:val="18"/>
                <w:szCs w:val="18"/>
              </w:rPr>
            </w:pPr>
            <w:r>
              <w:rPr>
                <w:sz w:val="18"/>
                <w:szCs w:val="18"/>
                <w:spacing w:val="-2"/>
              </w:rPr>
              <w:t>2.本公司未知前十名股东之间是否存在《上海证券交易所股</w:t>
            </w:r>
            <w:r>
              <w:rPr>
                <w:sz w:val="18"/>
                <w:szCs w:val="18"/>
                <w:spacing w:val="-3"/>
              </w:rPr>
              <w:t>票上市规则》规定的关联</w:t>
            </w:r>
            <w:r>
              <w:rPr>
                <w:sz w:val="18"/>
                <w:szCs w:val="18"/>
              </w:rPr>
              <w:t xml:space="preserve"> </w:t>
            </w:r>
            <w:r>
              <w:rPr>
                <w:sz w:val="18"/>
                <w:szCs w:val="18"/>
                <w:spacing w:val="-1"/>
              </w:rPr>
              <w:t>关系或构成《上市公司收购管理办法》规定的</w:t>
            </w:r>
            <w:r>
              <w:rPr>
                <w:sz w:val="18"/>
                <w:szCs w:val="18"/>
                <w:spacing w:val="-2"/>
              </w:rPr>
              <w:t>一致行动人。</w:t>
            </w:r>
          </w:p>
          <w:p>
            <w:pPr>
              <w:pStyle w:val="TableText"/>
              <w:ind w:left="110" w:right="41" w:firstLine="2"/>
              <w:spacing w:before="25" w:line="307" w:lineRule="auto"/>
              <w:rPr>
                <w:sz w:val="18"/>
                <w:szCs w:val="18"/>
              </w:rPr>
            </w:pPr>
            <w:r>
              <w:rPr>
                <w:sz w:val="18"/>
                <w:szCs w:val="18"/>
              </w:rPr>
              <w:t>3.本公司未知前十名无限售条件股东之间</w:t>
            </w:r>
            <w:r>
              <w:rPr>
                <w:sz w:val="18"/>
                <w:szCs w:val="18"/>
                <w:spacing w:val="-1"/>
              </w:rPr>
              <w:t>是否存在《上海证券交易所股票上市规则》</w:t>
            </w:r>
            <w:r>
              <w:rPr>
                <w:sz w:val="18"/>
                <w:szCs w:val="18"/>
              </w:rPr>
              <w:t xml:space="preserve"> </w:t>
            </w:r>
            <w:r>
              <w:rPr>
                <w:sz w:val="18"/>
                <w:szCs w:val="18"/>
                <w:spacing w:val="-1"/>
              </w:rPr>
              <w:t>规定的关联关系或构成《上市公司收购管理办法》规定的一致行动人。</w:t>
            </w:r>
          </w:p>
          <w:p>
            <w:pPr>
              <w:pStyle w:val="TableText"/>
              <w:ind w:left="110" w:right="60" w:hanging="2"/>
              <w:spacing w:before="25" w:line="307" w:lineRule="auto"/>
              <w:rPr>
                <w:sz w:val="18"/>
                <w:szCs w:val="18"/>
              </w:rPr>
            </w:pPr>
            <w:r>
              <w:rPr>
                <w:sz w:val="18"/>
                <w:szCs w:val="18"/>
                <w:spacing w:val="-2"/>
              </w:rPr>
              <w:t>4.本公司未知前十名无限售条件股东和前十</w:t>
            </w:r>
            <w:r>
              <w:rPr>
                <w:sz w:val="18"/>
                <w:szCs w:val="18"/>
                <w:spacing w:val="-3"/>
              </w:rPr>
              <w:t>名股东之间是否存在《上海证券交易所股</w:t>
            </w:r>
            <w:r>
              <w:rPr>
                <w:sz w:val="18"/>
                <w:szCs w:val="18"/>
              </w:rPr>
              <w:t xml:space="preserve"> </w:t>
            </w:r>
            <w:r>
              <w:rPr>
                <w:sz w:val="18"/>
                <w:szCs w:val="18"/>
                <w:spacing w:val="-1"/>
              </w:rPr>
              <w:t>票上市规则》规定的关联关系或构成《上市公司收购管理办法》规定的一致行动人。</w:t>
            </w:r>
          </w:p>
        </w:tc>
      </w:tr>
      <w:tr>
        <w:trPr>
          <w:trHeight w:val="323" w:hRule="atLeast"/>
        </w:trPr>
        <w:tc>
          <w:tcPr>
            <w:tcW w:w="4264" w:type="dxa"/>
            <w:vAlign w:val="top"/>
            <w:gridSpan w:val="2"/>
          </w:tcPr>
          <w:p>
            <w:pPr>
              <w:pStyle w:val="TableText"/>
              <w:ind w:left="115"/>
              <w:spacing w:before="57" w:line="221" w:lineRule="auto"/>
              <w:rPr/>
            </w:pPr>
            <w:r>
              <w:rPr>
                <w:spacing w:val="-1"/>
              </w:rPr>
              <w:t>表决权恢复的优先股股东及持股数量的说明</w:t>
            </w:r>
          </w:p>
        </w:tc>
        <w:tc>
          <w:tcPr>
            <w:tcW w:w="6802" w:type="dxa"/>
            <w:vAlign w:val="top"/>
            <w:gridSpan w:val="6"/>
          </w:tcPr>
          <w:p>
            <w:pPr>
              <w:pStyle w:val="TableText"/>
              <w:ind w:left="114"/>
              <w:spacing w:before="58" w:line="222" w:lineRule="auto"/>
              <w:rPr/>
            </w:pPr>
            <w:r>
              <w:rPr>
                <w:spacing w:val="-2"/>
              </w:rPr>
              <w:t>不适用</w:t>
            </w:r>
          </w:p>
        </w:tc>
      </w:tr>
    </w:tbl>
    <w:p>
      <w:pPr>
        <w:spacing w:line="369" w:lineRule="auto"/>
        <w:rPr>
          <w:rFonts w:ascii="Arial"/>
          <w:sz w:val="21"/>
        </w:rPr>
      </w:pPr>
      <w:r/>
    </w:p>
    <w:p>
      <w:pPr>
        <w:pStyle w:val="BodyText"/>
        <w:ind w:left="864"/>
        <w:spacing w:before="68" w:line="221" w:lineRule="auto"/>
        <w:rPr/>
      </w:pPr>
      <w:r>
        <w:rPr>
          <w:b/>
          <w:bCs/>
          <w:spacing w:val="-2"/>
        </w:rPr>
        <w:t>4.2</w:t>
      </w:r>
      <w:r>
        <w:rPr>
          <w:spacing w:val="-2"/>
        </w:rPr>
        <w:t xml:space="preserve"> </w:t>
      </w:r>
      <w:r>
        <w:rPr>
          <w:b/>
          <w:bCs/>
          <w:spacing w:val="-2"/>
        </w:rPr>
        <w:t>公司与控股股东之间的产权及控制关系的方框图</w:t>
      </w:r>
    </w:p>
    <w:p>
      <w:pPr>
        <w:pStyle w:val="BodyText"/>
        <w:ind w:left="917"/>
        <w:spacing w:before="140" w:line="222" w:lineRule="auto"/>
        <w:rPr/>
      </w:pPr>
      <w:r>
        <w:rPr>
          <w:spacing w:val="-13"/>
        </w:rPr>
        <w:t>√适用</w:t>
      </w:r>
      <w:r>
        <w:rPr>
          <w:spacing w:val="16"/>
        </w:rPr>
        <w:t xml:space="preserve">  </w:t>
      </w:r>
      <w:r>
        <w:rPr>
          <w:spacing w:val="-13"/>
        </w:rPr>
        <w:t>□不适用</w:t>
      </w:r>
    </w:p>
    <w:p>
      <w:pPr>
        <w:ind w:firstLine="856"/>
        <w:spacing w:before="153" w:line="5009" w:lineRule="exact"/>
        <w:rPr/>
      </w:pPr>
      <w:r>
        <w:rPr>
          <w:position w:val="-100"/>
        </w:rPr>
        <w:drawing>
          <wp:inline distT="0" distB="0" distL="0" distR="0">
            <wp:extent cx="5850890" cy="3180714"/>
            <wp:effectExtent l="0" t="0" r="0" b="0"/>
            <wp:docPr id="12" name="IM 12"/>
            <wp:cNvGraphicFramePr/>
            <a:graphic>
              <a:graphicData uri="http://schemas.openxmlformats.org/drawingml/2006/picture">
                <pic:pic>
                  <pic:nvPicPr>
                    <pic:cNvPr id="12" name="IM 12"/>
                    <pic:cNvPicPr/>
                  </pic:nvPicPr>
                  <pic:blipFill>
                    <a:blip r:embed="rId11"/>
                    <a:stretch>
                      <a:fillRect/>
                    </a:stretch>
                  </pic:blipFill>
                  <pic:spPr>
                    <a:xfrm rot="0">
                      <a:off x="0" y="0"/>
                      <a:ext cx="5850890" cy="3180714"/>
                    </a:xfrm>
                    <a:prstGeom prst="rect">
                      <a:avLst/>
                    </a:prstGeom>
                  </pic:spPr>
                </pic:pic>
              </a:graphicData>
            </a:graphic>
          </wp:inline>
        </w:drawing>
      </w:r>
    </w:p>
    <w:p>
      <w:pPr>
        <w:spacing w:line="5009" w:lineRule="exact"/>
        <w:sectPr>
          <w:footerReference w:type="default" r:id="rId10"/>
          <w:pgSz w:w="11907" w:h="16839"/>
          <w:pgMar w:top="1377" w:right="273" w:bottom="1374" w:left="561" w:header="837" w:footer="1212" w:gutter="0"/>
        </w:sectPr>
        <w:rPr/>
      </w:pPr>
    </w:p>
    <w:p>
      <w:pPr>
        <w:pStyle w:val="BodyText"/>
        <w:ind w:left="37"/>
        <w:spacing w:before="203" w:line="225" w:lineRule="auto"/>
        <w:rPr/>
      </w:pPr>
      <w:r>
        <w:rPr>
          <w:spacing w:val="-14"/>
        </w:rPr>
        <w:t>注：</w:t>
      </w:r>
    </w:p>
    <w:p>
      <w:pPr>
        <w:pStyle w:val="BodyText"/>
        <w:ind w:left="46"/>
        <w:spacing w:before="56" w:line="221" w:lineRule="auto"/>
        <w:rPr/>
      </w:pPr>
      <w:r>
        <w:rPr>
          <w:rFonts w:ascii="Calibri" w:hAnsi="Calibri" w:eastAsia="Calibri" w:cs="Calibri"/>
          <w:spacing w:val="-7"/>
        </w:rPr>
        <w:t>1.</w:t>
      </w:r>
      <w:r>
        <w:rPr>
          <w:rFonts w:ascii="Calibri" w:hAnsi="Calibri" w:eastAsia="Calibri" w:cs="Calibri"/>
          <w:spacing w:val="24"/>
          <w:w w:val="101"/>
        </w:rPr>
        <w:t xml:space="preserve">  </w:t>
      </w:r>
      <w:r>
        <w:rPr>
          <w:spacing w:val="-7"/>
        </w:rPr>
        <w:t>数据截至</w:t>
      </w:r>
      <w:r>
        <w:rPr>
          <w:spacing w:val="-43"/>
        </w:rPr>
        <w:t xml:space="preserve"> </w:t>
      </w:r>
      <w:r>
        <w:rPr>
          <w:rFonts w:ascii="Calibri" w:hAnsi="Calibri" w:eastAsia="Calibri" w:cs="Calibri"/>
          <w:spacing w:val="-7"/>
        </w:rPr>
        <w:t>2020</w:t>
      </w:r>
      <w:r>
        <w:rPr>
          <w:rFonts w:ascii="Calibri" w:hAnsi="Calibri" w:eastAsia="Calibri" w:cs="Calibri"/>
          <w:spacing w:val="13"/>
        </w:rPr>
        <w:t xml:space="preserve"> </w:t>
      </w:r>
      <w:r>
        <w:rPr>
          <w:spacing w:val="-7"/>
        </w:rPr>
        <w:t>年</w:t>
      </w:r>
      <w:r>
        <w:rPr>
          <w:spacing w:val="-37"/>
        </w:rPr>
        <w:t xml:space="preserve"> </w:t>
      </w:r>
      <w:r>
        <w:rPr>
          <w:rFonts w:ascii="Calibri" w:hAnsi="Calibri" w:eastAsia="Calibri" w:cs="Calibri"/>
          <w:spacing w:val="-7"/>
        </w:rPr>
        <w:t>12</w:t>
      </w:r>
      <w:r>
        <w:rPr>
          <w:rFonts w:ascii="Calibri" w:hAnsi="Calibri" w:eastAsia="Calibri" w:cs="Calibri"/>
          <w:spacing w:val="17"/>
          <w:w w:val="101"/>
        </w:rPr>
        <w:t xml:space="preserve"> </w:t>
      </w:r>
      <w:r>
        <w:rPr>
          <w:spacing w:val="-7"/>
        </w:rPr>
        <w:t>月</w:t>
      </w:r>
      <w:r>
        <w:rPr>
          <w:spacing w:val="-43"/>
        </w:rPr>
        <w:t xml:space="preserve"> </w:t>
      </w:r>
      <w:r>
        <w:rPr>
          <w:rFonts w:ascii="Calibri" w:hAnsi="Calibri" w:eastAsia="Calibri" w:cs="Calibri"/>
          <w:spacing w:val="-7"/>
        </w:rPr>
        <w:t>31  </w:t>
      </w:r>
      <w:r>
        <w:rPr>
          <w:spacing w:val="-7"/>
        </w:rPr>
        <w:t>日；</w:t>
      </w:r>
    </w:p>
    <w:p>
      <w:pPr>
        <w:pStyle w:val="BodyText"/>
        <w:ind w:left="319" w:right="297" w:hanging="279"/>
        <w:spacing w:before="62" w:line="247" w:lineRule="auto"/>
        <w:rPr/>
      </w:pPr>
      <w:r>
        <w:rPr>
          <w:rFonts w:ascii="Calibri" w:hAnsi="Calibri" w:eastAsia="Calibri" w:cs="Calibri"/>
          <w:spacing w:val="-1"/>
        </w:rPr>
        <w:t>2.</w:t>
      </w:r>
      <w:r>
        <w:rPr>
          <w:rFonts w:ascii="Calibri" w:hAnsi="Calibri" w:eastAsia="Calibri" w:cs="Calibri"/>
          <w:spacing w:val="21"/>
        </w:rPr>
        <w:t xml:space="preserve">  </w:t>
      </w:r>
      <w:r>
        <w:rPr>
          <w:spacing w:val="-1"/>
        </w:rPr>
        <w:t>公司混合所有制改革引入的战略投资者</w:t>
      </w:r>
      <w:r>
        <w:rPr>
          <w:spacing w:val="-43"/>
        </w:rPr>
        <w:t xml:space="preserve"> </w:t>
      </w:r>
      <w:r>
        <w:rPr>
          <w:rFonts w:ascii="Calibri" w:hAnsi="Calibri" w:eastAsia="Calibri" w:cs="Calibri"/>
          <w:spacing w:val="-1"/>
        </w:rPr>
        <w:t>201</w:t>
      </w:r>
      <w:r>
        <w:rPr>
          <w:rFonts w:ascii="Calibri" w:hAnsi="Calibri" w:eastAsia="Calibri" w:cs="Calibri"/>
          <w:spacing w:val="-2"/>
        </w:rPr>
        <w:t>7</w:t>
      </w:r>
      <w:r>
        <w:rPr>
          <w:rFonts w:ascii="Calibri" w:hAnsi="Calibri" w:eastAsia="Calibri" w:cs="Calibri"/>
          <w:spacing w:val="15"/>
          <w:w w:val="101"/>
        </w:rPr>
        <w:t xml:space="preserve"> </w:t>
      </w:r>
      <w:r>
        <w:rPr>
          <w:spacing w:val="-2"/>
        </w:rPr>
        <w:t>年通过非公开发行及老股转让取得股份共约</w:t>
      </w:r>
      <w:r>
        <w:rPr>
          <w:spacing w:val="-34"/>
        </w:rPr>
        <w:t xml:space="preserve"> </w:t>
      </w:r>
      <w:r>
        <w:rPr>
          <w:rFonts w:ascii="Calibri" w:hAnsi="Calibri" w:eastAsia="Calibri" w:cs="Calibri"/>
          <w:spacing w:val="-2"/>
        </w:rPr>
        <w:t>109</w:t>
      </w:r>
      <w:r>
        <w:rPr>
          <w:rFonts w:ascii="Calibri" w:hAnsi="Calibri" w:eastAsia="Calibri" w:cs="Calibri"/>
          <w:spacing w:val="15"/>
          <w:w w:val="101"/>
        </w:rPr>
        <w:t xml:space="preserve"> </w:t>
      </w:r>
      <w:r>
        <w:rPr>
          <w:spacing w:val="-2"/>
        </w:rPr>
        <w:t>亿</w:t>
      </w:r>
      <w:r>
        <w:rPr/>
        <w:t xml:space="preserve"> </w:t>
      </w:r>
      <w:r>
        <w:rPr>
          <w:spacing w:val="-3"/>
        </w:rPr>
        <w:t>股，该股份已于</w:t>
      </w:r>
      <w:r>
        <w:rPr>
          <w:spacing w:val="-43"/>
        </w:rPr>
        <w:t xml:space="preserve"> </w:t>
      </w:r>
      <w:r>
        <w:rPr>
          <w:rFonts w:ascii="Calibri" w:hAnsi="Calibri" w:eastAsia="Calibri" w:cs="Calibri"/>
          <w:spacing w:val="-3"/>
        </w:rPr>
        <w:t>2020</w:t>
      </w:r>
      <w:r>
        <w:rPr>
          <w:rFonts w:ascii="Calibri" w:hAnsi="Calibri" w:eastAsia="Calibri" w:cs="Calibri"/>
          <w:spacing w:val="15"/>
          <w:w w:val="101"/>
        </w:rPr>
        <w:t xml:space="preserve"> </w:t>
      </w:r>
      <w:r>
        <w:rPr>
          <w:spacing w:val="-3"/>
        </w:rPr>
        <w:t>年</w:t>
      </w:r>
      <w:r>
        <w:rPr>
          <w:spacing w:val="-36"/>
        </w:rPr>
        <w:t xml:space="preserve"> </w:t>
      </w:r>
      <w:r>
        <w:rPr>
          <w:rFonts w:ascii="Calibri" w:hAnsi="Calibri" w:eastAsia="Calibri" w:cs="Calibri"/>
          <w:spacing w:val="-3"/>
        </w:rPr>
        <w:t>11</w:t>
      </w:r>
      <w:r>
        <w:rPr>
          <w:rFonts w:ascii="Calibri" w:hAnsi="Calibri" w:eastAsia="Calibri" w:cs="Calibri"/>
          <w:spacing w:val="19"/>
          <w:w w:val="101"/>
        </w:rPr>
        <w:t xml:space="preserve"> </w:t>
      </w:r>
      <w:r>
        <w:rPr>
          <w:spacing w:val="-3"/>
        </w:rPr>
        <w:t>月解除限售；</w:t>
      </w:r>
    </w:p>
    <w:p>
      <w:pPr>
        <w:pStyle w:val="BodyText"/>
        <w:ind w:left="342" w:right="90" w:hanging="303"/>
        <w:spacing w:before="62" w:line="247" w:lineRule="auto"/>
        <w:rPr/>
      </w:pPr>
      <w:r>
        <w:rPr>
          <w:rFonts w:ascii="Calibri" w:hAnsi="Calibri" w:eastAsia="Calibri" w:cs="Calibri"/>
          <w:spacing w:val="-2"/>
        </w:rPr>
        <w:t>3.</w:t>
      </w:r>
      <w:r>
        <w:rPr>
          <w:rFonts w:ascii="Calibri" w:hAnsi="Calibri" w:eastAsia="Calibri" w:cs="Calibri"/>
          <w:spacing w:val="21"/>
        </w:rPr>
        <w:t xml:space="preserve">  </w:t>
      </w:r>
      <w:r>
        <w:rPr>
          <w:spacing w:val="-2"/>
        </w:rPr>
        <w:t>公司根据限制性股票激励计划首期授予方案向核心员工共授予约</w:t>
      </w:r>
      <w:r>
        <w:rPr>
          <w:spacing w:val="-47"/>
        </w:rPr>
        <w:t xml:space="preserve"> </w:t>
      </w:r>
      <w:r>
        <w:rPr>
          <w:rFonts w:ascii="Calibri" w:hAnsi="Calibri" w:eastAsia="Calibri" w:cs="Calibri"/>
          <w:spacing w:val="-2"/>
        </w:rPr>
        <w:t>8</w:t>
      </w:r>
      <w:r>
        <w:rPr>
          <w:rFonts w:ascii="Calibri" w:hAnsi="Calibri" w:eastAsia="Calibri" w:cs="Calibri"/>
          <w:spacing w:val="16"/>
        </w:rPr>
        <w:t xml:space="preserve"> </w:t>
      </w:r>
      <w:r>
        <w:rPr>
          <w:spacing w:val="-2"/>
        </w:rPr>
        <w:t>亿股限制性股票，其中约</w:t>
      </w:r>
      <w:r>
        <w:rPr>
          <w:rFonts w:ascii="Calibri" w:hAnsi="Calibri" w:eastAsia="Calibri" w:cs="Calibri"/>
          <w:spacing w:val="-3"/>
        </w:rPr>
        <w:t>3</w:t>
      </w:r>
      <w:r>
        <w:rPr>
          <w:rFonts w:ascii="Calibri" w:hAnsi="Calibri" w:eastAsia="Calibri" w:cs="Calibri"/>
          <w:spacing w:val="13"/>
        </w:rPr>
        <w:t xml:space="preserve"> </w:t>
      </w:r>
      <w:r>
        <w:rPr>
          <w:spacing w:val="-3"/>
        </w:rPr>
        <w:t>亿股</w:t>
      </w:r>
      <w:r>
        <w:rPr/>
        <w:t xml:space="preserve"> </w:t>
      </w:r>
      <w:r>
        <w:rPr>
          <w:spacing w:val="-6"/>
        </w:rPr>
        <w:t>已于</w:t>
      </w:r>
      <w:r>
        <w:rPr>
          <w:spacing w:val="-39"/>
        </w:rPr>
        <w:t xml:space="preserve"> </w:t>
      </w:r>
      <w:r>
        <w:rPr>
          <w:rFonts w:ascii="Calibri" w:hAnsi="Calibri" w:eastAsia="Calibri" w:cs="Calibri"/>
          <w:spacing w:val="-6"/>
        </w:rPr>
        <w:t>2020</w:t>
      </w:r>
      <w:r>
        <w:rPr>
          <w:rFonts w:ascii="Calibri" w:hAnsi="Calibri" w:eastAsia="Calibri" w:cs="Calibri"/>
          <w:spacing w:val="13"/>
        </w:rPr>
        <w:t xml:space="preserve"> </w:t>
      </w:r>
      <w:r>
        <w:rPr>
          <w:spacing w:val="-6"/>
        </w:rPr>
        <w:t>年</w:t>
      </w:r>
      <w:r>
        <w:rPr>
          <w:spacing w:val="-50"/>
        </w:rPr>
        <w:t xml:space="preserve"> </w:t>
      </w:r>
      <w:r>
        <w:rPr>
          <w:rFonts w:ascii="Calibri" w:hAnsi="Calibri" w:eastAsia="Calibri" w:cs="Calibri"/>
          <w:spacing w:val="-6"/>
        </w:rPr>
        <w:t>4</w:t>
      </w:r>
      <w:r>
        <w:rPr>
          <w:rFonts w:ascii="Calibri" w:hAnsi="Calibri" w:eastAsia="Calibri" w:cs="Calibri"/>
          <w:spacing w:val="20"/>
        </w:rPr>
        <w:t xml:space="preserve"> </w:t>
      </w:r>
      <w:r>
        <w:rPr>
          <w:spacing w:val="-6"/>
        </w:rPr>
        <w:t>月解锁；</w:t>
      </w:r>
    </w:p>
    <w:p>
      <w:pPr>
        <w:pStyle w:val="BodyText"/>
        <w:ind w:left="319" w:hanging="286"/>
        <w:spacing w:before="62" w:line="247" w:lineRule="auto"/>
        <w:rPr/>
      </w:pPr>
      <w:r>
        <w:rPr>
          <w:rFonts w:ascii="Calibri" w:hAnsi="Calibri" w:eastAsia="Calibri" w:cs="Calibri"/>
          <w:spacing w:val="-4"/>
        </w:rPr>
        <w:t>4.   </w:t>
      </w:r>
      <w:r>
        <w:rPr>
          <w:spacing w:val="-4"/>
        </w:rPr>
        <w:t>中国联通集团（</w:t>
      </w:r>
      <w:r>
        <w:rPr>
          <w:rFonts w:ascii="Calibri" w:hAnsi="Calibri" w:eastAsia="Calibri" w:cs="Calibri"/>
          <w:spacing w:val="-4"/>
        </w:rPr>
        <w:t>BVI</w:t>
      </w:r>
      <w:r>
        <w:rPr>
          <w:spacing w:val="-4"/>
        </w:rPr>
        <w:t>）有限公司持有股份中不包含其拥有的</w:t>
      </w:r>
      <w:r>
        <w:rPr>
          <w:spacing w:val="-40"/>
        </w:rPr>
        <w:t xml:space="preserve"> </w:t>
      </w:r>
      <w:r>
        <w:rPr>
          <w:rFonts w:ascii="Calibri" w:hAnsi="Calibri" w:eastAsia="Calibri" w:cs="Calibri"/>
          <w:spacing w:val="-4"/>
        </w:rPr>
        <w:t>225,</w:t>
      </w:r>
      <w:r>
        <w:rPr>
          <w:rFonts w:ascii="Calibri" w:hAnsi="Calibri" w:eastAsia="Calibri" w:cs="Calibri"/>
          <w:spacing w:val="-5"/>
        </w:rPr>
        <w:t>722,791</w:t>
      </w:r>
      <w:r>
        <w:rPr>
          <w:rFonts w:ascii="Calibri" w:hAnsi="Calibri" w:eastAsia="Calibri" w:cs="Calibri"/>
          <w:spacing w:val="15"/>
          <w:w w:val="101"/>
        </w:rPr>
        <w:t xml:space="preserve"> </w:t>
      </w:r>
      <w:r>
        <w:rPr>
          <w:spacing w:val="-5"/>
        </w:rPr>
        <w:t>股中国联合网络通信（香港）</w:t>
      </w:r>
      <w:r>
        <w:rPr/>
        <w:t xml:space="preserve"> </w:t>
      </w:r>
      <w:r>
        <w:rPr>
          <w:spacing w:val="-1"/>
        </w:rPr>
        <w:t>股份有限公司股份的优先购买权权益。</w:t>
      </w:r>
    </w:p>
    <w:p>
      <w:pPr>
        <w:spacing w:line="378" w:lineRule="auto"/>
        <w:rPr>
          <w:rFonts w:ascii="Arial"/>
          <w:sz w:val="21"/>
        </w:rPr>
      </w:pPr>
      <w:r/>
    </w:p>
    <w:p>
      <w:pPr>
        <w:pStyle w:val="BodyText"/>
        <w:ind w:left="36"/>
        <w:spacing w:before="69" w:line="221" w:lineRule="auto"/>
        <w:rPr/>
      </w:pPr>
      <w:r>
        <w:rPr>
          <w:b/>
          <w:bCs/>
          <w:spacing w:val="-2"/>
        </w:rPr>
        <w:t>4.3</w:t>
      </w:r>
      <w:r>
        <w:rPr>
          <w:spacing w:val="-2"/>
        </w:rPr>
        <w:t xml:space="preserve"> </w:t>
      </w:r>
      <w:r>
        <w:rPr>
          <w:b/>
          <w:bCs/>
          <w:spacing w:val="-2"/>
        </w:rPr>
        <w:t>公司与实际控制人之间的产权及控制关系的方框图</w:t>
      </w:r>
    </w:p>
    <w:p>
      <w:pPr>
        <w:pStyle w:val="BodyText"/>
        <w:ind w:left="88"/>
        <w:spacing w:before="140" w:line="222" w:lineRule="auto"/>
        <w:rPr/>
      </w:pPr>
      <w:r>
        <w:rPr>
          <w:spacing w:val="-13"/>
        </w:rPr>
        <w:t>√适用</w:t>
      </w:r>
      <w:r>
        <w:rPr>
          <w:spacing w:val="16"/>
        </w:rPr>
        <w:t xml:space="preserve">  </w:t>
      </w:r>
      <w:r>
        <w:rPr>
          <w:spacing w:val="-13"/>
        </w:rPr>
        <w:t>□不适用</w:t>
      </w:r>
    </w:p>
    <w:p>
      <w:pPr>
        <w:ind w:firstLine="522"/>
        <w:spacing w:before="9" w:line="5299" w:lineRule="exact"/>
        <w:rPr/>
      </w:pPr>
      <w:r>
        <w:rPr>
          <w:position w:val="-105"/>
        </w:rPr>
        <w:drawing>
          <wp:inline distT="0" distB="0" distL="0" distR="0">
            <wp:extent cx="5220970" cy="3364864"/>
            <wp:effectExtent l="0" t="0" r="0" b="0"/>
            <wp:docPr id="16" name="IM 16"/>
            <wp:cNvGraphicFramePr/>
            <a:graphic>
              <a:graphicData uri="http://schemas.openxmlformats.org/drawingml/2006/picture">
                <pic:pic>
                  <pic:nvPicPr>
                    <pic:cNvPr id="16" name="IM 16"/>
                    <pic:cNvPicPr/>
                  </pic:nvPicPr>
                  <pic:blipFill>
                    <a:blip r:embed="rId14"/>
                    <a:stretch>
                      <a:fillRect/>
                    </a:stretch>
                  </pic:blipFill>
                  <pic:spPr>
                    <a:xfrm rot="0">
                      <a:off x="0" y="0"/>
                      <a:ext cx="5220970" cy="3364864"/>
                    </a:xfrm>
                    <a:prstGeom prst="rect">
                      <a:avLst/>
                    </a:prstGeom>
                  </pic:spPr>
                </pic:pic>
              </a:graphicData>
            </a:graphic>
          </wp:inline>
        </w:drawing>
      </w:r>
    </w:p>
    <w:p>
      <w:pPr>
        <w:spacing w:line="297" w:lineRule="auto"/>
        <w:rPr>
          <w:rFonts w:ascii="Arial"/>
          <w:sz w:val="21"/>
        </w:rPr>
      </w:pPr>
      <w:r/>
    </w:p>
    <w:p>
      <w:pPr>
        <w:pStyle w:val="BodyText"/>
        <w:ind w:left="37"/>
        <w:spacing w:before="68" w:line="225" w:lineRule="auto"/>
        <w:rPr/>
      </w:pPr>
      <w:r>
        <w:rPr>
          <w:spacing w:val="-14"/>
        </w:rPr>
        <w:t>注：</w:t>
      </w:r>
    </w:p>
    <w:p>
      <w:pPr>
        <w:pStyle w:val="BodyText"/>
        <w:ind w:left="46"/>
        <w:spacing w:before="55" w:line="221" w:lineRule="auto"/>
        <w:rPr/>
      </w:pPr>
      <w:r>
        <w:rPr>
          <w:rFonts w:ascii="Calibri" w:hAnsi="Calibri" w:eastAsia="Calibri" w:cs="Calibri"/>
          <w:spacing w:val="-7"/>
        </w:rPr>
        <w:t>1.</w:t>
      </w:r>
      <w:r>
        <w:rPr>
          <w:rFonts w:ascii="Calibri" w:hAnsi="Calibri" w:eastAsia="Calibri" w:cs="Calibri"/>
          <w:spacing w:val="24"/>
          <w:w w:val="101"/>
        </w:rPr>
        <w:t xml:space="preserve">  </w:t>
      </w:r>
      <w:r>
        <w:rPr>
          <w:spacing w:val="-7"/>
        </w:rPr>
        <w:t>数据截至</w:t>
      </w:r>
      <w:r>
        <w:rPr>
          <w:spacing w:val="-43"/>
        </w:rPr>
        <w:t xml:space="preserve"> </w:t>
      </w:r>
      <w:r>
        <w:rPr>
          <w:rFonts w:ascii="Calibri" w:hAnsi="Calibri" w:eastAsia="Calibri" w:cs="Calibri"/>
          <w:spacing w:val="-7"/>
        </w:rPr>
        <w:t>2020</w:t>
      </w:r>
      <w:r>
        <w:rPr>
          <w:rFonts w:ascii="Calibri" w:hAnsi="Calibri" w:eastAsia="Calibri" w:cs="Calibri"/>
          <w:spacing w:val="13"/>
        </w:rPr>
        <w:t xml:space="preserve"> </w:t>
      </w:r>
      <w:r>
        <w:rPr>
          <w:spacing w:val="-7"/>
        </w:rPr>
        <w:t>年</w:t>
      </w:r>
      <w:r>
        <w:rPr>
          <w:spacing w:val="-37"/>
        </w:rPr>
        <w:t xml:space="preserve"> </w:t>
      </w:r>
      <w:r>
        <w:rPr>
          <w:rFonts w:ascii="Calibri" w:hAnsi="Calibri" w:eastAsia="Calibri" w:cs="Calibri"/>
          <w:spacing w:val="-7"/>
        </w:rPr>
        <w:t>12</w:t>
      </w:r>
      <w:r>
        <w:rPr>
          <w:rFonts w:ascii="Calibri" w:hAnsi="Calibri" w:eastAsia="Calibri" w:cs="Calibri"/>
          <w:spacing w:val="17"/>
          <w:w w:val="101"/>
        </w:rPr>
        <w:t xml:space="preserve"> </w:t>
      </w:r>
      <w:r>
        <w:rPr>
          <w:spacing w:val="-7"/>
        </w:rPr>
        <w:t>月</w:t>
      </w:r>
      <w:r>
        <w:rPr>
          <w:spacing w:val="-43"/>
        </w:rPr>
        <w:t xml:space="preserve"> </w:t>
      </w:r>
      <w:r>
        <w:rPr>
          <w:rFonts w:ascii="Calibri" w:hAnsi="Calibri" w:eastAsia="Calibri" w:cs="Calibri"/>
          <w:spacing w:val="-7"/>
        </w:rPr>
        <w:t>31  </w:t>
      </w:r>
      <w:r>
        <w:rPr>
          <w:spacing w:val="-7"/>
        </w:rPr>
        <w:t>日；</w:t>
      </w:r>
    </w:p>
    <w:p>
      <w:pPr>
        <w:pStyle w:val="BodyText"/>
        <w:ind w:left="319" w:right="297" w:hanging="279"/>
        <w:spacing w:before="63" w:line="247" w:lineRule="auto"/>
        <w:rPr/>
      </w:pPr>
      <w:r>
        <w:rPr>
          <w:rFonts w:ascii="Calibri" w:hAnsi="Calibri" w:eastAsia="Calibri" w:cs="Calibri"/>
          <w:spacing w:val="-1"/>
        </w:rPr>
        <w:t>2.</w:t>
      </w:r>
      <w:r>
        <w:rPr>
          <w:rFonts w:ascii="Calibri" w:hAnsi="Calibri" w:eastAsia="Calibri" w:cs="Calibri"/>
          <w:spacing w:val="21"/>
        </w:rPr>
        <w:t xml:space="preserve">  </w:t>
      </w:r>
      <w:r>
        <w:rPr>
          <w:spacing w:val="-1"/>
        </w:rPr>
        <w:t>公司混合所有制改革引入的战略投资者</w:t>
      </w:r>
      <w:r>
        <w:rPr>
          <w:spacing w:val="-43"/>
        </w:rPr>
        <w:t xml:space="preserve"> </w:t>
      </w:r>
      <w:r>
        <w:rPr>
          <w:rFonts w:ascii="Calibri" w:hAnsi="Calibri" w:eastAsia="Calibri" w:cs="Calibri"/>
          <w:spacing w:val="-1"/>
        </w:rPr>
        <w:t>201</w:t>
      </w:r>
      <w:r>
        <w:rPr>
          <w:rFonts w:ascii="Calibri" w:hAnsi="Calibri" w:eastAsia="Calibri" w:cs="Calibri"/>
          <w:spacing w:val="-2"/>
        </w:rPr>
        <w:t>7</w:t>
      </w:r>
      <w:r>
        <w:rPr>
          <w:rFonts w:ascii="Calibri" w:hAnsi="Calibri" w:eastAsia="Calibri" w:cs="Calibri"/>
          <w:spacing w:val="15"/>
          <w:w w:val="101"/>
        </w:rPr>
        <w:t xml:space="preserve"> </w:t>
      </w:r>
      <w:r>
        <w:rPr>
          <w:spacing w:val="-2"/>
        </w:rPr>
        <w:t>年通过非公开发行及老股转让取得股份共约</w:t>
      </w:r>
      <w:r>
        <w:rPr>
          <w:spacing w:val="-34"/>
        </w:rPr>
        <w:t xml:space="preserve"> </w:t>
      </w:r>
      <w:r>
        <w:rPr>
          <w:rFonts w:ascii="Calibri" w:hAnsi="Calibri" w:eastAsia="Calibri" w:cs="Calibri"/>
          <w:spacing w:val="-2"/>
        </w:rPr>
        <w:t>109</w:t>
      </w:r>
      <w:r>
        <w:rPr>
          <w:rFonts w:ascii="Calibri" w:hAnsi="Calibri" w:eastAsia="Calibri" w:cs="Calibri"/>
          <w:spacing w:val="15"/>
          <w:w w:val="101"/>
        </w:rPr>
        <w:t xml:space="preserve"> </w:t>
      </w:r>
      <w:r>
        <w:rPr>
          <w:spacing w:val="-2"/>
        </w:rPr>
        <w:t>亿</w:t>
      </w:r>
      <w:r>
        <w:rPr/>
        <w:t xml:space="preserve"> </w:t>
      </w:r>
      <w:r>
        <w:rPr>
          <w:spacing w:val="-3"/>
        </w:rPr>
        <w:t>股，该股份已于</w:t>
      </w:r>
      <w:r>
        <w:rPr>
          <w:spacing w:val="-43"/>
        </w:rPr>
        <w:t xml:space="preserve"> </w:t>
      </w:r>
      <w:r>
        <w:rPr>
          <w:rFonts w:ascii="Calibri" w:hAnsi="Calibri" w:eastAsia="Calibri" w:cs="Calibri"/>
          <w:spacing w:val="-3"/>
        </w:rPr>
        <w:t>2020</w:t>
      </w:r>
      <w:r>
        <w:rPr>
          <w:rFonts w:ascii="Calibri" w:hAnsi="Calibri" w:eastAsia="Calibri" w:cs="Calibri"/>
          <w:spacing w:val="15"/>
          <w:w w:val="101"/>
        </w:rPr>
        <w:t xml:space="preserve"> </w:t>
      </w:r>
      <w:r>
        <w:rPr>
          <w:spacing w:val="-3"/>
        </w:rPr>
        <w:t>年</w:t>
      </w:r>
      <w:r>
        <w:rPr>
          <w:spacing w:val="-36"/>
        </w:rPr>
        <w:t xml:space="preserve"> </w:t>
      </w:r>
      <w:r>
        <w:rPr>
          <w:rFonts w:ascii="Calibri" w:hAnsi="Calibri" w:eastAsia="Calibri" w:cs="Calibri"/>
          <w:spacing w:val="-3"/>
        </w:rPr>
        <w:t>11</w:t>
      </w:r>
      <w:r>
        <w:rPr>
          <w:rFonts w:ascii="Calibri" w:hAnsi="Calibri" w:eastAsia="Calibri" w:cs="Calibri"/>
          <w:spacing w:val="19"/>
          <w:w w:val="101"/>
        </w:rPr>
        <w:t xml:space="preserve"> </w:t>
      </w:r>
      <w:r>
        <w:rPr>
          <w:spacing w:val="-3"/>
        </w:rPr>
        <w:t>月解除限售；</w:t>
      </w:r>
    </w:p>
    <w:p>
      <w:pPr>
        <w:pStyle w:val="BodyText"/>
        <w:ind w:left="342" w:right="90" w:hanging="303"/>
        <w:spacing w:before="60" w:line="248" w:lineRule="auto"/>
        <w:rPr/>
      </w:pPr>
      <w:r>
        <w:rPr>
          <w:rFonts w:ascii="Calibri" w:hAnsi="Calibri" w:eastAsia="Calibri" w:cs="Calibri"/>
          <w:spacing w:val="-2"/>
        </w:rPr>
        <w:t>3.</w:t>
      </w:r>
      <w:r>
        <w:rPr>
          <w:rFonts w:ascii="Calibri" w:hAnsi="Calibri" w:eastAsia="Calibri" w:cs="Calibri"/>
          <w:spacing w:val="21"/>
        </w:rPr>
        <w:t xml:space="preserve">  </w:t>
      </w:r>
      <w:r>
        <w:rPr>
          <w:spacing w:val="-2"/>
        </w:rPr>
        <w:t>公司根据限制性股票激励计划首期授予方案向核心员工共授予约</w:t>
      </w:r>
      <w:r>
        <w:rPr>
          <w:spacing w:val="-47"/>
        </w:rPr>
        <w:t xml:space="preserve"> </w:t>
      </w:r>
      <w:r>
        <w:rPr>
          <w:rFonts w:ascii="Calibri" w:hAnsi="Calibri" w:eastAsia="Calibri" w:cs="Calibri"/>
          <w:spacing w:val="-2"/>
        </w:rPr>
        <w:t>8</w:t>
      </w:r>
      <w:r>
        <w:rPr>
          <w:rFonts w:ascii="Calibri" w:hAnsi="Calibri" w:eastAsia="Calibri" w:cs="Calibri"/>
          <w:spacing w:val="16"/>
        </w:rPr>
        <w:t xml:space="preserve"> </w:t>
      </w:r>
      <w:r>
        <w:rPr>
          <w:spacing w:val="-2"/>
        </w:rPr>
        <w:t>亿股限制性股票，其中约</w:t>
      </w:r>
      <w:r>
        <w:rPr>
          <w:rFonts w:ascii="Calibri" w:hAnsi="Calibri" w:eastAsia="Calibri" w:cs="Calibri"/>
          <w:spacing w:val="-3"/>
        </w:rPr>
        <w:t>3</w:t>
      </w:r>
      <w:r>
        <w:rPr>
          <w:rFonts w:ascii="Calibri" w:hAnsi="Calibri" w:eastAsia="Calibri" w:cs="Calibri"/>
          <w:spacing w:val="13"/>
        </w:rPr>
        <w:t xml:space="preserve"> </w:t>
      </w:r>
      <w:r>
        <w:rPr>
          <w:spacing w:val="-3"/>
        </w:rPr>
        <w:t>亿股</w:t>
      </w:r>
      <w:r>
        <w:rPr/>
        <w:t xml:space="preserve"> </w:t>
      </w:r>
      <w:r>
        <w:rPr>
          <w:spacing w:val="-6"/>
        </w:rPr>
        <w:t>已于</w:t>
      </w:r>
      <w:r>
        <w:rPr>
          <w:spacing w:val="-39"/>
        </w:rPr>
        <w:t xml:space="preserve"> </w:t>
      </w:r>
      <w:r>
        <w:rPr>
          <w:rFonts w:ascii="Calibri" w:hAnsi="Calibri" w:eastAsia="Calibri" w:cs="Calibri"/>
          <w:spacing w:val="-6"/>
        </w:rPr>
        <w:t>2020</w:t>
      </w:r>
      <w:r>
        <w:rPr>
          <w:rFonts w:ascii="Calibri" w:hAnsi="Calibri" w:eastAsia="Calibri" w:cs="Calibri"/>
          <w:spacing w:val="13"/>
        </w:rPr>
        <w:t xml:space="preserve"> </w:t>
      </w:r>
      <w:r>
        <w:rPr>
          <w:spacing w:val="-6"/>
        </w:rPr>
        <w:t>年</w:t>
      </w:r>
      <w:r>
        <w:rPr>
          <w:spacing w:val="-50"/>
        </w:rPr>
        <w:t xml:space="preserve"> </w:t>
      </w:r>
      <w:r>
        <w:rPr>
          <w:rFonts w:ascii="Calibri" w:hAnsi="Calibri" w:eastAsia="Calibri" w:cs="Calibri"/>
          <w:spacing w:val="-6"/>
        </w:rPr>
        <w:t>4</w:t>
      </w:r>
      <w:r>
        <w:rPr>
          <w:rFonts w:ascii="Calibri" w:hAnsi="Calibri" w:eastAsia="Calibri" w:cs="Calibri"/>
          <w:spacing w:val="20"/>
        </w:rPr>
        <w:t xml:space="preserve"> </w:t>
      </w:r>
      <w:r>
        <w:rPr>
          <w:spacing w:val="-6"/>
        </w:rPr>
        <w:t>月解锁；</w:t>
      </w:r>
    </w:p>
    <w:p>
      <w:pPr>
        <w:pStyle w:val="BodyText"/>
        <w:ind w:left="319" w:hanging="286"/>
        <w:spacing w:before="62" w:line="247" w:lineRule="auto"/>
        <w:rPr/>
      </w:pPr>
      <w:r>
        <w:rPr>
          <w:rFonts w:ascii="Calibri" w:hAnsi="Calibri" w:eastAsia="Calibri" w:cs="Calibri"/>
          <w:spacing w:val="-4"/>
        </w:rPr>
        <w:t>4.   </w:t>
      </w:r>
      <w:r>
        <w:rPr>
          <w:spacing w:val="-4"/>
        </w:rPr>
        <w:t>中国联通集团（</w:t>
      </w:r>
      <w:r>
        <w:rPr>
          <w:rFonts w:ascii="Calibri" w:hAnsi="Calibri" w:eastAsia="Calibri" w:cs="Calibri"/>
          <w:spacing w:val="-4"/>
        </w:rPr>
        <w:t>BVI</w:t>
      </w:r>
      <w:r>
        <w:rPr>
          <w:spacing w:val="-4"/>
        </w:rPr>
        <w:t>）有限公司持有股份中不包含其拥有的</w:t>
      </w:r>
      <w:r>
        <w:rPr>
          <w:spacing w:val="-40"/>
        </w:rPr>
        <w:t xml:space="preserve"> </w:t>
      </w:r>
      <w:r>
        <w:rPr>
          <w:rFonts w:ascii="Calibri" w:hAnsi="Calibri" w:eastAsia="Calibri" w:cs="Calibri"/>
          <w:spacing w:val="-4"/>
        </w:rPr>
        <w:t>225,</w:t>
      </w:r>
      <w:r>
        <w:rPr>
          <w:rFonts w:ascii="Calibri" w:hAnsi="Calibri" w:eastAsia="Calibri" w:cs="Calibri"/>
          <w:spacing w:val="-5"/>
        </w:rPr>
        <w:t>722,791</w:t>
      </w:r>
      <w:r>
        <w:rPr>
          <w:rFonts w:ascii="Calibri" w:hAnsi="Calibri" w:eastAsia="Calibri" w:cs="Calibri"/>
          <w:spacing w:val="15"/>
          <w:w w:val="101"/>
        </w:rPr>
        <w:t xml:space="preserve"> </w:t>
      </w:r>
      <w:r>
        <w:rPr>
          <w:spacing w:val="-5"/>
        </w:rPr>
        <w:t>股中国联合网络通信（香港）</w:t>
      </w:r>
      <w:r>
        <w:rPr/>
        <w:t xml:space="preserve"> </w:t>
      </w:r>
      <w:r>
        <w:rPr>
          <w:spacing w:val="-1"/>
        </w:rPr>
        <w:t>股份有限公司股份的优先购买权权益。</w:t>
      </w:r>
    </w:p>
    <w:p>
      <w:pPr>
        <w:spacing w:line="379" w:lineRule="auto"/>
        <w:rPr>
          <w:rFonts w:ascii="Arial"/>
          <w:sz w:val="21"/>
        </w:rPr>
      </w:pPr>
      <w:r/>
    </w:p>
    <w:p>
      <w:pPr>
        <w:pStyle w:val="BodyText"/>
        <w:ind w:left="36"/>
        <w:spacing w:before="69" w:line="219" w:lineRule="auto"/>
        <w:rPr/>
      </w:pPr>
      <w:r>
        <w:rPr>
          <w:b/>
          <w:bCs/>
          <w:spacing w:val="-3"/>
        </w:rPr>
        <w:t>4.4</w:t>
      </w:r>
      <w:r>
        <w:rPr>
          <w:spacing w:val="-3"/>
        </w:rPr>
        <w:t xml:space="preserve"> </w:t>
      </w:r>
      <w:r>
        <w:rPr>
          <w:b/>
          <w:bCs/>
          <w:spacing w:val="-3"/>
        </w:rPr>
        <w:t>报告期末公司优先股股东总数及前</w:t>
      </w:r>
      <w:r>
        <w:rPr>
          <w:spacing w:val="-20"/>
        </w:rPr>
        <w:t xml:space="preserve"> </w:t>
      </w:r>
      <w:r>
        <w:rPr>
          <w:rFonts w:ascii="Arial" w:hAnsi="Arial" w:eastAsia="Arial" w:cs="Arial"/>
          <w:b/>
          <w:bCs/>
          <w:spacing w:val="-3"/>
        </w:rPr>
        <w:t>10  </w:t>
      </w:r>
      <w:r>
        <w:rPr>
          <w:b/>
          <w:bCs/>
          <w:spacing w:val="-3"/>
        </w:rPr>
        <w:t>名股东情况</w:t>
      </w:r>
    </w:p>
    <w:p>
      <w:pPr>
        <w:pStyle w:val="BodyText"/>
        <w:ind w:left="58"/>
        <w:spacing w:before="142" w:line="222" w:lineRule="auto"/>
        <w:rPr/>
      </w:pPr>
      <w:r>
        <w:rPr>
          <w:spacing w:val="-13"/>
        </w:rPr>
        <w:t>□适用</w:t>
      </w:r>
      <w:r>
        <w:rPr>
          <w:spacing w:val="63"/>
        </w:rPr>
        <w:t xml:space="preserve"> </w:t>
      </w:r>
      <w:r>
        <w:rPr>
          <w:spacing w:val="-13"/>
        </w:rPr>
        <w:t>√不适用</w:t>
      </w:r>
    </w:p>
    <w:p>
      <w:pPr>
        <w:spacing w:line="377" w:lineRule="auto"/>
        <w:rPr>
          <w:rFonts w:ascii="Arial"/>
          <w:sz w:val="21"/>
        </w:rPr>
      </w:pPr>
      <w:r/>
    </w:p>
    <w:p>
      <w:pPr>
        <w:pStyle w:val="BodyText"/>
        <w:ind w:left="41"/>
        <w:spacing w:before="68" w:line="221" w:lineRule="auto"/>
        <w:rPr/>
      </w:pPr>
      <w:r>
        <w:rPr>
          <w:b/>
          <w:bCs/>
          <w:spacing w:val="-5"/>
        </w:rPr>
        <w:t>5</w:t>
      </w:r>
      <w:r>
        <w:rPr>
          <w:spacing w:val="4"/>
        </w:rPr>
        <w:t xml:space="preserve">   </w:t>
      </w:r>
      <w:r>
        <w:rPr>
          <w:b/>
          <w:bCs/>
          <w:spacing w:val="-5"/>
        </w:rPr>
        <w:t>公司债券情况</w:t>
      </w:r>
    </w:p>
    <w:p>
      <w:pPr>
        <w:pStyle w:val="BodyText"/>
        <w:ind w:left="88"/>
        <w:spacing w:before="140" w:line="222" w:lineRule="auto"/>
        <w:rPr/>
      </w:pPr>
      <w:r>
        <w:rPr>
          <w:spacing w:val="-13"/>
        </w:rPr>
        <w:t>√适用</w:t>
      </w:r>
      <w:r>
        <w:rPr>
          <w:spacing w:val="32"/>
        </w:rPr>
        <w:t xml:space="preserve"> </w:t>
      </w:r>
      <w:r>
        <w:rPr>
          <w:spacing w:val="-13"/>
        </w:rPr>
        <w:t>□不适用</w:t>
      </w:r>
    </w:p>
    <w:p>
      <w:pPr>
        <w:spacing w:line="222" w:lineRule="auto"/>
        <w:sectPr>
          <w:headerReference w:type="default" r:id="rId12"/>
          <w:footerReference w:type="default" r:id="rId13"/>
          <w:pgSz w:w="11907" w:h="16839"/>
          <w:pgMar w:top="1377" w:right="1176" w:bottom="1375" w:left="1390" w:header="837" w:footer="1212" w:gutter="0"/>
        </w:sectPr>
        <w:rPr/>
      </w:pPr>
    </w:p>
    <w:p>
      <w:pPr>
        <w:spacing w:line="260" w:lineRule="auto"/>
        <w:rPr>
          <w:rFonts w:ascii="Arial"/>
          <w:sz w:val="21"/>
        </w:rPr>
      </w:pPr>
      <w:r/>
    </w:p>
    <w:p>
      <w:pPr>
        <w:spacing w:line="260" w:lineRule="auto"/>
        <w:rPr>
          <w:rFonts w:ascii="Arial"/>
          <w:sz w:val="21"/>
        </w:rPr>
      </w:pPr>
      <w:r/>
    </w:p>
    <w:p>
      <w:pPr>
        <w:pStyle w:val="BodyText"/>
        <w:ind w:left="869"/>
        <w:spacing w:before="69" w:line="220" w:lineRule="auto"/>
        <w:rPr/>
      </w:pPr>
      <w:r>
        <w:rPr>
          <w:b/>
          <w:bCs/>
          <w:spacing w:val="-3"/>
        </w:rPr>
        <w:t>5.1</w:t>
      </w:r>
      <w:r>
        <w:rPr>
          <w:spacing w:val="-3"/>
        </w:rPr>
        <w:t xml:space="preserve"> </w:t>
      </w:r>
      <w:r>
        <w:rPr>
          <w:b/>
          <w:bCs/>
          <w:spacing w:val="-3"/>
        </w:rPr>
        <w:t>公司债券基本情况</w:t>
      </w:r>
    </w:p>
    <w:p>
      <w:pPr>
        <w:pStyle w:val="BodyText"/>
        <w:ind w:left="7981"/>
        <w:spacing w:before="140" w:line="220" w:lineRule="auto"/>
        <w:rPr/>
      </w:pPr>
      <w:r>
        <w:rPr>
          <w:spacing w:val="-4"/>
        </w:rPr>
        <w:t>单位:元</w:t>
      </w:r>
      <w:r>
        <w:rPr>
          <w:spacing w:val="16"/>
        </w:rPr>
        <w:t xml:space="preserve">  </w:t>
      </w:r>
      <w:r>
        <w:rPr>
          <w:spacing w:val="-4"/>
        </w:rPr>
        <w:t>币种:人民币</w:t>
      </w:r>
    </w:p>
    <w:p>
      <w:pPr>
        <w:spacing w:line="109" w:lineRule="auto"/>
        <w:rPr>
          <w:rFonts w:ascii="Arial"/>
          <w:sz w:val="2"/>
        </w:rPr>
      </w:pPr>
      <w:r>
        <w:rPr>
          <w:rFonts w:ascii="Arial"/>
          <w:sz w:val="2"/>
        </w:rPr>
      </w:r>
    </w:p>
    <w:tbl>
      <w:tblPr>
        <w:tblStyle w:val="TableNormal"/>
        <w:tblW w:w="1106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41"/>
        <w:gridCol w:w="888"/>
        <w:gridCol w:w="1164"/>
        <w:gridCol w:w="830"/>
        <w:gridCol w:w="892"/>
        <w:gridCol w:w="1584"/>
        <w:gridCol w:w="806"/>
        <w:gridCol w:w="2325"/>
        <w:gridCol w:w="933"/>
      </w:tblGrid>
      <w:tr>
        <w:trPr>
          <w:trHeight w:val="632" w:hRule="atLeast"/>
        </w:trPr>
        <w:tc>
          <w:tcPr>
            <w:shd w:val="clear" w:fill="D9D9D9"/>
            <w:tcW w:w="1641" w:type="dxa"/>
            <w:vAlign w:val="top"/>
          </w:tcPr>
          <w:p>
            <w:pPr>
              <w:pStyle w:val="TableText"/>
              <w:ind w:left="404"/>
              <w:spacing w:before="211" w:line="221" w:lineRule="auto"/>
              <w:rPr/>
            </w:pPr>
            <w:r>
              <w:rPr>
                <w:spacing w:val="-2"/>
              </w:rPr>
              <w:t>债券名称</w:t>
            </w:r>
          </w:p>
        </w:tc>
        <w:tc>
          <w:tcPr>
            <w:shd w:val="clear" w:fill="D9D9D9"/>
            <w:tcW w:w="888" w:type="dxa"/>
            <w:vAlign w:val="top"/>
          </w:tcPr>
          <w:p>
            <w:pPr>
              <w:pStyle w:val="TableText"/>
              <w:ind w:left="238"/>
              <w:spacing w:before="211" w:line="220" w:lineRule="auto"/>
              <w:rPr/>
            </w:pPr>
            <w:r>
              <w:rPr>
                <w:spacing w:val="-3"/>
              </w:rPr>
              <w:t>简称</w:t>
            </w:r>
          </w:p>
        </w:tc>
        <w:tc>
          <w:tcPr>
            <w:shd w:val="clear" w:fill="D9D9D9"/>
            <w:tcW w:w="1164" w:type="dxa"/>
            <w:vAlign w:val="top"/>
          </w:tcPr>
          <w:p>
            <w:pPr>
              <w:pStyle w:val="TableText"/>
              <w:ind w:left="375"/>
              <w:spacing w:before="211" w:line="221" w:lineRule="auto"/>
              <w:rPr/>
            </w:pPr>
            <w:r>
              <w:rPr>
                <w:spacing w:val="-2"/>
              </w:rPr>
              <w:t>代码</w:t>
            </w:r>
          </w:p>
        </w:tc>
        <w:tc>
          <w:tcPr>
            <w:shd w:val="clear" w:fill="D9D9D9"/>
            <w:tcW w:w="830" w:type="dxa"/>
            <w:vAlign w:val="top"/>
          </w:tcPr>
          <w:p>
            <w:pPr>
              <w:pStyle w:val="TableText"/>
              <w:ind w:left="347" w:right="204" w:hanging="138"/>
              <w:spacing w:before="55" w:line="249" w:lineRule="auto"/>
              <w:rPr/>
            </w:pPr>
            <w:r>
              <w:rPr>
                <w:spacing w:val="-5"/>
              </w:rPr>
              <w:t>发行</w:t>
            </w:r>
            <w:r>
              <w:rPr/>
              <w:t xml:space="preserve"> </w:t>
            </w:r>
            <w:r>
              <w:rPr/>
              <w:t>日</w:t>
            </w:r>
          </w:p>
        </w:tc>
        <w:tc>
          <w:tcPr>
            <w:shd w:val="clear" w:fill="D9D9D9"/>
            <w:tcW w:w="892" w:type="dxa"/>
            <w:vAlign w:val="top"/>
          </w:tcPr>
          <w:p>
            <w:pPr>
              <w:pStyle w:val="TableText"/>
              <w:ind w:left="140"/>
              <w:spacing w:before="212" w:line="221" w:lineRule="auto"/>
              <w:rPr/>
            </w:pPr>
            <w:r>
              <w:rPr>
                <w:spacing w:val="-3"/>
              </w:rPr>
              <w:t>到期日</w:t>
            </w:r>
          </w:p>
        </w:tc>
        <w:tc>
          <w:tcPr>
            <w:shd w:val="clear" w:fill="D9D9D9"/>
            <w:tcW w:w="1584" w:type="dxa"/>
            <w:vAlign w:val="top"/>
          </w:tcPr>
          <w:p>
            <w:pPr>
              <w:pStyle w:val="TableText"/>
              <w:ind w:left="379"/>
              <w:spacing w:before="211" w:line="221" w:lineRule="auto"/>
              <w:rPr/>
            </w:pPr>
            <w:r>
              <w:rPr>
                <w:spacing w:val="-2"/>
              </w:rPr>
              <w:t>债券余额</w:t>
            </w:r>
          </w:p>
        </w:tc>
        <w:tc>
          <w:tcPr>
            <w:shd w:val="clear" w:fill="D9D9D9"/>
            <w:tcW w:w="806" w:type="dxa"/>
            <w:vAlign w:val="top"/>
          </w:tcPr>
          <w:p>
            <w:pPr>
              <w:pStyle w:val="TableText"/>
              <w:ind w:left="196"/>
              <w:spacing w:before="211" w:line="221" w:lineRule="auto"/>
              <w:rPr/>
            </w:pPr>
            <w:r>
              <w:rPr>
                <w:spacing w:val="-2"/>
              </w:rPr>
              <w:t>利率</w:t>
            </w:r>
          </w:p>
        </w:tc>
        <w:tc>
          <w:tcPr>
            <w:shd w:val="clear" w:fill="D9D9D9"/>
            <w:tcW w:w="2325" w:type="dxa"/>
            <w:vAlign w:val="top"/>
          </w:tcPr>
          <w:p>
            <w:pPr>
              <w:pStyle w:val="TableText"/>
              <w:ind w:left="539"/>
              <w:spacing w:before="211" w:line="220" w:lineRule="auto"/>
              <w:rPr/>
            </w:pPr>
            <w:r>
              <w:rPr>
                <w:spacing w:val="-1"/>
              </w:rPr>
              <w:t>还本付息方式</w:t>
            </w:r>
          </w:p>
        </w:tc>
        <w:tc>
          <w:tcPr>
            <w:shd w:val="clear" w:fill="D9D9D9"/>
            <w:tcW w:w="933" w:type="dxa"/>
            <w:vAlign w:val="top"/>
          </w:tcPr>
          <w:p>
            <w:pPr>
              <w:pStyle w:val="TableText"/>
              <w:ind w:left="365" w:right="145" w:hanging="204"/>
              <w:spacing w:before="55" w:line="249" w:lineRule="auto"/>
              <w:rPr/>
            </w:pPr>
            <w:r>
              <w:rPr>
                <w:spacing w:val="-3"/>
              </w:rPr>
              <w:t>交易场</w:t>
            </w:r>
            <w:r>
              <w:rPr/>
              <w:t xml:space="preserve"> </w:t>
            </w:r>
            <w:r>
              <w:rPr/>
              <w:t>所</w:t>
            </w:r>
          </w:p>
        </w:tc>
      </w:tr>
      <w:tr>
        <w:trPr>
          <w:trHeight w:val="1562" w:hRule="atLeast"/>
        </w:trPr>
        <w:tc>
          <w:tcPr>
            <w:tcW w:w="1641" w:type="dxa"/>
            <w:vAlign w:val="top"/>
          </w:tcPr>
          <w:p>
            <w:pPr>
              <w:pStyle w:val="TableText"/>
              <w:ind w:left="115" w:right="106" w:firstLine="20"/>
              <w:spacing w:before="50" w:line="264" w:lineRule="auto"/>
              <w:jc w:val="both"/>
              <w:rPr/>
            </w:pPr>
            <w:r>
              <w:rPr>
                <w:spacing w:val="21"/>
              </w:rPr>
              <w:t>中国联合网络</w:t>
            </w:r>
            <w:r>
              <w:rPr>
                <w:spacing w:val="4"/>
              </w:rPr>
              <w:t xml:space="preserve"> </w:t>
            </w:r>
            <w:r>
              <w:rPr>
                <w:spacing w:val="25"/>
              </w:rPr>
              <w:t>通信有限公司</w:t>
            </w:r>
            <w:r>
              <w:rPr>
                <w:spacing w:val="1"/>
              </w:rPr>
              <w:t xml:space="preserve"> </w:t>
            </w:r>
            <w:r>
              <w:rPr>
                <w:spacing w:val="3"/>
              </w:rPr>
              <w:t>2016</w:t>
            </w:r>
            <w:r>
              <w:rPr>
                <w:spacing w:val="23"/>
              </w:rPr>
              <w:t xml:space="preserve"> </w:t>
            </w:r>
            <w:r>
              <w:rPr>
                <w:spacing w:val="3"/>
              </w:rPr>
              <w:t>年公司债</w:t>
            </w:r>
            <w:r>
              <w:rPr/>
              <w:t xml:space="preserve"> </w:t>
            </w:r>
            <w:r>
              <w:rPr>
                <w:spacing w:val="6"/>
              </w:rPr>
              <w:t>券(第一期)(品</w:t>
            </w:r>
            <w:r>
              <w:rPr/>
              <w:t xml:space="preserve"> </w:t>
            </w:r>
            <w:r>
              <w:rPr>
                <w:spacing w:val="-2"/>
              </w:rPr>
              <w:t>种二)</w:t>
            </w:r>
          </w:p>
        </w:tc>
        <w:tc>
          <w:tcPr>
            <w:tcW w:w="888" w:type="dxa"/>
            <w:vAlign w:val="top"/>
          </w:tcPr>
          <w:p>
            <w:pPr>
              <w:pStyle w:val="TableText"/>
              <w:ind w:left="111" w:right="106" w:firstLine="13"/>
              <w:spacing w:before="52" w:line="267" w:lineRule="auto"/>
              <w:rPr/>
            </w:pPr>
            <w:r>
              <w:rPr>
                <w:spacing w:val="-8"/>
              </w:rPr>
              <w:t>16</w:t>
            </w:r>
            <w:r>
              <w:rPr>
                <w:spacing w:val="-53"/>
              </w:rPr>
              <w:t xml:space="preserve"> </w:t>
            </w:r>
            <w:r>
              <w:rPr>
                <w:spacing w:val="-8"/>
              </w:rPr>
              <w:t>联通</w:t>
            </w:r>
            <w:r>
              <w:rPr/>
              <w:t xml:space="preserve"> </w:t>
            </w:r>
            <w:r>
              <w:rPr>
                <w:spacing w:val="-3"/>
              </w:rPr>
              <w:t>02</w:t>
            </w:r>
          </w:p>
        </w:tc>
        <w:tc>
          <w:tcPr>
            <w:tcW w:w="1164" w:type="dxa"/>
            <w:vAlign w:val="top"/>
          </w:tcPr>
          <w:p>
            <w:pPr>
              <w:pStyle w:val="TableText"/>
              <w:ind w:left="127"/>
              <w:spacing w:before="86" w:line="183" w:lineRule="auto"/>
              <w:rPr/>
            </w:pPr>
            <w:r>
              <w:rPr>
                <w:spacing w:val="-2"/>
              </w:rPr>
              <w:t>136470.SH</w:t>
            </w:r>
          </w:p>
        </w:tc>
        <w:tc>
          <w:tcPr>
            <w:tcW w:w="830" w:type="dxa"/>
            <w:vAlign w:val="top"/>
          </w:tcPr>
          <w:p>
            <w:pPr>
              <w:pStyle w:val="TableText"/>
              <w:ind w:left="112"/>
              <w:spacing w:before="86" w:line="183" w:lineRule="auto"/>
              <w:rPr/>
            </w:pPr>
            <w:r>
              <w:rPr>
                <w:spacing w:val="-2"/>
              </w:rPr>
              <w:t>2016</w:t>
            </w:r>
          </w:p>
          <w:p>
            <w:pPr>
              <w:pStyle w:val="TableText"/>
              <w:ind w:left="115" w:right="105" w:hanging="4"/>
              <w:spacing w:before="70" w:line="263" w:lineRule="auto"/>
              <w:rPr/>
            </w:pPr>
            <w:r>
              <w:rPr>
                <w:spacing w:val="-10"/>
              </w:rPr>
              <w:t>年</w:t>
            </w:r>
            <w:r>
              <w:rPr>
                <w:spacing w:val="-50"/>
              </w:rPr>
              <w:t xml:space="preserve"> </w:t>
            </w:r>
            <w:r>
              <w:rPr>
                <w:spacing w:val="-10"/>
              </w:rPr>
              <w:t>6</w:t>
            </w:r>
            <w:r>
              <w:rPr>
                <w:spacing w:val="-49"/>
              </w:rPr>
              <w:t xml:space="preserve"> </w:t>
            </w:r>
            <w:r>
              <w:rPr>
                <w:spacing w:val="-10"/>
              </w:rPr>
              <w:t>月</w:t>
            </w:r>
            <w:r>
              <w:rPr/>
              <w:t xml:space="preserve"> </w:t>
            </w:r>
            <w:r>
              <w:rPr>
                <w:spacing w:val="-7"/>
              </w:rPr>
              <w:t>7</w:t>
            </w:r>
            <w:r>
              <w:rPr>
                <w:spacing w:val="-8"/>
              </w:rPr>
              <w:t xml:space="preserve"> </w:t>
            </w:r>
            <w:r>
              <w:rPr>
                <w:spacing w:val="-7"/>
              </w:rPr>
              <w:t>日</w:t>
            </w:r>
          </w:p>
        </w:tc>
        <w:tc>
          <w:tcPr>
            <w:tcW w:w="892" w:type="dxa"/>
            <w:vAlign w:val="top"/>
          </w:tcPr>
          <w:p>
            <w:pPr>
              <w:pStyle w:val="TableText"/>
              <w:ind w:left="114" w:right="102"/>
              <w:spacing w:before="52" w:line="267" w:lineRule="auto"/>
              <w:jc w:val="both"/>
              <w:rPr/>
            </w:pPr>
            <w:r>
              <w:rPr>
                <w:spacing w:val="-4"/>
              </w:rPr>
              <w:t>2021</w:t>
            </w:r>
            <w:r>
              <w:rPr>
                <w:spacing w:val="-48"/>
              </w:rPr>
              <w:t xml:space="preserve"> </w:t>
            </w:r>
            <w:r>
              <w:rPr>
                <w:spacing w:val="-4"/>
              </w:rPr>
              <w:t>年</w:t>
            </w:r>
            <w:r>
              <w:rPr/>
              <w:t xml:space="preserve"> </w:t>
            </w:r>
            <w:r>
              <w:rPr>
                <w:spacing w:val="-12"/>
              </w:rPr>
              <w:t>6</w:t>
            </w:r>
            <w:r>
              <w:rPr>
                <w:spacing w:val="36"/>
              </w:rPr>
              <w:t xml:space="preserve"> </w:t>
            </w:r>
            <w:r>
              <w:rPr>
                <w:spacing w:val="-12"/>
              </w:rPr>
              <w:t>月</w:t>
            </w:r>
            <w:r>
              <w:rPr>
                <w:spacing w:val="38"/>
              </w:rPr>
              <w:t xml:space="preserve"> </w:t>
            </w:r>
            <w:r>
              <w:rPr>
                <w:spacing w:val="-12"/>
              </w:rPr>
              <w:t>7</w:t>
            </w:r>
            <w:r>
              <w:rPr/>
              <w:t xml:space="preserve"> </w:t>
            </w:r>
            <w:r>
              <w:rPr/>
              <w:t>日</w:t>
            </w:r>
          </w:p>
        </w:tc>
        <w:tc>
          <w:tcPr>
            <w:tcW w:w="1584" w:type="dxa"/>
            <w:vAlign w:val="top"/>
          </w:tcPr>
          <w:p>
            <w:pPr>
              <w:pStyle w:val="TableText"/>
              <w:ind w:left="129"/>
              <w:spacing w:before="86" w:line="183" w:lineRule="auto"/>
              <w:rPr/>
            </w:pPr>
            <w:r>
              <w:rPr>
                <w:spacing w:val="-2"/>
              </w:rPr>
              <w:t>1,000,000,000</w:t>
            </w:r>
          </w:p>
        </w:tc>
        <w:tc>
          <w:tcPr>
            <w:tcW w:w="806" w:type="dxa"/>
            <w:vAlign w:val="top"/>
          </w:tcPr>
          <w:p>
            <w:pPr>
              <w:pStyle w:val="TableText"/>
              <w:ind w:left="116"/>
              <w:spacing w:before="87" w:line="182" w:lineRule="auto"/>
              <w:rPr/>
            </w:pPr>
            <w:r>
              <w:rPr>
                <w:spacing w:val="-2"/>
              </w:rPr>
              <w:t>3.43</w:t>
            </w:r>
          </w:p>
        </w:tc>
        <w:tc>
          <w:tcPr>
            <w:tcW w:w="2325" w:type="dxa"/>
            <w:vAlign w:val="top"/>
          </w:tcPr>
          <w:p>
            <w:pPr>
              <w:pStyle w:val="TableText"/>
              <w:ind w:left="114" w:right="26" w:firstLine="1"/>
              <w:spacing w:before="50" w:line="268" w:lineRule="auto"/>
              <w:jc w:val="both"/>
              <w:rPr/>
            </w:pPr>
            <w:r>
              <w:rPr>
                <w:spacing w:val="-13"/>
              </w:rPr>
              <w:t>单利按计息，不计复利。</w:t>
            </w:r>
            <w:r>
              <w:rPr>
                <w:spacing w:val="8"/>
              </w:rPr>
              <w:t xml:space="preserve"> </w:t>
            </w:r>
            <w:r>
              <w:rPr/>
              <w:t>每年付息一次，最后一</w:t>
            </w:r>
            <w:r>
              <w:rPr>
                <w:spacing w:val="2"/>
              </w:rPr>
              <w:t xml:space="preserve"> </w:t>
            </w:r>
            <w:r>
              <w:rPr/>
              <w:t>期利息随本金的兑付一</w:t>
            </w:r>
            <w:r>
              <w:rPr>
                <w:spacing w:val="2"/>
              </w:rPr>
              <w:t xml:space="preserve"> </w:t>
            </w:r>
            <w:r>
              <w:rPr>
                <w:spacing w:val="-2"/>
              </w:rPr>
              <w:t>起支付</w:t>
            </w:r>
          </w:p>
        </w:tc>
        <w:tc>
          <w:tcPr>
            <w:tcW w:w="933" w:type="dxa"/>
            <w:vAlign w:val="top"/>
          </w:tcPr>
          <w:p>
            <w:pPr>
              <w:pStyle w:val="TableText"/>
              <w:ind w:left="115" w:right="104" w:firstLine="2"/>
              <w:spacing w:before="50" w:line="266" w:lineRule="auto"/>
              <w:jc w:val="both"/>
              <w:rPr/>
            </w:pPr>
            <w:r>
              <w:rPr>
                <w:spacing w:val="25"/>
              </w:rPr>
              <w:t>上海证</w:t>
            </w:r>
            <w:r>
              <w:rPr/>
              <w:t xml:space="preserve"> </w:t>
            </w:r>
            <w:r>
              <w:rPr>
                <w:spacing w:val="25"/>
              </w:rPr>
              <w:t>券交易</w:t>
            </w:r>
            <w:r>
              <w:rPr>
                <w:spacing w:val="1"/>
              </w:rPr>
              <w:t xml:space="preserve"> </w:t>
            </w:r>
            <w:r>
              <w:rPr/>
              <w:t>所</w:t>
            </w:r>
          </w:p>
        </w:tc>
      </w:tr>
      <w:tr>
        <w:trPr>
          <w:trHeight w:val="1256" w:hRule="atLeast"/>
        </w:trPr>
        <w:tc>
          <w:tcPr>
            <w:tcW w:w="1641" w:type="dxa"/>
            <w:vAlign w:val="top"/>
          </w:tcPr>
          <w:p>
            <w:pPr>
              <w:pStyle w:val="TableText"/>
              <w:ind w:left="115" w:right="107" w:firstLine="20"/>
              <w:spacing w:before="53" w:line="262" w:lineRule="auto"/>
              <w:jc w:val="both"/>
              <w:rPr/>
            </w:pPr>
            <w:r>
              <w:rPr>
                <w:spacing w:val="21"/>
              </w:rPr>
              <w:t>中国联合网络</w:t>
            </w:r>
            <w:r>
              <w:rPr>
                <w:spacing w:val="4"/>
              </w:rPr>
              <w:t xml:space="preserve"> </w:t>
            </w:r>
            <w:r>
              <w:rPr>
                <w:spacing w:val="25"/>
              </w:rPr>
              <w:t>通信有限公司</w:t>
            </w:r>
            <w:r>
              <w:rPr>
                <w:spacing w:val="1"/>
              </w:rPr>
              <w:t xml:space="preserve"> </w:t>
            </w:r>
            <w:r>
              <w:rPr>
                <w:spacing w:val="3"/>
              </w:rPr>
              <w:t>2019</w:t>
            </w:r>
            <w:r>
              <w:rPr>
                <w:spacing w:val="23"/>
              </w:rPr>
              <w:t xml:space="preserve"> </w:t>
            </w:r>
            <w:r>
              <w:rPr>
                <w:spacing w:val="3"/>
              </w:rPr>
              <w:t>年公司债</w:t>
            </w:r>
            <w:r>
              <w:rPr/>
              <w:t xml:space="preserve"> </w:t>
            </w:r>
            <w:r>
              <w:rPr>
                <w:spacing w:val="-1"/>
              </w:rPr>
              <w:t>券（第一期）</w:t>
            </w:r>
          </w:p>
        </w:tc>
        <w:tc>
          <w:tcPr>
            <w:tcW w:w="888" w:type="dxa"/>
            <w:vAlign w:val="top"/>
          </w:tcPr>
          <w:p>
            <w:pPr>
              <w:pStyle w:val="TableText"/>
              <w:ind w:left="111" w:right="106" w:firstLine="13"/>
              <w:spacing w:before="55" w:line="267" w:lineRule="auto"/>
              <w:rPr/>
            </w:pPr>
            <w:r>
              <w:rPr>
                <w:spacing w:val="-8"/>
              </w:rPr>
              <w:t>19</w:t>
            </w:r>
            <w:r>
              <w:rPr>
                <w:spacing w:val="-53"/>
              </w:rPr>
              <w:t xml:space="preserve"> </w:t>
            </w:r>
            <w:r>
              <w:rPr>
                <w:spacing w:val="-8"/>
              </w:rPr>
              <w:t>联通</w:t>
            </w:r>
            <w:r>
              <w:rPr/>
              <w:t xml:space="preserve"> </w:t>
            </w:r>
            <w:r>
              <w:rPr>
                <w:spacing w:val="-3"/>
              </w:rPr>
              <w:t>01</w:t>
            </w:r>
          </w:p>
        </w:tc>
        <w:tc>
          <w:tcPr>
            <w:tcW w:w="1164" w:type="dxa"/>
            <w:vAlign w:val="top"/>
          </w:tcPr>
          <w:p>
            <w:pPr>
              <w:pStyle w:val="TableText"/>
              <w:ind w:left="127"/>
              <w:spacing w:before="89" w:line="183" w:lineRule="auto"/>
              <w:rPr/>
            </w:pPr>
            <w:r>
              <w:rPr>
                <w:spacing w:val="-2"/>
              </w:rPr>
              <w:t>155478.SH</w:t>
            </w:r>
          </w:p>
        </w:tc>
        <w:tc>
          <w:tcPr>
            <w:tcW w:w="830" w:type="dxa"/>
            <w:vAlign w:val="top"/>
          </w:tcPr>
          <w:p>
            <w:pPr>
              <w:pStyle w:val="TableText"/>
              <w:ind w:left="112"/>
              <w:spacing w:before="89" w:line="183" w:lineRule="auto"/>
              <w:rPr/>
            </w:pPr>
            <w:r>
              <w:rPr>
                <w:spacing w:val="-2"/>
              </w:rPr>
              <w:t>2019</w:t>
            </w:r>
          </w:p>
          <w:p>
            <w:pPr>
              <w:pStyle w:val="TableText"/>
              <w:ind w:left="125" w:right="105" w:hanging="14"/>
              <w:spacing w:before="70" w:line="263" w:lineRule="auto"/>
              <w:rPr/>
            </w:pPr>
            <w:r>
              <w:rPr>
                <w:spacing w:val="-10"/>
              </w:rPr>
              <w:t>年</w:t>
            </w:r>
            <w:r>
              <w:rPr>
                <w:spacing w:val="-50"/>
              </w:rPr>
              <w:t xml:space="preserve"> </w:t>
            </w:r>
            <w:r>
              <w:rPr>
                <w:spacing w:val="-10"/>
              </w:rPr>
              <w:t>6</w:t>
            </w:r>
            <w:r>
              <w:rPr>
                <w:spacing w:val="-49"/>
              </w:rPr>
              <w:t xml:space="preserve"> </w:t>
            </w:r>
            <w:r>
              <w:rPr>
                <w:spacing w:val="-10"/>
              </w:rPr>
              <w:t>月</w:t>
            </w:r>
            <w:r>
              <w:rPr/>
              <w:t xml:space="preserve"> </w:t>
            </w:r>
            <w:r>
              <w:rPr>
                <w:spacing w:val="-8"/>
              </w:rPr>
              <w:t>19 日</w:t>
            </w:r>
          </w:p>
        </w:tc>
        <w:tc>
          <w:tcPr>
            <w:tcW w:w="892" w:type="dxa"/>
            <w:vAlign w:val="top"/>
          </w:tcPr>
          <w:p>
            <w:pPr>
              <w:pStyle w:val="TableText"/>
              <w:ind w:left="114" w:right="102"/>
              <w:spacing w:before="55" w:line="267" w:lineRule="auto"/>
              <w:jc w:val="both"/>
              <w:rPr/>
            </w:pPr>
            <w:r>
              <w:rPr>
                <w:spacing w:val="-4"/>
              </w:rPr>
              <w:t>2022</w:t>
            </w:r>
            <w:r>
              <w:rPr>
                <w:spacing w:val="-48"/>
              </w:rPr>
              <w:t xml:space="preserve"> </w:t>
            </w:r>
            <w:r>
              <w:rPr>
                <w:spacing w:val="-4"/>
              </w:rPr>
              <w:t>年</w:t>
            </w:r>
            <w:r>
              <w:rPr/>
              <w:t xml:space="preserve"> </w:t>
            </w:r>
            <w:r>
              <w:rPr>
                <w:spacing w:val="-11"/>
              </w:rPr>
              <w:t>6</w:t>
            </w:r>
            <w:r>
              <w:rPr>
                <w:spacing w:val="-12"/>
              </w:rPr>
              <w:t xml:space="preserve"> </w:t>
            </w:r>
            <w:r>
              <w:rPr>
                <w:spacing w:val="-11"/>
              </w:rPr>
              <w:t>月 19</w:t>
            </w:r>
            <w:r>
              <w:rPr/>
              <w:t xml:space="preserve"> </w:t>
            </w:r>
            <w:r>
              <w:rPr/>
              <w:t>日</w:t>
            </w:r>
          </w:p>
        </w:tc>
        <w:tc>
          <w:tcPr>
            <w:tcW w:w="1584" w:type="dxa"/>
            <w:vAlign w:val="top"/>
          </w:tcPr>
          <w:p>
            <w:pPr>
              <w:pStyle w:val="TableText"/>
              <w:ind w:left="116"/>
              <w:spacing w:before="90" w:line="182" w:lineRule="auto"/>
              <w:rPr/>
            </w:pPr>
            <w:r>
              <w:rPr>
                <w:spacing w:val="-1"/>
              </w:rPr>
              <w:t>2,000,000,000</w:t>
            </w:r>
          </w:p>
        </w:tc>
        <w:tc>
          <w:tcPr>
            <w:tcW w:w="806" w:type="dxa"/>
            <w:vAlign w:val="top"/>
          </w:tcPr>
          <w:p>
            <w:pPr>
              <w:pStyle w:val="TableText"/>
              <w:ind w:left="116"/>
              <w:spacing w:before="90" w:line="182" w:lineRule="auto"/>
              <w:rPr/>
            </w:pPr>
            <w:r>
              <w:rPr>
                <w:spacing w:val="-2"/>
              </w:rPr>
              <w:t>3.67</w:t>
            </w:r>
          </w:p>
        </w:tc>
        <w:tc>
          <w:tcPr>
            <w:tcW w:w="2325" w:type="dxa"/>
            <w:vAlign w:val="top"/>
          </w:tcPr>
          <w:p>
            <w:pPr>
              <w:pStyle w:val="TableText"/>
              <w:ind w:left="135"/>
              <w:spacing w:before="54" w:line="223" w:lineRule="auto"/>
              <w:rPr/>
            </w:pPr>
            <w:r>
              <w:rPr>
                <w:spacing w:val="-7"/>
              </w:rPr>
              <w:t>同上</w:t>
            </w:r>
          </w:p>
        </w:tc>
        <w:tc>
          <w:tcPr>
            <w:tcW w:w="933" w:type="dxa"/>
            <w:vAlign w:val="top"/>
          </w:tcPr>
          <w:p>
            <w:pPr>
              <w:pStyle w:val="TableText"/>
              <w:ind w:left="115" w:right="104" w:firstLine="2"/>
              <w:spacing w:before="54" w:line="266" w:lineRule="auto"/>
              <w:jc w:val="both"/>
              <w:rPr/>
            </w:pPr>
            <w:r>
              <w:rPr>
                <w:spacing w:val="25"/>
              </w:rPr>
              <w:t>上海证</w:t>
            </w:r>
            <w:r>
              <w:rPr/>
              <w:t xml:space="preserve"> </w:t>
            </w:r>
            <w:r>
              <w:rPr>
                <w:spacing w:val="25"/>
              </w:rPr>
              <w:t>券交易</w:t>
            </w:r>
            <w:r>
              <w:rPr>
                <w:spacing w:val="1"/>
              </w:rPr>
              <w:t xml:space="preserve"> </w:t>
            </w:r>
            <w:r>
              <w:rPr/>
              <w:t>所</w:t>
            </w:r>
          </w:p>
        </w:tc>
      </w:tr>
    </w:tbl>
    <w:p>
      <w:pPr>
        <w:spacing w:line="294" w:lineRule="auto"/>
        <w:rPr>
          <w:rFonts w:ascii="Arial"/>
          <w:sz w:val="21"/>
        </w:rPr>
      </w:pPr>
      <w:r/>
    </w:p>
    <w:p>
      <w:pPr>
        <w:pStyle w:val="BodyText"/>
        <w:ind w:left="879" w:right="991" w:hanging="13"/>
        <w:spacing w:before="68" w:line="260" w:lineRule="auto"/>
        <w:rPr/>
      </w:pPr>
      <w:r>
        <w:rPr>
          <w:spacing w:val="-2"/>
        </w:rPr>
        <w:t>本节所述债券发行人均为：本公司间接控股子公司</w:t>
      </w:r>
      <w:r>
        <w:rPr>
          <w:rFonts w:ascii="Arial" w:hAnsi="Arial" w:eastAsia="Arial" w:cs="Arial"/>
          <w:spacing w:val="-2"/>
        </w:rPr>
        <w:t>-</w:t>
      </w:r>
      <w:r>
        <w:rPr>
          <w:spacing w:val="-2"/>
        </w:rPr>
        <w:t>联通红筹公司之全资附属</w:t>
      </w:r>
      <w:r>
        <w:rPr>
          <w:spacing w:val="-3"/>
        </w:rPr>
        <w:t>公司中国联合网络通信有</w:t>
      </w:r>
      <w:r>
        <w:rPr/>
        <w:t xml:space="preserve"> </w:t>
      </w:r>
      <w:r>
        <w:rPr>
          <w:spacing w:val="-15"/>
        </w:rPr>
        <w:t>限公司（简称“联通运营公司”）。</w:t>
      </w:r>
    </w:p>
    <w:p>
      <w:pPr>
        <w:spacing w:line="349" w:lineRule="auto"/>
        <w:rPr>
          <w:rFonts w:ascii="Arial"/>
          <w:sz w:val="21"/>
        </w:rPr>
      </w:pPr>
      <w:r/>
    </w:p>
    <w:p>
      <w:pPr>
        <w:pStyle w:val="BodyText"/>
        <w:ind w:left="869"/>
        <w:spacing w:before="68" w:line="221" w:lineRule="auto"/>
        <w:rPr/>
      </w:pPr>
      <w:r>
        <w:rPr>
          <w:b/>
          <w:bCs/>
          <w:spacing w:val="-3"/>
        </w:rPr>
        <w:t>5.2</w:t>
      </w:r>
      <w:r>
        <w:rPr>
          <w:spacing w:val="-3"/>
        </w:rPr>
        <w:t xml:space="preserve"> </w:t>
      </w:r>
      <w:r>
        <w:rPr>
          <w:b/>
          <w:bCs/>
          <w:spacing w:val="-3"/>
        </w:rPr>
        <w:t>公司债券付息兑付情况</w:t>
      </w:r>
    </w:p>
    <w:p>
      <w:pPr>
        <w:pStyle w:val="BodyText"/>
        <w:ind w:left="917"/>
        <w:spacing w:before="140" w:line="222" w:lineRule="auto"/>
        <w:rPr/>
      </w:pPr>
      <w:r>
        <w:rPr>
          <w:spacing w:val="-13"/>
        </w:rPr>
        <w:t>√适用</w:t>
      </w:r>
      <w:r>
        <w:rPr>
          <w:spacing w:val="32"/>
        </w:rPr>
        <w:t xml:space="preserve"> </w:t>
      </w:r>
      <w:r>
        <w:rPr>
          <w:spacing w:val="-13"/>
        </w:rPr>
        <w:t>□不适用</w:t>
      </w:r>
    </w:p>
    <w:p>
      <w:pPr>
        <w:pStyle w:val="BodyText"/>
        <w:ind w:left="866"/>
        <w:spacing w:before="137" w:line="219" w:lineRule="auto"/>
        <w:rPr/>
      </w:pPr>
      <w:r>
        <w:rPr>
          <w:spacing w:val="-1"/>
        </w:rPr>
        <w:t>联通运营公司现存公司债券报告期内兑付正常。</w:t>
      </w:r>
    </w:p>
    <w:p>
      <w:pPr>
        <w:spacing w:line="459" w:lineRule="auto"/>
        <w:rPr>
          <w:rFonts w:ascii="Arial"/>
          <w:sz w:val="21"/>
        </w:rPr>
      </w:pPr>
      <w:r/>
    </w:p>
    <w:p>
      <w:pPr>
        <w:pStyle w:val="BodyText"/>
        <w:ind w:left="869"/>
        <w:spacing w:before="68" w:line="221" w:lineRule="auto"/>
        <w:rPr/>
      </w:pPr>
      <w:r>
        <w:rPr>
          <w:b/>
          <w:bCs/>
          <w:spacing w:val="-3"/>
        </w:rPr>
        <w:t>5.3</w:t>
      </w:r>
      <w:r>
        <w:rPr>
          <w:spacing w:val="-3"/>
        </w:rPr>
        <w:t xml:space="preserve"> </w:t>
      </w:r>
      <w:r>
        <w:rPr>
          <w:b/>
          <w:bCs/>
          <w:spacing w:val="-3"/>
        </w:rPr>
        <w:t>公司债券评级情况</w:t>
      </w:r>
    </w:p>
    <w:p>
      <w:pPr>
        <w:pStyle w:val="BodyText"/>
        <w:ind w:left="917"/>
        <w:spacing w:before="141" w:line="222" w:lineRule="auto"/>
        <w:rPr/>
      </w:pPr>
      <w:r>
        <w:rPr>
          <w:spacing w:val="-13"/>
        </w:rPr>
        <w:t>√适用</w:t>
      </w:r>
      <w:r>
        <w:rPr>
          <w:spacing w:val="16"/>
        </w:rPr>
        <w:t xml:space="preserve">  </w:t>
      </w:r>
      <w:r>
        <w:rPr>
          <w:spacing w:val="-13"/>
        </w:rPr>
        <w:t>□不适用</w:t>
      </w:r>
    </w:p>
    <w:p>
      <w:pPr>
        <w:pStyle w:val="BodyText"/>
        <w:ind w:left="870" w:right="1012" w:firstLine="415"/>
        <w:spacing w:before="114" w:line="303" w:lineRule="auto"/>
        <w:rPr/>
      </w:pPr>
      <w:r>
        <w:rPr>
          <w:spacing w:val="-1"/>
        </w:rPr>
        <w:t>联合信用评级有限公司将在每年联通运营公司审计报告出具后两个月内进</w:t>
      </w:r>
      <w:r>
        <w:rPr>
          <w:spacing w:val="-2"/>
        </w:rPr>
        <w:t>行一次定期跟踪评级，</w:t>
      </w:r>
      <w:r>
        <w:rPr/>
        <w:t xml:space="preserve"> </w:t>
      </w:r>
      <w:r>
        <w:rPr>
          <w:spacing w:val="-1"/>
        </w:rPr>
        <w:t>并在债券存续期内根据有关情况进行不定期跟踪评级。</w:t>
      </w:r>
    </w:p>
    <w:p>
      <w:pPr>
        <w:spacing w:line="449" w:lineRule="auto"/>
        <w:rPr>
          <w:rFonts w:ascii="Arial"/>
          <w:sz w:val="21"/>
        </w:rPr>
      </w:pPr>
      <w:r/>
    </w:p>
    <w:p>
      <w:pPr>
        <w:pStyle w:val="BodyText"/>
        <w:ind w:left="869"/>
        <w:spacing w:before="69" w:line="220" w:lineRule="auto"/>
        <w:rPr/>
      </w:pPr>
      <w:r>
        <w:rPr>
          <w:b/>
          <w:bCs/>
          <w:spacing w:val="-3"/>
        </w:rPr>
        <w:t>5.4</w:t>
      </w:r>
      <w:r>
        <w:rPr>
          <w:spacing w:val="-3"/>
        </w:rPr>
        <w:t xml:space="preserve"> </w:t>
      </w:r>
      <w:r>
        <w:rPr>
          <w:b/>
          <w:bCs/>
          <w:spacing w:val="-3"/>
        </w:rPr>
        <w:t>公司近</w:t>
      </w:r>
      <w:r>
        <w:rPr>
          <w:spacing w:val="-32"/>
        </w:rPr>
        <w:t xml:space="preserve"> </w:t>
      </w:r>
      <w:r>
        <w:rPr>
          <w:rFonts w:ascii="Arial" w:hAnsi="Arial" w:eastAsia="Arial" w:cs="Arial"/>
          <w:b/>
          <w:bCs/>
          <w:spacing w:val="-3"/>
        </w:rPr>
        <w:t>2 </w:t>
      </w:r>
      <w:r>
        <w:rPr>
          <w:b/>
          <w:bCs/>
          <w:spacing w:val="-3"/>
        </w:rPr>
        <w:t>年的主要会计数据和财务指标</w:t>
      </w:r>
    </w:p>
    <w:p>
      <w:pPr>
        <w:pStyle w:val="BodyText"/>
        <w:ind w:left="917"/>
        <w:spacing w:before="141" w:line="222" w:lineRule="auto"/>
        <w:rPr/>
      </w:pPr>
      <w:r>
        <w:rPr>
          <w:spacing w:val="-13"/>
        </w:rPr>
        <w:t>√适用</w:t>
      </w:r>
      <w:r>
        <w:rPr>
          <w:spacing w:val="32"/>
        </w:rPr>
        <w:t xml:space="preserve"> </w:t>
      </w:r>
      <w:r>
        <w:rPr>
          <w:spacing w:val="-13"/>
        </w:rPr>
        <w:t>□不适用</w:t>
      </w:r>
    </w:p>
    <w:p>
      <w:pPr>
        <w:spacing w:line="87" w:lineRule="auto"/>
        <w:rPr>
          <w:rFonts w:ascii="Arial"/>
          <w:sz w:val="2"/>
        </w:rPr>
      </w:pPr>
      <w:r>
        <w:rPr>
          <w:rFonts w:ascii="Arial"/>
          <w:sz w:val="2"/>
        </w:rPr>
      </w:r>
    </w:p>
    <w:tbl>
      <w:tblPr>
        <w:tblStyle w:val="TableNormal"/>
        <w:tblW w:w="9435" w:type="dxa"/>
        <w:tblInd w:w="746"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24"/>
        <w:gridCol w:w="2065"/>
        <w:gridCol w:w="1893"/>
        <w:gridCol w:w="2553"/>
      </w:tblGrid>
      <w:tr>
        <w:trPr>
          <w:trHeight w:val="320" w:hRule="atLeast"/>
        </w:trPr>
        <w:tc>
          <w:tcPr>
            <w:shd w:val="clear" w:fill="D9D9D9"/>
            <w:tcW w:w="2924" w:type="dxa"/>
            <w:vAlign w:val="top"/>
          </w:tcPr>
          <w:p>
            <w:pPr>
              <w:pStyle w:val="TableText"/>
              <w:ind w:left="1048"/>
              <w:spacing w:before="56" w:line="221" w:lineRule="auto"/>
              <w:rPr/>
            </w:pPr>
            <w:r>
              <w:rPr>
                <w:spacing w:val="-2"/>
              </w:rPr>
              <w:t>主要指标</w:t>
            </w:r>
          </w:p>
        </w:tc>
        <w:tc>
          <w:tcPr>
            <w:shd w:val="clear" w:fill="D9D9D9"/>
            <w:tcW w:w="2065" w:type="dxa"/>
            <w:vAlign w:val="top"/>
            <w:tcBorders>
              <w:right w:val="single" w:color="000000" w:sz="4" w:space="0"/>
            </w:tcBorders>
          </w:tcPr>
          <w:p>
            <w:pPr>
              <w:pStyle w:val="TableText"/>
              <w:ind w:left="699"/>
              <w:spacing w:before="55" w:line="221" w:lineRule="auto"/>
              <w:rPr/>
            </w:pPr>
            <w:r>
              <w:rPr>
                <w:spacing w:val="-2"/>
              </w:rPr>
              <w:t>2020</w:t>
            </w:r>
            <w:r>
              <w:rPr>
                <w:spacing w:val="-45"/>
              </w:rPr>
              <w:t xml:space="preserve"> </w:t>
            </w:r>
            <w:r>
              <w:rPr>
                <w:spacing w:val="-2"/>
              </w:rPr>
              <w:t>年</w:t>
            </w:r>
          </w:p>
        </w:tc>
        <w:tc>
          <w:tcPr>
            <w:shd w:val="clear" w:fill="D9D9D9"/>
            <w:tcW w:w="1893" w:type="dxa"/>
            <w:vAlign w:val="top"/>
            <w:tcBorders>
              <w:left w:val="single" w:color="000000" w:sz="4" w:space="0"/>
            </w:tcBorders>
          </w:tcPr>
          <w:p>
            <w:pPr>
              <w:pStyle w:val="TableText"/>
              <w:ind w:left="611"/>
              <w:spacing w:before="55" w:line="221" w:lineRule="auto"/>
              <w:rPr/>
            </w:pPr>
            <w:r>
              <w:rPr>
                <w:spacing w:val="-2"/>
              </w:rPr>
              <w:t>2019</w:t>
            </w:r>
            <w:r>
              <w:rPr>
                <w:spacing w:val="-45"/>
              </w:rPr>
              <w:t xml:space="preserve"> </w:t>
            </w:r>
            <w:r>
              <w:rPr>
                <w:spacing w:val="-2"/>
              </w:rPr>
              <w:t>年</w:t>
            </w:r>
          </w:p>
        </w:tc>
        <w:tc>
          <w:tcPr>
            <w:shd w:val="clear" w:fill="D9D9D9"/>
            <w:tcW w:w="2553" w:type="dxa"/>
            <w:vAlign w:val="top"/>
          </w:tcPr>
          <w:p>
            <w:pPr>
              <w:pStyle w:val="TableText"/>
              <w:ind w:left="114"/>
              <w:spacing w:before="55" w:line="220" w:lineRule="auto"/>
              <w:rPr/>
            </w:pPr>
            <w:r>
              <w:rPr>
                <w:spacing w:val="-1"/>
              </w:rPr>
              <w:t>本期比上年同期增减（%）</w:t>
            </w:r>
          </w:p>
        </w:tc>
      </w:tr>
      <w:tr>
        <w:trPr>
          <w:trHeight w:val="317" w:hRule="atLeast"/>
        </w:trPr>
        <w:tc>
          <w:tcPr>
            <w:tcW w:w="2924" w:type="dxa"/>
            <w:vAlign w:val="top"/>
          </w:tcPr>
          <w:p>
            <w:pPr>
              <w:pStyle w:val="TableText"/>
              <w:ind w:left="125"/>
              <w:spacing w:before="54" w:line="221" w:lineRule="auto"/>
              <w:rPr/>
            </w:pPr>
            <w:r>
              <w:rPr>
                <w:spacing w:val="-2"/>
              </w:rPr>
              <w:t>资产负债率（%）</w:t>
            </w:r>
          </w:p>
        </w:tc>
        <w:tc>
          <w:tcPr>
            <w:tcW w:w="2065" w:type="dxa"/>
            <w:vAlign w:val="top"/>
            <w:tcBorders>
              <w:right w:val="single" w:color="000000" w:sz="4" w:space="0"/>
            </w:tcBorders>
          </w:tcPr>
          <w:p>
            <w:pPr>
              <w:pStyle w:val="TableText"/>
              <w:ind w:left="1437"/>
              <w:spacing w:before="90" w:line="182" w:lineRule="auto"/>
              <w:rPr/>
            </w:pPr>
            <w:r>
              <w:rPr>
                <w:spacing w:val="-1"/>
              </w:rPr>
              <w:t>48.82</w:t>
            </w:r>
          </w:p>
        </w:tc>
        <w:tc>
          <w:tcPr>
            <w:tcW w:w="1893" w:type="dxa"/>
            <w:vAlign w:val="top"/>
            <w:tcBorders>
              <w:left w:val="single" w:color="000000" w:sz="4" w:space="0"/>
            </w:tcBorders>
          </w:tcPr>
          <w:p>
            <w:pPr>
              <w:pStyle w:val="TableText"/>
              <w:ind w:left="1261"/>
              <w:spacing w:before="90" w:line="182" w:lineRule="auto"/>
              <w:rPr/>
            </w:pPr>
            <w:r>
              <w:rPr>
                <w:spacing w:val="-1"/>
              </w:rPr>
              <w:t>48.33</w:t>
            </w:r>
          </w:p>
        </w:tc>
        <w:tc>
          <w:tcPr>
            <w:tcW w:w="2553" w:type="dxa"/>
            <w:vAlign w:val="top"/>
          </w:tcPr>
          <w:p>
            <w:pPr>
              <w:pStyle w:val="TableText"/>
              <w:ind w:left="2028"/>
              <w:spacing w:before="90" w:line="182" w:lineRule="auto"/>
              <w:rPr/>
            </w:pPr>
            <w:r>
              <w:rPr>
                <w:spacing w:val="-2"/>
              </w:rPr>
              <w:t>0.49</w:t>
            </w:r>
          </w:p>
        </w:tc>
      </w:tr>
      <w:tr>
        <w:trPr>
          <w:trHeight w:val="316" w:hRule="atLeast"/>
        </w:trPr>
        <w:tc>
          <w:tcPr>
            <w:tcW w:w="2924" w:type="dxa"/>
            <w:vAlign w:val="top"/>
          </w:tcPr>
          <w:p>
            <w:pPr>
              <w:pStyle w:val="TableText"/>
              <w:ind w:left="113"/>
              <w:spacing w:before="54" w:line="221" w:lineRule="auto"/>
              <w:rPr/>
            </w:pPr>
            <w:r>
              <w:rPr>
                <w:spacing w:val="-2"/>
              </w:rPr>
              <w:t>EBITDA</w:t>
            </w:r>
            <w:r>
              <w:rPr>
                <w:spacing w:val="-35"/>
              </w:rPr>
              <w:t xml:space="preserve"> </w:t>
            </w:r>
            <w:r>
              <w:rPr>
                <w:spacing w:val="-2"/>
              </w:rPr>
              <w:t>全部债务比</w:t>
            </w:r>
          </w:p>
        </w:tc>
        <w:tc>
          <w:tcPr>
            <w:tcW w:w="2065" w:type="dxa"/>
            <w:vAlign w:val="top"/>
            <w:tcBorders>
              <w:right w:val="single" w:color="000000" w:sz="4" w:space="0"/>
            </w:tcBorders>
          </w:tcPr>
          <w:p>
            <w:pPr>
              <w:pStyle w:val="TableText"/>
              <w:ind w:left="1334"/>
              <w:spacing w:before="89" w:line="183" w:lineRule="auto"/>
              <w:rPr/>
            </w:pPr>
            <w:r>
              <w:rPr>
                <w:spacing w:val="-1"/>
              </w:rPr>
              <w:t>0.3321</w:t>
            </w:r>
          </w:p>
        </w:tc>
        <w:tc>
          <w:tcPr>
            <w:tcW w:w="1893" w:type="dxa"/>
            <w:vAlign w:val="top"/>
            <w:tcBorders>
              <w:left w:val="single" w:color="000000" w:sz="4" w:space="0"/>
            </w:tcBorders>
          </w:tcPr>
          <w:p>
            <w:pPr>
              <w:pStyle w:val="TableText"/>
              <w:ind w:left="1158"/>
              <w:spacing w:before="90" w:line="182" w:lineRule="auto"/>
              <w:rPr/>
            </w:pPr>
            <w:r>
              <w:rPr>
                <w:spacing w:val="-1"/>
              </w:rPr>
              <w:t>0.3494</w:t>
            </w:r>
          </w:p>
        </w:tc>
        <w:tc>
          <w:tcPr>
            <w:tcW w:w="2553" w:type="dxa"/>
            <w:vAlign w:val="top"/>
          </w:tcPr>
          <w:p>
            <w:pPr>
              <w:pStyle w:val="TableText"/>
              <w:ind w:left="1919"/>
              <w:spacing w:before="89" w:line="183" w:lineRule="auto"/>
              <w:rPr/>
            </w:pPr>
            <w:r>
              <w:rPr>
                <w:spacing w:val="-1"/>
              </w:rPr>
              <w:t>-1.73</w:t>
            </w:r>
          </w:p>
        </w:tc>
      </w:tr>
      <w:tr>
        <w:trPr>
          <w:trHeight w:val="320" w:hRule="atLeast"/>
        </w:trPr>
        <w:tc>
          <w:tcPr>
            <w:tcW w:w="2924" w:type="dxa"/>
            <w:vAlign w:val="top"/>
          </w:tcPr>
          <w:p>
            <w:pPr>
              <w:pStyle w:val="TableText"/>
              <w:ind w:left="116"/>
              <w:spacing w:before="55" w:line="221" w:lineRule="auto"/>
              <w:rPr/>
            </w:pPr>
            <w:r>
              <w:rPr>
                <w:spacing w:val="-1"/>
              </w:rPr>
              <w:t>利息保障倍数</w:t>
            </w:r>
          </w:p>
        </w:tc>
        <w:tc>
          <w:tcPr>
            <w:tcW w:w="2065" w:type="dxa"/>
            <w:vAlign w:val="top"/>
            <w:tcBorders>
              <w:right w:val="single" w:color="000000" w:sz="4" w:space="0"/>
            </w:tcBorders>
          </w:tcPr>
          <w:p>
            <w:pPr>
              <w:pStyle w:val="TableText"/>
              <w:ind w:left="1548"/>
              <w:spacing w:before="91" w:line="182" w:lineRule="auto"/>
              <w:rPr/>
            </w:pPr>
            <w:r>
              <w:rPr>
                <w:spacing w:val="-3"/>
              </w:rPr>
              <w:t>7.72</w:t>
            </w:r>
          </w:p>
        </w:tc>
        <w:tc>
          <w:tcPr>
            <w:tcW w:w="1893" w:type="dxa"/>
            <w:vAlign w:val="top"/>
            <w:tcBorders>
              <w:left w:val="single" w:color="000000" w:sz="4" w:space="0"/>
            </w:tcBorders>
          </w:tcPr>
          <w:p>
            <w:pPr>
              <w:pStyle w:val="TableText"/>
              <w:ind w:left="1372"/>
              <w:spacing w:before="91" w:line="182" w:lineRule="auto"/>
              <w:rPr/>
            </w:pPr>
            <w:r>
              <w:rPr>
                <w:spacing w:val="-2"/>
              </w:rPr>
              <w:t>5.56</w:t>
            </w:r>
          </w:p>
        </w:tc>
        <w:tc>
          <w:tcPr>
            <w:tcW w:w="2553" w:type="dxa"/>
            <w:vAlign w:val="top"/>
          </w:tcPr>
          <w:p>
            <w:pPr>
              <w:pStyle w:val="TableText"/>
              <w:ind w:left="1925"/>
              <w:spacing w:before="91" w:line="182" w:lineRule="auto"/>
              <w:rPr/>
            </w:pPr>
            <w:r>
              <w:rPr>
                <w:spacing w:val="-2"/>
              </w:rPr>
              <w:t>38.85</w:t>
            </w:r>
          </w:p>
        </w:tc>
      </w:tr>
    </w:tbl>
    <w:p>
      <w:pPr>
        <w:rPr>
          <w:rFonts w:ascii="Arial"/>
          <w:sz w:val="21"/>
        </w:rPr>
      </w:pPr>
      <w:r/>
    </w:p>
    <w:p>
      <w:pPr>
        <w:sectPr>
          <w:headerReference w:type="default" r:id="rId15"/>
          <w:footerReference w:type="default" r:id="rId16"/>
          <w:pgSz w:w="11907" w:h="16839"/>
          <w:pgMar w:top="1377" w:right="275" w:bottom="1374" w:left="561" w:header="837" w:footer="1212" w:gutter="0"/>
        </w:sectPr>
        <w:rPr>
          <w:rFonts w:ascii="Arial" w:hAnsi="Arial" w:eastAsia="Arial" w:cs="Arial"/>
          <w:sz w:val="21"/>
          <w:szCs w:val="21"/>
        </w:rPr>
      </w:pPr>
    </w:p>
    <w:p>
      <w:pPr>
        <w:ind w:left="42"/>
        <w:spacing w:before="264" w:line="220" w:lineRule="auto"/>
        <w:rPr>
          <w:rFonts w:ascii="SimHei" w:hAnsi="SimHei" w:eastAsia="SimHei" w:cs="SimHei"/>
          <w:sz w:val="24"/>
          <w:szCs w:val="24"/>
        </w:rPr>
      </w:pPr>
      <w:r>
        <w:rPr>
          <w:rFonts w:ascii="SimHei" w:hAnsi="SimHei" w:eastAsia="SimHei" w:cs="SimHei"/>
          <w:sz w:val="24"/>
          <w:szCs w:val="24"/>
          <w:b/>
          <w:bCs/>
          <w:spacing w:val="-5"/>
        </w:rPr>
        <w:t>三</w:t>
      </w:r>
      <w:r>
        <w:rPr>
          <w:rFonts w:ascii="SimHei" w:hAnsi="SimHei" w:eastAsia="SimHei" w:cs="SimHei"/>
          <w:sz w:val="24"/>
          <w:szCs w:val="24"/>
          <w:spacing w:val="78"/>
        </w:rPr>
        <w:t xml:space="preserve"> </w:t>
      </w:r>
      <w:r>
        <w:rPr>
          <w:rFonts w:ascii="SimHei" w:hAnsi="SimHei" w:eastAsia="SimHei" w:cs="SimHei"/>
          <w:sz w:val="24"/>
          <w:szCs w:val="24"/>
          <w:b/>
          <w:bCs/>
          <w:spacing w:val="-5"/>
        </w:rPr>
        <w:t>经营情况讨论与分析</w:t>
      </w:r>
    </w:p>
    <w:p>
      <w:pPr>
        <w:pStyle w:val="BodyText"/>
        <w:ind w:left="43"/>
        <w:spacing w:before="277" w:line="219" w:lineRule="auto"/>
        <w:rPr/>
      </w:pPr>
      <w:r>
        <w:rPr>
          <w:b/>
          <w:bCs/>
          <w:spacing w:val="-3"/>
        </w:rPr>
        <w:t>（一）报告期内主要经营情况</w:t>
      </w:r>
    </w:p>
    <w:p>
      <w:pPr>
        <w:pStyle w:val="BodyText"/>
        <w:ind w:left="37"/>
        <w:spacing w:before="218" w:line="221" w:lineRule="auto"/>
        <w:rPr/>
      </w:pPr>
      <w:r>
        <w:rPr>
          <w:b/>
          <w:bCs/>
          <w:spacing w:val="-2"/>
        </w:rPr>
        <w:t>第一部分：经营情况讨论与分析</w:t>
      </w:r>
    </w:p>
    <w:p>
      <w:pPr>
        <w:pStyle w:val="BodyText"/>
        <w:ind w:left="39" w:right="50" w:firstLine="420"/>
        <w:spacing w:before="273" w:line="307" w:lineRule="auto"/>
        <w:rPr/>
      </w:pPr>
      <w:r>
        <w:rPr>
          <w:spacing w:val="-2"/>
        </w:rPr>
        <w:t>2020</w:t>
      </w:r>
      <w:r>
        <w:rPr>
          <w:spacing w:val="-45"/>
        </w:rPr>
        <w:t xml:space="preserve"> </w:t>
      </w:r>
      <w:r>
        <w:rPr>
          <w:spacing w:val="-2"/>
        </w:rPr>
        <w:t>年，面对复杂的内外部环境挑战，公司积极助力疫情防控，坚定实施聚</w:t>
      </w:r>
      <w:r>
        <w:rPr>
          <w:spacing w:val="-3"/>
        </w:rPr>
        <w:t>焦创新合作战略，加</w:t>
      </w:r>
      <w:r>
        <w:rPr/>
        <w:t xml:space="preserve"> </w:t>
      </w:r>
      <w:r>
        <w:rPr>
          <w:spacing w:val="-1"/>
        </w:rPr>
        <w:t>快推进全面数字化转型，努力推进行业生态优化，网络共建共享成绩斐然，经营发展态势持续向好，</w:t>
      </w:r>
      <w:r>
        <w:rPr>
          <w:spacing w:val="7"/>
        </w:rPr>
        <w:t xml:space="preserve"> </w:t>
      </w:r>
      <w:r>
        <w:rPr/>
        <w:t>混改效能进一步释放，公司在高质量发展道路上继续迈出</w:t>
      </w:r>
      <w:r>
        <w:rPr>
          <w:spacing w:val="-1"/>
        </w:rPr>
        <w:t>坚实步伐。</w:t>
      </w:r>
    </w:p>
    <w:p>
      <w:pPr>
        <w:pStyle w:val="BodyText"/>
        <w:ind w:left="477"/>
        <w:spacing w:before="187" w:line="221" w:lineRule="auto"/>
        <w:rPr/>
      </w:pPr>
      <w:r>
        <w:rPr>
          <w:b/>
          <w:bCs/>
          <w:spacing w:val="-7"/>
        </w:rPr>
        <w:t>1.</w:t>
      </w:r>
      <w:r>
        <w:rPr>
          <w:spacing w:val="11"/>
        </w:rPr>
        <w:t xml:space="preserve"> </w:t>
      </w:r>
      <w:r>
        <w:rPr>
          <w:b/>
          <w:bCs/>
          <w:spacing w:val="-7"/>
        </w:rPr>
        <w:t>整体业绩</w:t>
      </w:r>
    </w:p>
    <w:p>
      <w:pPr>
        <w:pStyle w:val="BodyText"/>
        <w:ind w:left="38" w:right="45" w:firstLine="420"/>
        <w:spacing w:before="264" w:line="307" w:lineRule="auto"/>
        <w:jc w:val="both"/>
        <w:rPr/>
      </w:pPr>
      <w:r>
        <w:rPr>
          <w:spacing w:val="-1"/>
        </w:rPr>
        <w:t>2020</w:t>
      </w:r>
      <w:r>
        <w:rPr>
          <w:spacing w:val="-38"/>
        </w:rPr>
        <w:t xml:space="preserve"> </w:t>
      </w:r>
      <w:r>
        <w:rPr>
          <w:spacing w:val="-1"/>
        </w:rPr>
        <w:t>年，公司实现主营业务收入人民币</w:t>
      </w:r>
      <w:r>
        <w:rPr>
          <w:spacing w:val="-37"/>
        </w:rPr>
        <w:t xml:space="preserve"> </w:t>
      </w:r>
      <w:r>
        <w:rPr>
          <w:spacing w:val="-1"/>
        </w:rPr>
        <w:t>2,758</w:t>
      </w:r>
      <w:r>
        <w:rPr>
          <w:spacing w:val="-41"/>
        </w:rPr>
        <w:t xml:space="preserve"> </w:t>
      </w:r>
      <w:r>
        <w:rPr>
          <w:spacing w:val="-1"/>
        </w:rPr>
        <w:t>亿元，同比上升</w:t>
      </w:r>
      <w:r>
        <w:rPr>
          <w:spacing w:val="-42"/>
        </w:rPr>
        <w:t xml:space="preserve"> </w:t>
      </w:r>
      <w:r>
        <w:rPr>
          <w:spacing w:val="-1"/>
        </w:rPr>
        <w:t>4.3%，高于行</w:t>
      </w:r>
      <w:r>
        <w:rPr>
          <w:spacing w:val="-2"/>
        </w:rPr>
        <w:t>业平均的</w:t>
      </w:r>
      <w:r>
        <w:rPr>
          <w:spacing w:val="-34"/>
        </w:rPr>
        <w:t xml:space="preserve"> </w:t>
      </w:r>
      <w:r>
        <w:rPr>
          <w:spacing w:val="-2"/>
        </w:rPr>
        <w:t>3.6%，发</w:t>
      </w:r>
      <w:r>
        <w:rPr/>
        <w:t xml:space="preserve"> </w:t>
      </w:r>
      <w:r>
        <w:rPr>
          <w:spacing w:val="-1"/>
        </w:rPr>
        <w:t>展速度继续领先行业。盈利能力稳步提升，提质增效成果</w:t>
      </w:r>
      <w:r>
        <w:rPr>
          <w:spacing w:val="-2"/>
        </w:rPr>
        <w:t>显著。利润总额达到人民币</w:t>
      </w:r>
      <w:r>
        <w:rPr>
          <w:spacing w:val="-28"/>
        </w:rPr>
        <w:t xml:space="preserve"> </w:t>
      </w:r>
      <w:r>
        <w:rPr>
          <w:spacing w:val="-2"/>
        </w:rPr>
        <w:t>160</w:t>
      </w:r>
      <w:r>
        <w:rPr>
          <w:spacing w:val="-43"/>
        </w:rPr>
        <w:t xml:space="preserve"> </w:t>
      </w:r>
      <w:r>
        <w:rPr>
          <w:spacing w:val="-2"/>
        </w:rPr>
        <w:t>亿元，归属</w:t>
      </w:r>
      <w:r>
        <w:rPr/>
        <w:t xml:space="preserve"> </w:t>
      </w:r>
      <w:r>
        <w:rPr>
          <w:spacing w:val="-2"/>
        </w:rPr>
        <w:t>于母公司净利润达到人民币</w:t>
      </w:r>
      <w:r>
        <w:rPr>
          <w:spacing w:val="-22"/>
        </w:rPr>
        <w:t xml:space="preserve"> </w:t>
      </w:r>
      <w:r>
        <w:rPr>
          <w:spacing w:val="-2"/>
        </w:rPr>
        <w:t>55</w:t>
      </w:r>
      <w:r>
        <w:rPr>
          <w:spacing w:val="-46"/>
        </w:rPr>
        <w:t xml:space="preserve"> </w:t>
      </w:r>
      <w:r>
        <w:rPr>
          <w:spacing w:val="-2"/>
        </w:rPr>
        <w:t>亿元，同比增长</w:t>
      </w:r>
      <w:r>
        <w:rPr>
          <w:spacing w:val="-28"/>
        </w:rPr>
        <w:t xml:space="preserve"> </w:t>
      </w:r>
      <w:r>
        <w:rPr>
          <w:spacing w:val="-2"/>
        </w:rPr>
        <w:t>10.8%。EBITDA</w:t>
      </w:r>
      <w:r>
        <w:rPr>
          <w:sz w:val="11"/>
          <w:szCs w:val="11"/>
          <w:spacing w:val="-2"/>
          <w:position w:val="10"/>
        </w:rPr>
        <w:t>1</w:t>
      </w:r>
      <w:r>
        <w:rPr>
          <w:sz w:val="11"/>
          <w:szCs w:val="11"/>
          <w:spacing w:val="-24"/>
          <w:position w:val="10"/>
        </w:rPr>
        <w:t xml:space="preserve"> </w:t>
      </w:r>
      <w:r>
        <w:rPr>
          <w:spacing w:val="-2"/>
        </w:rPr>
        <w:t>达到人民币</w:t>
      </w:r>
      <w:r>
        <w:rPr>
          <w:spacing w:val="-43"/>
        </w:rPr>
        <w:t xml:space="preserve"> </w:t>
      </w:r>
      <w:r>
        <w:rPr>
          <w:spacing w:val="-2"/>
        </w:rPr>
        <w:t>939</w:t>
      </w:r>
      <w:r>
        <w:rPr>
          <w:spacing w:val="-43"/>
        </w:rPr>
        <w:t xml:space="preserve"> </w:t>
      </w:r>
      <w:r>
        <w:rPr>
          <w:spacing w:val="-2"/>
        </w:rPr>
        <w:t>亿元。</w:t>
      </w:r>
    </w:p>
    <w:p>
      <w:pPr>
        <w:pStyle w:val="BodyText"/>
        <w:ind w:left="37" w:right="47" w:firstLine="426"/>
        <w:spacing w:before="190" w:line="307" w:lineRule="auto"/>
        <w:rPr/>
      </w:pPr>
      <w:r>
        <w:rPr>
          <w:spacing w:val="-1"/>
        </w:rPr>
        <w:t>公司深入贯彻新发展理念，坚持合作共赢，全面落实 5G 网络共建共享，成本效能进一步提升。</w:t>
      </w:r>
      <w:r>
        <w:rPr>
          <w:spacing w:val="5"/>
        </w:rPr>
        <w:t xml:space="preserve"> </w:t>
      </w:r>
      <w:r>
        <w:rPr>
          <w:spacing w:val="-2"/>
        </w:rPr>
        <w:t>全年资本开支为人民币</w:t>
      </w:r>
      <w:r>
        <w:rPr>
          <w:spacing w:val="-25"/>
        </w:rPr>
        <w:t xml:space="preserve"> </w:t>
      </w:r>
      <w:r>
        <w:rPr>
          <w:spacing w:val="-2"/>
        </w:rPr>
        <w:t>676</w:t>
      </w:r>
      <w:r>
        <w:rPr>
          <w:spacing w:val="-42"/>
        </w:rPr>
        <w:t xml:space="preserve"> </w:t>
      </w:r>
      <w:r>
        <w:rPr>
          <w:spacing w:val="-2"/>
        </w:rPr>
        <w:t>亿元，投资节奏得到有效控制。自由现金流保持强劲，达到人民币</w:t>
      </w:r>
      <w:r>
        <w:rPr>
          <w:spacing w:val="-40"/>
        </w:rPr>
        <w:t xml:space="preserve"> </w:t>
      </w:r>
      <w:r>
        <w:rPr>
          <w:spacing w:val="-2"/>
        </w:rPr>
        <w:t>397</w:t>
      </w:r>
      <w:r>
        <w:rPr>
          <w:spacing w:val="-43"/>
        </w:rPr>
        <w:t xml:space="preserve"> </w:t>
      </w:r>
      <w:r>
        <w:rPr>
          <w:spacing w:val="-2"/>
        </w:rPr>
        <w:t>亿</w:t>
      </w:r>
      <w:r>
        <w:rPr/>
        <w:t xml:space="preserve"> </w:t>
      </w:r>
      <w:r>
        <w:rPr>
          <w:spacing w:val="-1"/>
        </w:rPr>
        <w:t>元，公司财务实力持续增强，财务状况更加稳健。</w:t>
      </w:r>
    </w:p>
    <w:p>
      <w:pPr>
        <w:pStyle w:val="BodyText"/>
        <w:ind w:left="38" w:right="45" w:firstLine="424"/>
        <w:spacing w:before="189" w:line="307" w:lineRule="auto"/>
        <w:jc w:val="both"/>
        <w:rPr/>
      </w:pPr>
      <w:r>
        <w:rPr>
          <w:spacing w:val="-1"/>
        </w:rPr>
        <w:t>公司高度重视股东回报。董事会在充分考虑公司盈利状况、债务和现金流水平以及未来发展的资</w:t>
      </w:r>
      <w:r>
        <w:rPr>
          <w:spacing w:val="6"/>
        </w:rPr>
        <w:t xml:space="preserve"> </w:t>
      </w:r>
      <w:r>
        <w:rPr>
          <w:spacing w:val="-1"/>
        </w:rPr>
        <w:t>金需求等因素后，建议派发每股末期股息人民币</w:t>
      </w:r>
      <w:r>
        <w:rPr>
          <w:spacing w:val="-17"/>
        </w:rPr>
        <w:t xml:space="preserve"> </w:t>
      </w:r>
      <w:r>
        <w:rPr>
          <w:spacing w:val="-1"/>
        </w:rPr>
        <w:t>0.0658</w:t>
      </w:r>
      <w:r>
        <w:rPr>
          <w:spacing w:val="-35"/>
        </w:rPr>
        <w:t xml:space="preserve"> </w:t>
      </w:r>
      <w:r>
        <w:rPr>
          <w:spacing w:val="-1"/>
        </w:rPr>
        <w:t>元，而 2019 年度每股派息为人民币</w:t>
      </w:r>
      <w:r>
        <w:rPr>
          <w:spacing w:val="-32"/>
        </w:rPr>
        <w:t xml:space="preserve"> </w:t>
      </w:r>
      <w:r>
        <w:rPr>
          <w:spacing w:val="-1"/>
        </w:rPr>
        <w:t>0.0604</w:t>
      </w:r>
      <w:r>
        <w:rPr/>
        <w:t xml:space="preserve"> </w:t>
      </w:r>
      <w:r>
        <w:rPr>
          <w:spacing w:val="-1"/>
        </w:rPr>
        <w:t>元。未来公司将继续努力提升盈利能力和股东回报。</w:t>
      </w:r>
    </w:p>
    <w:p>
      <w:pPr>
        <w:pStyle w:val="BodyText"/>
        <w:ind w:left="464"/>
        <w:spacing w:before="186" w:line="221" w:lineRule="auto"/>
        <w:rPr/>
      </w:pPr>
      <w:r>
        <w:rPr>
          <w:b/>
          <w:bCs/>
          <w:spacing w:val="-3"/>
        </w:rPr>
        <w:t>2.</w:t>
      </w:r>
      <w:r>
        <w:rPr>
          <w:spacing w:val="-3"/>
        </w:rPr>
        <w:t xml:space="preserve"> </w:t>
      </w:r>
      <w:r>
        <w:rPr>
          <w:b/>
          <w:bCs/>
          <w:spacing w:val="-3"/>
        </w:rPr>
        <w:t>业务发展</w:t>
      </w:r>
    </w:p>
    <w:p>
      <w:pPr>
        <w:pStyle w:val="BodyText"/>
        <w:ind w:left="36" w:right="45" w:firstLine="421"/>
        <w:spacing w:before="264" w:line="310" w:lineRule="auto"/>
        <w:rPr/>
      </w:pPr>
      <w:r>
        <w:rPr>
          <w:spacing w:val="-1"/>
        </w:rPr>
        <w:t>年内，疫情反复为公司经营带来挑战，但防疫需求催生数字经济发展提速。公司紧抓发展窗口，</w:t>
      </w:r>
      <w:r>
        <w:rPr>
          <w:spacing w:val="12"/>
        </w:rPr>
        <w:t xml:space="preserve"> </w:t>
      </w:r>
      <w:r>
        <w:rPr>
          <w:spacing w:val="-1"/>
        </w:rPr>
        <w:t>转危为机，实现疫情防控与生产经营双保障。积极推动市场理性规范竞争，助力行业健康发展，基础</w:t>
      </w:r>
      <w:r>
        <w:rPr>
          <w:spacing w:val="15"/>
        </w:rPr>
        <w:t xml:space="preserve"> </w:t>
      </w:r>
      <w:r>
        <w:rPr>
          <w:spacing w:val="-1"/>
        </w:rPr>
        <w:t>业务实现恢复性增长，创新业务创收能力持续增强，客户感知和服务水平不断提升，公司高质量发展</w:t>
      </w:r>
      <w:r>
        <w:rPr>
          <w:spacing w:val="15"/>
        </w:rPr>
        <w:t xml:space="preserve"> </w:t>
      </w:r>
      <w:r>
        <w:rPr>
          <w:spacing w:val="-3"/>
        </w:rPr>
        <w:t>已现初步成效。</w:t>
      </w:r>
    </w:p>
    <w:p>
      <w:pPr>
        <w:pStyle w:val="BodyText"/>
        <w:ind w:left="465"/>
        <w:spacing w:before="187" w:line="219" w:lineRule="auto"/>
        <w:rPr/>
      </w:pPr>
      <w:r>
        <w:rPr>
          <w:b/>
          <w:bCs/>
          <w:spacing w:val="-2"/>
        </w:rPr>
        <w:t>坚持价值经营不放松，移动业务发展质量再提升</w:t>
      </w:r>
    </w:p>
    <w:p>
      <w:pPr>
        <w:pStyle w:val="BodyText"/>
        <w:ind w:left="37" w:right="45" w:firstLine="426"/>
        <w:spacing w:before="268" w:line="311" w:lineRule="auto"/>
        <w:rPr/>
      </w:pPr>
      <w:r>
        <w:rPr>
          <w:spacing w:val="-1"/>
        </w:rPr>
        <w:t>公司积极推动行业生态建设，倡导理性竞争和可持续发展，从重点关注用户数量转变为关注用户</w:t>
      </w:r>
      <w:r>
        <w:rPr>
          <w:spacing w:val="6"/>
        </w:rPr>
        <w:t xml:space="preserve"> </w:t>
      </w:r>
      <w:r>
        <w:rPr>
          <w:spacing w:val="-1"/>
        </w:rPr>
        <w:t>发展质量和价值。持续构建数字化营销服务运营体系，强化大数据赋能，打造智能精准的场景营销。</w:t>
      </w:r>
      <w:r>
        <w:rPr>
          <w:spacing w:val="14"/>
        </w:rPr>
        <w:t xml:space="preserve"> </w:t>
      </w:r>
      <w:r>
        <w:rPr>
          <w:spacing w:val="-1"/>
        </w:rPr>
        <w:t>加快公众创新产品供给，聚焦医疗卫生、信息娱乐、运动健康等热点领域提供丰富多元的终端体验。</w:t>
      </w:r>
      <w:r>
        <w:rPr>
          <w:spacing w:val="14"/>
        </w:rPr>
        <w:t xml:space="preserve"> </w:t>
      </w:r>
      <w:r>
        <w:rPr>
          <w:spacing w:val="-1"/>
        </w:rPr>
        <w:t>完善服务支撑体系，提供简化自助服务，针对客户流动需求优化资源配置，推出“跨域融合”产品，</w:t>
      </w:r>
      <w:r>
        <w:rPr>
          <w:spacing w:val="14"/>
        </w:rPr>
        <w:t xml:space="preserve"> </w:t>
      </w:r>
      <w:r>
        <w:rPr>
          <w:spacing w:val="-1"/>
        </w:rPr>
        <w:t>客户满意度持续提升。</w:t>
      </w:r>
    </w:p>
    <w:p>
      <w:pPr>
        <w:pStyle w:val="BodyText"/>
        <w:ind w:left="36" w:firstLine="427"/>
        <w:spacing w:before="185" w:line="310" w:lineRule="auto"/>
        <w:jc w:val="both"/>
        <w:rPr/>
      </w:pPr>
      <w:r>
        <w:rPr>
          <w:spacing w:val="-1"/>
        </w:rPr>
        <w:t>公司价值经营卓有成效，移动业务发展动力持续释放，移动主营业务收入及用户 ARPU 已连续三</w:t>
      </w:r>
      <w:r>
        <w:rPr>
          <w:spacing w:val="9"/>
        </w:rPr>
        <w:t xml:space="preserve"> </w:t>
      </w:r>
      <w:r>
        <w:rPr>
          <w:spacing w:val="-1"/>
        </w:rPr>
        <w:t>个季度双双环比上升。2020</w:t>
      </w:r>
      <w:r>
        <w:rPr>
          <w:spacing w:val="-23"/>
        </w:rPr>
        <w:t xml:space="preserve"> </w:t>
      </w:r>
      <w:r>
        <w:rPr>
          <w:spacing w:val="-1"/>
        </w:rPr>
        <w:t>年，移动主营业务收入达到 1,567</w:t>
      </w:r>
      <w:r>
        <w:rPr>
          <w:spacing w:val="-24"/>
        </w:rPr>
        <w:t xml:space="preserve"> </w:t>
      </w:r>
      <w:r>
        <w:rPr>
          <w:spacing w:val="-1"/>
        </w:rPr>
        <w:t>亿元，同比止负转正；</w:t>
      </w:r>
      <w:r>
        <w:rPr>
          <w:spacing w:val="-2"/>
        </w:rPr>
        <w:t>移动用户</w:t>
      </w:r>
      <w:r>
        <w:rPr>
          <w:spacing w:val="-31"/>
        </w:rPr>
        <w:t xml:space="preserve"> </w:t>
      </w:r>
      <w:r>
        <w:rPr>
          <w:spacing w:val="-2"/>
        </w:rPr>
        <w:t>ARPU</w:t>
      </w:r>
      <w:r>
        <w:rPr/>
        <w:t xml:space="preserve"> </w:t>
      </w:r>
      <w:r>
        <w:rPr>
          <w:spacing w:val="-2"/>
        </w:rPr>
        <w:t>达到</w:t>
      </w:r>
      <w:r>
        <w:rPr>
          <w:spacing w:val="-30"/>
        </w:rPr>
        <w:t xml:space="preserve"> </w:t>
      </w:r>
      <w:r>
        <w:rPr>
          <w:spacing w:val="-2"/>
        </w:rPr>
        <w:t>42.1</w:t>
      </w:r>
      <w:r>
        <w:rPr>
          <w:spacing w:val="-45"/>
        </w:rPr>
        <w:t xml:space="preserve"> </w:t>
      </w:r>
      <w:r>
        <w:rPr>
          <w:spacing w:val="-2"/>
        </w:rPr>
        <w:t>元，同比提升</w:t>
      </w:r>
      <w:r>
        <w:rPr>
          <w:spacing w:val="-48"/>
        </w:rPr>
        <w:t xml:space="preserve"> </w:t>
      </w:r>
      <w:r>
        <w:rPr>
          <w:spacing w:val="-2"/>
        </w:rPr>
        <w:t>4.1%；手机上网总流量增长</w:t>
      </w:r>
      <w:r>
        <w:rPr>
          <w:spacing w:val="-28"/>
        </w:rPr>
        <w:t xml:space="preserve"> </w:t>
      </w:r>
      <w:r>
        <w:rPr>
          <w:spacing w:val="-2"/>
        </w:rPr>
        <w:t>16.5%，手机用户月户均数据流量达到约</w:t>
      </w:r>
      <w:r>
        <w:rPr>
          <w:spacing w:val="-43"/>
        </w:rPr>
        <w:t xml:space="preserve"> </w:t>
      </w:r>
      <w:r>
        <w:rPr>
          <w:spacing w:val="-2"/>
        </w:rPr>
        <w:t>9.7GB。</w:t>
      </w:r>
      <w:r>
        <w:rPr/>
        <w:t xml:space="preserve"> </w:t>
      </w:r>
      <w:r>
        <w:rPr/>
        <w:t>营销费用进一步下降，提质转型步伐稳健，盈利能力持续改</w:t>
      </w:r>
      <w:r>
        <w:rPr>
          <w:spacing w:val="-1"/>
        </w:rPr>
        <w:t>善。</w:t>
      </w:r>
    </w:p>
    <w:p>
      <w:pPr>
        <w:pStyle w:val="BodyText"/>
        <w:ind w:left="461"/>
        <w:spacing w:before="187" w:line="220" w:lineRule="auto"/>
        <w:rPr/>
      </w:pPr>
      <w:r>
        <w:rPr>
          <w:b/>
          <w:bCs/>
          <w:spacing w:val="-2"/>
        </w:rPr>
        <w:t>抢抓发展窗口机遇，5G</w:t>
      </w:r>
      <w:r>
        <w:rPr>
          <w:spacing w:val="-45"/>
        </w:rPr>
        <w:t xml:space="preserve"> </w:t>
      </w:r>
      <w:r>
        <w:rPr>
          <w:b/>
          <w:bCs/>
          <w:spacing w:val="-2"/>
        </w:rPr>
        <w:t>业务实现规模突破</w:t>
      </w:r>
    </w:p>
    <w:p>
      <w:pPr>
        <w:spacing w:line="220" w:lineRule="auto"/>
        <w:sectPr>
          <w:headerReference w:type="default" r:id="rId17"/>
          <w:footerReference w:type="default" r:id="rId18"/>
          <w:pgSz w:w="11907" w:h="16839"/>
          <w:pgMar w:top="1377" w:right="1222" w:bottom="1375" w:left="1390" w:header="837" w:footer="1212" w:gutter="0"/>
        </w:sectPr>
        <w:rPr/>
      </w:pPr>
    </w:p>
    <w:p>
      <w:pPr>
        <w:pStyle w:val="BodyText"/>
        <w:ind w:left="35" w:firstLine="424"/>
        <w:spacing w:before="255" w:line="314" w:lineRule="auto"/>
        <w:jc w:val="both"/>
        <w:rPr/>
      </w:pPr>
      <w:r>
        <w:rPr>
          <w:spacing w:val="-3"/>
        </w:rPr>
        <w:t>2020</w:t>
      </w:r>
      <w:r>
        <w:rPr>
          <w:spacing w:val="-42"/>
        </w:rPr>
        <w:t xml:space="preserve"> </w:t>
      </w:r>
      <w:r>
        <w:rPr>
          <w:spacing w:val="-3"/>
        </w:rPr>
        <w:t>年是</w:t>
      </w:r>
      <w:r>
        <w:rPr>
          <w:spacing w:val="-40"/>
        </w:rPr>
        <w:t xml:space="preserve"> </w:t>
      </w:r>
      <w:r>
        <w:rPr>
          <w:spacing w:val="-3"/>
        </w:rPr>
        <w:t>5G</w:t>
      </w:r>
      <w:r>
        <w:rPr>
          <w:spacing w:val="-41"/>
        </w:rPr>
        <w:t xml:space="preserve"> </w:t>
      </w:r>
      <w:r>
        <w:rPr>
          <w:spacing w:val="-3"/>
        </w:rPr>
        <w:t>大规模发展元年。公司紧抓时机，将价值经营和服务体验贯穿始终，推动</w:t>
      </w:r>
      <w:r>
        <w:rPr>
          <w:spacing w:val="-42"/>
        </w:rPr>
        <w:t xml:space="preserve"> </w:t>
      </w:r>
      <w:r>
        <w:rPr>
          <w:spacing w:val="-3"/>
        </w:rPr>
        <w:t>5G</w:t>
      </w:r>
      <w:r>
        <w:rPr>
          <w:spacing w:val="-47"/>
        </w:rPr>
        <w:t xml:space="preserve"> </w:t>
      </w:r>
      <w:r>
        <w:rPr>
          <w:spacing w:val="-3"/>
        </w:rPr>
        <w:t>业务规</w:t>
      </w:r>
      <w:r>
        <w:rPr/>
        <w:t xml:space="preserve"> </w:t>
      </w:r>
      <w:r>
        <w:rPr>
          <w:spacing w:val="2"/>
        </w:rPr>
        <w:t>模发展。公众市场，利用大数据进行用户切片、精准施策，实现线</w:t>
      </w:r>
      <w:r>
        <w:rPr>
          <w:spacing w:val="1"/>
        </w:rPr>
        <w:t>上线下一体化、多维度场景化 5G</w:t>
      </w:r>
      <w:r>
        <w:rPr/>
        <w:t xml:space="preserve"> </w:t>
      </w:r>
      <w:r>
        <w:rPr>
          <w:spacing w:val="-2"/>
        </w:rPr>
        <w:t>精准营销。深度推进产业合作，打造 “终端 +</w:t>
      </w:r>
      <w:r>
        <w:rPr>
          <w:spacing w:val="32"/>
        </w:rPr>
        <w:t xml:space="preserve"> </w:t>
      </w:r>
      <w:r>
        <w:rPr>
          <w:spacing w:val="-2"/>
        </w:rPr>
        <w:t>内容 + 应用</w:t>
      </w:r>
      <w:r>
        <w:rPr>
          <w:spacing w:val="-79"/>
        </w:rPr>
        <w:t xml:space="preserve"> </w:t>
      </w:r>
      <w:r>
        <w:rPr>
          <w:spacing w:val="-2"/>
        </w:rPr>
        <w:t>”一体化的</w:t>
      </w:r>
      <w:r>
        <w:rPr>
          <w:spacing w:val="-40"/>
        </w:rPr>
        <w:t xml:space="preserve"> </w:t>
      </w:r>
      <w:r>
        <w:rPr>
          <w:spacing w:val="-2"/>
        </w:rPr>
        <w:t>5G</w:t>
      </w:r>
      <w:r>
        <w:rPr>
          <w:spacing w:val="-46"/>
        </w:rPr>
        <w:t xml:space="preserve"> </w:t>
      </w:r>
      <w:r>
        <w:rPr>
          <w:spacing w:val="-3"/>
        </w:rPr>
        <w:t>泛智能终端生态，赋能消</w:t>
      </w:r>
      <w:r>
        <w:rPr/>
        <w:t xml:space="preserve"> </w:t>
      </w:r>
      <w:r>
        <w:rPr>
          <w:spacing w:val="-2"/>
        </w:rPr>
        <w:t>费互联网。坚持行业协同、生态共建，积极准备</w:t>
      </w:r>
      <w:r>
        <w:rPr>
          <w:spacing w:val="-34"/>
        </w:rPr>
        <w:t xml:space="preserve"> </w:t>
      </w:r>
      <w:r>
        <w:rPr>
          <w:spacing w:val="-2"/>
        </w:rPr>
        <w:t>5G</w:t>
      </w:r>
      <w:r>
        <w:rPr>
          <w:spacing w:val="-42"/>
        </w:rPr>
        <w:t xml:space="preserve"> </w:t>
      </w:r>
      <w:r>
        <w:rPr>
          <w:spacing w:val="-2"/>
        </w:rPr>
        <w:t>消息试商用，打造轻量级入口，提高产品竞争力。</w:t>
      </w:r>
      <w:r>
        <w:rPr/>
        <w:t xml:space="preserve"> </w:t>
      </w:r>
      <w:r>
        <w:rPr>
          <w:spacing w:val="-1"/>
        </w:rPr>
        <w:t>政企市场，聚焦工业互联网、智慧城市、医疗健康等领域，成功打造多个 5G 灯塔项目，灯塔优质客</w:t>
      </w:r>
      <w:r>
        <w:rPr>
          <w:spacing w:val="18"/>
        </w:rPr>
        <w:t xml:space="preserve"> </w:t>
      </w:r>
      <w:r>
        <w:rPr>
          <w:spacing w:val="-2"/>
        </w:rPr>
        <w:t>户超过</w:t>
      </w:r>
      <w:r>
        <w:rPr>
          <w:spacing w:val="-41"/>
        </w:rPr>
        <w:t xml:space="preserve"> </w:t>
      </w:r>
      <w:r>
        <w:rPr>
          <w:spacing w:val="-2"/>
        </w:rPr>
        <w:t>250</w:t>
      </w:r>
      <w:r>
        <w:rPr>
          <w:spacing w:val="-45"/>
        </w:rPr>
        <w:t xml:space="preserve"> </w:t>
      </w:r>
      <w:r>
        <w:rPr>
          <w:spacing w:val="-2"/>
        </w:rPr>
        <w:t>家，实现了</w:t>
      </w:r>
      <w:r>
        <w:rPr>
          <w:spacing w:val="-40"/>
        </w:rPr>
        <w:t xml:space="preserve"> </w:t>
      </w:r>
      <w:r>
        <w:rPr>
          <w:spacing w:val="-2"/>
        </w:rPr>
        <w:t>5G 2B</w:t>
      </w:r>
      <w:r>
        <w:rPr>
          <w:spacing w:val="-43"/>
        </w:rPr>
        <w:t xml:space="preserve"> </w:t>
      </w:r>
      <w:r>
        <w:rPr>
          <w:spacing w:val="-2"/>
        </w:rPr>
        <w:t>领域商业化落地。正式发布三款</w:t>
      </w:r>
      <w:r>
        <w:rPr>
          <w:spacing w:val="-40"/>
        </w:rPr>
        <w:t xml:space="preserve"> </w:t>
      </w:r>
      <w:r>
        <w:rPr>
          <w:spacing w:val="-2"/>
        </w:rPr>
        <w:t>5G</w:t>
      </w:r>
      <w:r>
        <w:rPr>
          <w:spacing w:val="-43"/>
        </w:rPr>
        <w:t xml:space="preserve"> </w:t>
      </w:r>
      <w:r>
        <w:rPr>
          <w:spacing w:val="-3"/>
        </w:rPr>
        <w:t>专网产品，构建集约化</w:t>
      </w:r>
      <w:r>
        <w:rPr>
          <w:spacing w:val="-40"/>
        </w:rPr>
        <w:t xml:space="preserve"> </w:t>
      </w:r>
      <w:r>
        <w:rPr>
          <w:spacing w:val="-3"/>
        </w:rPr>
        <w:t>5G</w:t>
      </w:r>
      <w:r>
        <w:rPr>
          <w:spacing w:val="-43"/>
        </w:rPr>
        <w:t xml:space="preserve"> </w:t>
      </w:r>
      <w:r>
        <w:rPr>
          <w:spacing w:val="-3"/>
        </w:rPr>
        <w:t>专网/MEC</w:t>
      </w:r>
      <w:r>
        <w:rPr/>
        <w:t xml:space="preserve"> </w:t>
      </w:r>
      <w:r>
        <w:rPr>
          <w:spacing w:val="-1"/>
        </w:rPr>
        <w:t>自服务平台，5G 创新产品应用再上新台阶。公司依托 5G 领域和垂直行业的先发优势，牵头成立 5G</w:t>
      </w:r>
      <w:r>
        <w:rPr>
          <w:spacing w:val="18"/>
        </w:rPr>
        <w:t xml:space="preserve"> </w:t>
      </w:r>
      <w:r>
        <w:rPr>
          <w:spacing w:val="-2"/>
        </w:rPr>
        <w:t>母基金，加快形成自主核心能力体系，5G</w:t>
      </w:r>
      <w:r>
        <w:rPr>
          <w:spacing w:val="-46"/>
        </w:rPr>
        <w:t xml:space="preserve"> </w:t>
      </w:r>
      <w:r>
        <w:rPr>
          <w:spacing w:val="-2"/>
        </w:rPr>
        <w:t>应用创</w:t>
      </w:r>
      <w:r>
        <w:rPr>
          <w:spacing w:val="-3"/>
        </w:rPr>
        <w:t>新联盟成员超过</w:t>
      </w:r>
      <w:r>
        <w:rPr>
          <w:spacing w:val="-29"/>
        </w:rPr>
        <w:t xml:space="preserve"> </w:t>
      </w:r>
      <w:r>
        <w:rPr>
          <w:spacing w:val="-3"/>
        </w:rPr>
        <w:t>1,000</w:t>
      </w:r>
      <w:r>
        <w:rPr>
          <w:spacing w:val="-44"/>
        </w:rPr>
        <w:t xml:space="preserve"> </w:t>
      </w:r>
      <w:r>
        <w:rPr>
          <w:spacing w:val="-3"/>
        </w:rPr>
        <w:t>家，产业生态建设取得阶段性</w:t>
      </w:r>
      <w:r>
        <w:rPr/>
        <w:t xml:space="preserve"> </w:t>
      </w:r>
      <w:r>
        <w:rPr>
          <w:spacing w:val="-8"/>
        </w:rPr>
        <w:t>进展。</w:t>
      </w:r>
    </w:p>
    <w:p>
      <w:pPr>
        <w:pStyle w:val="BodyText"/>
        <w:ind w:left="37" w:right="73" w:firstLine="420"/>
        <w:spacing w:before="183" w:line="308" w:lineRule="auto"/>
        <w:jc w:val="both"/>
        <w:rPr/>
      </w:pPr>
      <w:r>
        <w:rPr>
          <w:spacing w:val="-4"/>
        </w:rPr>
        <w:t>年内，公司</w:t>
      </w:r>
      <w:r>
        <w:rPr>
          <w:spacing w:val="-22"/>
        </w:rPr>
        <w:t xml:space="preserve"> </w:t>
      </w:r>
      <w:r>
        <w:rPr>
          <w:spacing w:val="-4"/>
        </w:rPr>
        <w:t>5G</w:t>
      </w:r>
      <w:r>
        <w:rPr>
          <w:spacing w:val="-45"/>
        </w:rPr>
        <w:t xml:space="preserve"> </w:t>
      </w:r>
      <w:r>
        <w:rPr>
          <w:spacing w:val="-4"/>
        </w:rPr>
        <w:t>套餐用户达到</w:t>
      </w:r>
      <w:r>
        <w:rPr>
          <w:spacing w:val="-39"/>
        </w:rPr>
        <w:t xml:space="preserve"> </w:t>
      </w:r>
      <w:r>
        <w:rPr>
          <w:spacing w:val="-4"/>
        </w:rPr>
        <w:t>7,083</w:t>
      </w:r>
      <w:r>
        <w:rPr>
          <w:spacing w:val="-39"/>
        </w:rPr>
        <w:t xml:space="preserve"> </w:t>
      </w:r>
      <w:r>
        <w:rPr>
          <w:spacing w:val="-4"/>
        </w:rPr>
        <w:t>万户，5G</w:t>
      </w:r>
      <w:r>
        <w:rPr>
          <w:spacing w:val="-45"/>
        </w:rPr>
        <w:t xml:space="preserve"> </w:t>
      </w:r>
      <w:r>
        <w:rPr>
          <w:spacing w:val="-4"/>
        </w:rPr>
        <w:t>套餐用户渗透率达到</w:t>
      </w:r>
      <w:r>
        <w:rPr>
          <w:spacing w:val="-42"/>
        </w:rPr>
        <w:t xml:space="preserve"> </w:t>
      </w:r>
      <w:r>
        <w:rPr>
          <w:spacing w:val="-4"/>
        </w:rPr>
        <w:t>23%，高于行业平均的</w:t>
      </w:r>
      <w:r>
        <w:rPr>
          <w:spacing w:val="-41"/>
        </w:rPr>
        <w:t xml:space="preserve"> </w:t>
      </w:r>
      <w:r>
        <w:rPr>
          <w:spacing w:val="-4"/>
        </w:rPr>
        <w:t>20%。随</w:t>
      </w:r>
      <w:r>
        <w:rPr/>
        <w:t xml:space="preserve"> </w:t>
      </w:r>
      <w:r>
        <w:rPr>
          <w:spacing w:val="-2"/>
        </w:rPr>
        <w:t>着</w:t>
      </w:r>
      <w:r>
        <w:rPr>
          <w:spacing w:val="-28"/>
        </w:rPr>
        <w:t xml:space="preserve"> </w:t>
      </w:r>
      <w:r>
        <w:rPr>
          <w:spacing w:val="-2"/>
        </w:rPr>
        <w:t>5G 网络覆盖进一步完善，以 VR/AR</w:t>
      </w:r>
      <w:r>
        <w:rPr>
          <w:spacing w:val="-32"/>
        </w:rPr>
        <w:t xml:space="preserve"> </w:t>
      </w:r>
      <w:r>
        <w:rPr>
          <w:spacing w:val="-2"/>
        </w:rPr>
        <w:t>游戏、高清</w:t>
      </w:r>
      <w:r>
        <w:rPr>
          <w:spacing w:val="-33"/>
        </w:rPr>
        <w:t xml:space="preserve"> </w:t>
      </w:r>
      <w:r>
        <w:rPr>
          <w:spacing w:val="-2"/>
        </w:rPr>
        <w:t>4K/8K</w:t>
      </w:r>
      <w:r>
        <w:rPr>
          <w:spacing w:val="-32"/>
        </w:rPr>
        <w:t xml:space="preserve"> </w:t>
      </w:r>
      <w:r>
        <w:rPr>
          <w:spacing w:val="-2"/>
        </w:rPr>
        <w:t>视频</w:t>
      </w:r>
      <w:r>
        <w:rPr>
          <w:spacing w:val="-3"/>
        </w:rPr>
        <w:t>为代表的应用场景不断优化，终端渗透</w:t>
      </w:r>
      <w:r>
        <w:rPr/>
        <w:t xml:space="preserve"> </w:t>
      </w:r>
      <w:r>
        <w:rPr>
          <w:spacing w:val="-1"/>
        </w:rPr>
        <w:t>率持续提高，公司将努力推动</w:t>
      </w:r>
      <w:r>
        <w:rPr>
          <w:spacing w:val="-28"/>
        </w:rPr>
        <w:t xml:space="preserve"> </w:t>
      </w:r>
      <w:r>
        <w:rPr>
          <w:spacing w:val="-1"/>
        </w:rPr>
        <w:t>5G</w:t>
      </w:r>
      <w:r>
        <w:rPr>
          <w:spacing w:val="-42"/>
        </w:rPr>
        <w:t xml:space="preserve"> </w:t>
      </w:r>
      <w:r>
        <w:rPr>
          <w:spacing w:val="-1"/>
        </w:rPr>
        <w:t>用户继续快速提升，有效带动移动业务持续健康发展。</w:t>
      </w:r>
    </w:p>
    <w:p>
      <w:pPr>
        <w:pStyle w:val="BodyText"/>
        <w:ind w:left="478"/>
        <w:spacing w:before="185" w:line="221" w:lineRule="auto"/>
        <w:rPr/>
      </w:pPr>
      <w:r>
        <w:rPr>
          <w:b/>
          <w:bCs/>
          <w:spacing w:val="-3"/>
        </w:rPr>
        <w:t>因地制宜、分类施策，宽带业务维持稳健增长</w:t>
      </w:r>
    </w:p>
    <w:p>
      <w:pPr>
        <w:pStyle w:val="BodyText"/>
        <w:ind w:left="37" w:right="71" w:firstLine="420"/>
        <w:spacing w:before="265" w:line="311" w:lineRule="auto"/>
        <w:jc w:val="both"/>
        <w:rPr/>
      </w:pPr>
      <w:r>
        <w:rPr>
          <w:spacing w:val="-1"/>
        </w:rPr>
        <w:t>年内，公司紧紧把握疫情期间远程办公、在线教育等需求爆发的宝贵机会，发挥宽带质量和内容</w:t>
      </w:r>
      <w:r>
        <w:rPr>
          <w:spacing w:val="11"/>
        </w:rPr>
        <w:t xml:space="preserve"> </w:t>
      </w:r>
      <w:r>
        <w:rPr>
          <w:spacing w:val="-1"/>
        </w:rPr>
        <w:t>的差异化优势，强化融合经营，固网宽带业务实现稳健增长。北方突出宽带质量、服务领先特色，稳</w:t>
      </w:r>
      <w:r>
        <w:rPr>
          <w:spacing w:val="8"/>
        </w:rPr>
        <w:t xml:space="preserve"> </w:t>
      </w:r>
      <w:r>
        <w:rPr>
          <w:spacing w:val="-1"/>
        </w:rPr>
        <w:t>定业务规模；南方继续加大合作力度，盘活宽带端口资源，完善运营体系。聚焦家庭市场，通过智慧</w:t>
      </w:r>
      <w:r>
        <w:rPr>
          <w:spacing w:val="8"/>
        </w:rPr>
        <w:t xml:space="preserve"> </w:t>
      </w:r>
      <w:r>
        <w:rPr>
          <w:spacing w:val="-1"/>
        </w:rPr>
        <w:t>家庭、视频、权益等组合强化家庭用户价值经营。通过大数据分析赋能精准营销和存量经营，重点区</w:t>
      </w:r>
      <w:r>
        <w:rPr>
          <w:spacing w:val="13"/>
        </w:rPr>
        <w:t xml:space="preserve"> </w:t>
      </w:r>
      <w:r>
        <w:rPr>
          <w:spacing w:val="-2"/>
        </w:rPr>
        <w:t>域开展针对性营销，运营效率持续提升。</w:t>
      </w:r>
    </w:p>
    <w:p>
      <w:pPr>
        <w:pStyle w:val="BodyText"/>
        <w:ind w:left="42" w:right="76" w:firstLine="417"/>
        <w:spacing w:before="187" w:line="303" w:lineRule="auto"/>
        <w:rPr/>
      </w:pPr>
      <w:r>
        <w:rPr>
          <w:spacing w:val="-2"/>
        </w:rPr>
        <w:t>2020</w:t>
      </w:r>
      <w:r>
        <w:rPr>
          <w:spacing w:val="-19"/>
        </w:rPr>
        <w:t xml:space="preserve"> </w:t>
      </w:r>
      <w:r>
        <w:rPr>
          <w:spacing w:val="-2"/>
        </w:rPr>
        <w:t>年，公司固网宽带接入收入同比增长 2.4%，达到人民币 426</w:t>
      </w:r>
      <w:r>
        <w:rPr>
          <w:spacing w:val="-19"/>
        </w:rPr>
        <w:t xml:space="preserve"> </w:t>
      </w:r>
      <w:r>
        <w:rPr>
          <w:spacing w:val="-2"/>
        </w:rPr>
        <w:t>亿元。固网宽带用户净增</w:t>
      </w:r>
      <w:r>
        <w:rPr>
          <w:spacing w:val="-3"/>
        </w:rPr>
        <w:t xml:space="preserve"> 262</w:t>
      </w:r>
      <w:r>
        <w:rPr/>
        <w:t xml:space="preserve"> </w:t>
      </w:r>
      <w:r>
        <w:rPr>
          <w:spacing w:val="-1"/>
        </w:rPr>
        <w:t>万户，总数达到</w:t>
      </w:r>
      <w:r>
        <w:rPr>
          <w:spacing w:val="-43"/>
        </w:rPr>
        <w:t xml:space="preserve"> </w:t>
      </w:r>
      <w:r>
        <w:rPr>
          <w:spacing w:val="-1"/>
        </w:rPr>
        <w:t>8610</w:t>
      </w:r>
      <w:r>
        <w:rPr>
          <w:spacing w:val="-39"/>
        </w:rPr>
        <w:t xml:space="preserve"> </w:t>
      </w:r>
      <w:r>
        <w:rPr>
          <w:spacing w:val="-1"/>
        </w:rPr>
        <w:t>万户。融合业务在固网宽带用户中的渗透率达</w:t>
      </w:r>
      <w:r>
        <w:rPr>
          <w:spacing w:val="-2"/>
        </w:rPr>
        <w:t>到</w:t>
      </w:r>
      <w:r>
        <w:rPr>
          <w:spacing w:val="-42"/>
        </w:rPr>
        <w:t xml:space="preserve"> </w:t>
      </w:r>
      <w:r>
        <w:rPr>
          <w:spacing w:val="-2"/>
        </w:rPr>
        <w:t>64%，同比提升</w:t>
      </w:r>
      <w:r>
        <w:rPr>
          <w:spacing w:val="-39"/>
        </w:rPr>
        <w:t xml:space="preserve"> </w:t>
      </w:r>
      <w:r>
        <w:rPr>
          <w:spacing w:val="-2"/>
        </w:rPr>
        <w:t>5</w:t>
      </w:r>
      <w:r>
        <w:rPr>
          <w:spacing w:val="-47"/>
        </w:rPr>
        <w:t xml:space="preserve"> </w:t>
      </w:r>
      <w:r>
        <w:rPr>
          <w:spacing w:val="-2"/>
        </w:rPr>
        <w:t>个百分点。</w:t>
      </w:r>
    </w:p>
    <w:p>
      <w:pPr>
        <w:pStyle w:val="BodyText"/>
        <w:ind w:left="496"/>
        <w:spacing w:before="187" w:line="221" w:lineRule="auto"/>
        <w:rPr/>
      </w:pPr>
      <w:r>
        <w:rPr>
          <w:b/>
          <w:bCs/>
          <w:spacing w:val="-4"/>
        </w:rPr>
        <w:t>自主能力稳步提升，创新业务发展根基不断夯实</w:t>
      </w:r>
    </w:p>
    <w:p>
      <w:pPr>
        <w:pStyle w:val="BodyText"/>
        <w:ind w:left="22" w:right="23" w:firstLine="440"/>
        <w:spacing w:before="264" w:line="312" w:lineRule="auto"/>
        <w:jc w:val="both"/>
        <w:rPr/>
      </w:pPr>
      <w:r>
        <w:rPr>
          <w:spacing w:val="-1"/>
        </w:rPr>
        <w:t>公司抢抓数字产业化和产业数字化发展机遇，积极服务疫情防控，助力复工复产，创新云上服务</w:t>
      </w:r>
      <w:r>
        <w:rPr>
          <w:spacing w:val="5"/>
        </w:rPr>
        <w:t xml:space="preserve"> </w:t>
      </w:r>
      <w:r>
        <w:rPr/>
        <w:t>模式和数字防疫工作获得广泛认可。聚焦智慧城市、数字政府</w:t>
      </w:r>
      <w:r>
        <w:rPr>
          <w:spacing w:val="-1"/>
        </w:rPr>
        <w:t>、工业互联网等重点领域，推进“云 +</w:t>
      </w:r>
      <w:r>
        <w:rPr/>
        <w:t xml:space="preserve"> </w:t>
      </w:r>
      <w:r>
        <w:rPr>
          <w:spacing w:val="6"/>
        </w:rPr>
        <w:t>智慧网络 + 智慧应用</w:t>
      </w:r>
      <w:r>
        <w:rPr>
          <w:spacing w:val="-71"/>
        </w:rPr>
        <w:t xml:space="preserve"> </w:t>
      </w:r>
      <w:r>
        <w:rPr>
          <w:spacing w:val="6"/>
        </w:rPr>
        <w:t>”融合营销模式，做深做透重点行业应用类产品。以云网</w:t>
      </w:r>
      <w:r>
        <w:rPr>
          <w:spacing w:val="5"/>
        </w:rPr>
        <w:t>能力为基础，构建</w:t>
      </w:r>
      <w:r>
        <w:rPr/>
        <w:t xml:space="preserve"> </w:t>
      </w:r>
      <w:r>
        <w:rPr/>
        <w:t>“6+N+1”创新业务能力体系，重磅发布新沃云6.0，整合</w:t>
      </w:r>
      <w:r>
        <w:rPr>
          <w:spacing w:val="-1"/>
        </w:rPr>
        <w:t>云、大、物、智、安、链能力，初步形成沃</w:t>
      </w:r>
      <w:r>
        <w:rPr/>
        <w:t xml:space="preserve"> </w:t>
      </w:r>
      <w:r>
        <w:rPr/>
        <w:t>云</w:t>
      </w:r>
      <w:r>
        <w:rPr>
          <w:spacing w:val="-48"/>
        </w:rPr>
        <w:t xml:space="preserve"> </w:t>
      </w:r>
      <w:r>
        <w:rPr/>
        <w:t>PaaS，在智慧城市、数字政府等重点领域</w:t>
      </w:r>
      <w:r>
        <w:rPr>
          <w:spacing w:val="-1"/>
        </w:rPr>
        <w:t>规模化应用，自主产品研发、推广、运营能力稳步提升。</w:t>
      </w:r>
      <w:r>
        <w:rPr/>
        <w:t xml:space="preserve"> </w:t>
      </w:r>
      <w:r>
        <w:rPr/>
        <w:t>市场化方式吸纳</w:t>
      </w:r>
      <w:r>
        <w:rPr>
          <w:spacing w:val="-46"/>
        </w:rPr>
        <w:t xml:space="preserve"> </w:t>
      </w:r>
      <w:r>
        <w:rPr/>
        <w:t>CTO、架构师等领军和高端人才，自主</w:t>
      </w:r>
      <w:r>
        <w:rPr>
          <w:spacing w:val="-1"/>
        </w:rPr>
        <w:t>研发实力储备不断增强。</w:t>
      </w:r>
    </w:p>
    <w:p>
      <w:pPr>
        <w:pStyle w:val="BodyText"/>
        <w:ind w:left="37" w:right="16" w:firstLine="420"/>
        <w:spacing w:before="188" w:line="312" w:lineRule="auto"/>
        <w:jc w:val="both"/>
        <w:rPr/>
      </w:pPr>
      <w:r>
        <w:rPr>
          <w:spacing w:val="-1"/>
        </w:rPr>
        <w:t>年内，产业互联网业务收入同比增长</w:t>
      </w:r>
      <w:r>
        <w:rPr>
          <w:spacing w:val="-20"/>
        </w:rPr>
        <w:t xml:space="preserve"> </w:t>
      </w:r>
      <w:r>
        <w:rPr>
          <w:spacing w:val="-1"/>
        </w:rPr>
        <w:t>30.0%，达到人民币</w:t>
      </w:r>
      <w:r>
        <w:rPr>
          <w:spacing w:val="-35"/>
        </w:rPr>
        <w:t xml:space="preserve"> </w:t>
      </w:r>
      <w:r>
        <w:rPr>
          <w:spacing w:val="-1"/>
        </w:rPr>
        <w:t>427</w:t>
      </w:r>
      <w:r>
        <w:rPr>
          <w:spacing w:val="-36"/>
        </w:rPr>
        <w:t xml:space="preserve"> </w:t>
      </w:r>
      <w:r>
        <w:rPr>
          <w:spacing w:val="-1"/>
        </w:rPr>
        <w:t>亿元，占整体主营业务收入比例提</w:t>
      </w:r>
      <w:r>
        <w:rPr/>
        <w:t xml:space="preserve"> </w:t>
      </w:r>
      <w:r>
        <w:rPr>
          <w:spacing w:val="-3"/>
        </w:rPr>
        <w:t>高至</w:t>
      </w:r>
      <w:r>
        <w:rPr>
          <w:spacing w:val="-28"/>
        </w:rPr>
        <w:t xml:space="preserve"> </w:t>
      </w:r>
      <w:r>
        <w:rPr>
          <w:spacing w:val="-3"/>
        </w:rPr>
        <w:t>15.5%。其中</w:t>
      </w:r>
      <w:r>
        <w:rPr>
          <w:spacing w:val="-33"/>
        </w:rPr>
        <w:t xml:space="preserve"> </w:t>
      </w:r>
      <w:r>
        <w:rPr>
          <w:spacing w:val="-3"/>
        </w:rPr>
        <w:t>ICT</w:t>
      </w:r>
      <w:r>
        <w:rPr>
          <w:spacing w:val="-45"/>
        </w:rPr>
        <w:t xml:space="preserve"> </w:t>
      </w:r>
      <w:r>
        <w:rPr>
          <w:spacing w:val="-3"/>
        </w:rPr>
        <w:t>业务收入人民币</w:t>
      </w:r>
      <w:r>
        <w:rPr>
          <w:spacing w:val="-28"/>
        </w:rPr>
        <w:t xml:space="preserve"> </w:t>
      </w:r>
      <w:r>
        <w:rPr>
          <w:spacing w:val="-3"/>
        </w:rPr>
        <w:t>1</w:t>
      </w:r>
      <w:r>
        <w:rPr>
          <w:spacing w:val="-4"/>
        </w:rPr>
        <w:t>34</w:t>
      </w:r>
      <w:r>
        <w:rPr>
          <w:spacing w:val="-45"/>
        </w:rPr>
        <w:t xml:space="preserve"> </w:t>
      </w:r>
      <w:r>
        <w:rPr>
          <w:spacing w:val="-4"/>
        </w:rPr>
        <w:t>亿元，同比增长</w:t>
      </w:r>
      <w:r>
        <w:rPr>
          <w:spacing w:val="-40"/>
        </w:rPr>
        <w:t xml:space="preserve"> </w:t>
      </w:r>
      <w:r>
        <w:rPr>
          <w:spacing w:val="-4"/>
        </w:rPr>
        <w:t>33.4%；IDC</w:t>
      </w:r>
      <w:r>
        <w:rPr>
          <w:spacing w:val="-47"/>
        </w:rPr>
        <w:t xml:space="preserve"> </w:t>
      </w:r>
      <w:r>
        <w:rPr>
          <w:spacing w:val="-4"/>
        </w:rPr>
        <w:t>及云计算业务收入达到人民币</w:t>
      </w:r>
      <w:r>
        <w:rPr/>
        <w:t xml:space="preserve"> </w:t>
      </w:r>
      <w:r>
        <w:rPr>
          <w:spacing w:val="-3"/>
        </w:rPr>
        <w:t>234</w:t>
      </w:r>
      <w:r>
        <w:rPr>
          <w:spacing w:val="-43"/>
        </w:rPr>
        <w:t xml:space="preserve"> </w:t>
      </w:r>
      <w:r>
        <w:rPr>
          <w:spacing w:val="-3"/>
        </w:rPr>
        <w:t>亿元，同比增长</w:t>
      </w:r>
      <w:r>
        <w:rPr>
          <w:spacing w:val="-41"/>
        </w:rPr>
        <w:t xml:space="preserve"> </w:t>
      </w:r>
      <w:r>
        <w:rPr>
          <w:spacing w:val="-3"/>
        </w:rPr>
        <w:t>26.1%；物联网业务及大数据业务收入分别达到人民币</w:t>
      </w:r>
      <w:r>
        <w:rPr>
          <w:spacing w:val="-46"/>
        </w:rPr>
        <w:t xml:space="preserve"> </w:t>
      </w:r>
      <w:r>
        <w:rPr>
          <w:spacing w:val="-3"/>
        </w:rPr>
        <w:t>42</w:t>
      </w:r>
      <w:r>
        <w:rPr>
          <w:spacing w:val="-45"/>
        </w:rPr>
        <w:t xml:space="preserve"> </w:t>
      </w:r>
      <w:r>
        <w:rPr>
          <w:spacing w:val="-3"/>
        </w:rPr>
        <w:t>亿元和人民币</w:t>
      </w:r>
      <w:r>
        <w:rPr>
          <w:spacing w:val="-28"/>
        </w:rPr>
        <w:t xml:space="preserve"> </w:t>
      </w:r>
      <w:r>
        <w:rPr>
          <w:spacing w:val="-3"/>
        </w:rPr>
        <w:t>17</w:t>
      </w:r>
      <w:r>
        <w:rPr>
          <w:spacing w:val="-43"/>
        </w:rPr>
        <w:t xml:space="preserve"> </w:t>
      </w:r>
      <w:r>
        <w:rPr>
          <w:spacing w:val="-3"/>
        </w:rPr>
        <w:t>亿</w:t>
      </w:r>
      <w:r>
        <w:rPr>
          <w:spacing w:val="-4"/>
        </w:rPr>
        <w:t>元，</w:t>
      </w:r>
      <w:r>
        <w:rPr/>
        <w:t xml:space="preserve"> </w:t>
      </w:r>
      <w:r>
        <w:rPr>
          <w:spacing w:val="-1"/>
        </w:rPr>
        <w:t>同比分别增长 39.0%和 39.8%。受创新业务和固网宽带业务良好增长拉动，公司固网主营业务收入达</w:t>
      </w:r>
      <w:r>
        <w:rPr>
          <w:spacing w:val="17"/>
        </w:rPr>
        <w:t xml:space="preserve"> </w:t>
      </w:r>
      <w:r>
        <w:rPr>
          <w:spacing w:val="-1"/>
        </w:rPr>
        <w:t>到人民币</w:t>
      </w:r>
      <w:r>
        <w:rPr>
          <w:spacing w:val="-21"/>
        </w:rPr>
        <w:t xml:space="preserve"> </w:t>
      </w:r>
      <w:r>
        <w:rPr>
          <w:spacing w:val="-1"/>
        </w:rPr>
        <w:t>1,169</w:t>
      </w:r>
      <w:r>
        <w:rPr>
          <w:spacing w:val="-36"/>
        </w:rPr>
        <w:t xml:space="preserve"> </w:t>
      </w:r>
      <w:r>
        <w:rPr>
          <w:spacing w:val="-1"/>
        </w:rPr>
        <w:t>亿元，同比增长</w:t>
      </w:r>
      <w:r>
        <w:rPr>
          <w:spacing w:val="-19"/>
        </w:rPr>
        <w:t xml:space="preserve"> </w:t>
      </w:r>
      <w:r>
        <w:rPr>
          <w:spacing w:val="-1"/>
        </w:rPr>
        <w:t>10.6%。未来，公司将加快补齐关键核心</w:t>
      </w:r>
      <w:r>
        <w:rPr>
          <w:spacing w:val="-2"/>
        </w:rPr>
        <w:t>能力短板，推进自主科技创</w:t>
      </w:r>
      <w:r>
        <w:rPr/>
        <w:t xml:space="preserve"> </w:t>
      </w:r>
      <w:r>
        <w:rPr>
          <w:spacing w:val="-1"/>
        </w:rPr>
        <w:t>新，不断推进深入合作，实现与合作伙伴共赢。</w:t>
      </w:r>
    </w:p>
    <w:p>
      <w:pPr>
        <w:pStyle w:val="BodyText"/>
        <w:ind w:left="466"/>
        <w:spacing w:before="186" w:line="222" w:lineRule="auto"/>
        <w:rPr/>
      </w:pPr>
      <w:r>
        <w:rPr>
          <w:b/>
          <w:bCs/>
          <w:spacing w:val="-7"/>
        </w:rPr>
        <w:t>3.</w:t>
      </w:r>
      <w:r>
        <w:rPr>
          <w:spacing w:val="26"/>
        </w:rPr>
        <w:t xml:space="preserve"> </w:t>
      </w:r>
      <w:r>
        <w:rPr>
          <w:b/>
          <w:bCs/>
          <w:spacing w:val="-7"/>
        </w:rPr>
        <w:t>网络建设</w:t>
      </w:r>
    </w:p>
    <w:p>
      <w:pPr>
        <w:spacing w:line="222" w:lineRule="auto"/>
        <w:sectPr>
          <w:headerReference w:type="default" r:id="rId19"/>
          <w:footerReference w:type="default" r:id="rId20"/>
          <w:pgSz w:w="11907" w:h="16839"/>
          <w:pgMar w:top="1377" w:right="1195" w:bottom="1375" w:left="1390" w:header="837" w:footer="1212" w:gutter="0"/>
        </w:sectPr>
        <w:rPr/>
      </w:pPr>
    </w:p>
    <w:p>
      <w:pPr>
        <w:pStyle w:val="BodyText"/>
        <w:ind w:left="461"/>
        <w:spacing w:before="258" w:line="221" w:lineRule="auto"/>
        <w:rPr/>
      </w:pPr>
      <w:r>
        <w:rPr>
          <w:b/>
          <w:bCs/>
          <w:spacing w:val="-4"/>
        </w:rPr>
        <w:t>全面推进</w:t>
      </w:r>
      <w:r>
        <w:rPr>
          <w:spacing w:val="-37"/>
        </w:rPr>
        <w:t xml:space="preserve"> </w:t>
      </w:r>
      <w:r>
        <w:rPr>
          <w:b/>
          <w:bCs/>
          <w:spacing w:val="-4"/>
        </w:rPr>
        <w:t>5G</w:t>
      </w:r>
      <w:r>
        <w:rPr>
          <w:spacing w:val="-28"/>
        </w:rPr>
        <w:t xml:space="preserve"> </w:t>
      </w:r>
      <w:r>
        <w:rPr>
          <w:b/>
          <w:bCs/>
          <w:spacing w:val="-4"/>
        </w:rPr>
        <w:t>网络共建共享，资源效能持续提升</w:t>
      </w:r>
    </w:p>
    <w:p>
      <w:pPr>
        <w:pStyle w:val="BodyText"/>
        <w:ind w:left="39" w:firstLine="424"/>
        <w:spacing w:before="264" w:line="312" w:lineRule="auto"/>
        <w:rPr/>
      </w:pPr>
      <w:r>
        <w:rPr>
          <w:spacing w:val="-2"/>
        </w:rPr>
        <w:t>公司践行新发展理念，落实新基建要求，与中国电信建成全球</w:t>
      </w:r>
      <w:r>
        <w:rPr>
          <w:spacing w:val="-3"/>
        </w:rPr>
        <w:t>首张规模最大的</w:t>
      </w:r>
      <w:r>
        <w:rPr>
          <w:spacing w:val="-39"/>
        </w:rPr>
        <w:t xml:space="preserve"> </w:t>
      </w:r>
      <w:r>
        <w:rPr>
          <w:spacing w:val="-3"/>
        </w:rPr>
        <w:t>5G</w:t>
      </w:r>
      <w:r>
        <w:rPr>
          <w:spacing w:val="-47"/>
        </w:rPr>
        <w:t xml:space="preserve"> </w:t>
      </w:r>
      <w:r>
        <w:rPr>
          <w:spacing w:val="-3"/>
        </w:rPr>
        <w:t>共建共享网络，</w:t>
      </w:r>
      <w:r>
        <w:rPr/>
        <w:t xml:space="preserve"> </w:t>
      </w:r>
      <w:r>
        <w:rPr>
          <w:spacing w:val="-2"/>
        </w:rPr>
        <w:t>总体</w:t>
      </w:r>
      <w:r>
        <w:rPr>
          <w:spacing w:val="-27"/>
        </w:rPr>
        <w:t xml:space="preserve"> </w:t>
      </w:r>
      <w:r>
        <w:rPr>
          <w:spacing w:val="-2"/>
        </w:rPr>
        <w:t>5G</w:t>
      </w:r>
      <w:r>
        <w:rPr>
          <w:spacing w:val="-45"/>
        </w:rPr>
        <w:t xml:space="preserve"> </w:t>
      </w:r>
      <w:r>
        <w:rPr>
          <w:spacing w:val="-2"/>
        </w:rPr>
        <w:t>基站规模累计达到</w:t>
      </w:r>
      <w:r>
        <w:rPr>
          <w:spacing w:val="-39"/>
        </w:rPr>
        <w:t xml:space="preserve"> </w:t>
      </w:r>
      <w:r>
        <w:rPr>
          <w:spacing w:val="-2"/>
        </w:rPr>
        <w:t>38</w:t>
      </w:r>
      <w:r>
        <w:rPr>
          <w:spacing w:val="-41"/>
        </w:rPr>
        <w:t xml:space="preserve"> </w:t>
      </w:r>
      <w:r>
        <w:rPr>
          <w:spacing w:val="-2"/>
        </w:rPr>
        <w:t>万，历史上首次实现覆盖规模与主导运营商基本相当。共建共享已累计</w:t>
      </w:r>
      <w:r>
        <w:rPr/>
        <w:t xml:space="preserve"> </w:t>
      </w:r>
      <w:r>
        <w:rPr>
          <w:spacing w:val="-1"/>
        </w:rPr>
        <w:t>为双方公司节省网络建设成本超</w:t>
      </w:r>
      <w:r>
        <w:rPr>
          <w:spacing w:val="-39"/>
        </w:rPr>
        <w:t xml:space="preserve"> </w:t>
      </w:r>
      <w:r>
        <w:rPr>
          <w:spacing w:val="-1"/>
        </w:rPr>
        <w:t>760</w:t>
      </w:r>
      <w:r>
        <w:rPr>
          <w:spacing w:val="-45"/>
        </w:rPr>
        <w:t xml:space="preserve"> </w:t>
      </w:r>
      <w:r>
        <w:rPr>
          <w:spacing w:val="-1"/>
        </w:rPr>
        <w:t>亿元，网络运营成本大幅降低，并大大缩短了</w:t>
      </w:r>
      <w:r>
        <w:rPr>
          <w:spacing w:val="-2"/>
        </w:rPr>
        <w:t>网络建设周期。目</w:t>
      </w:r>
      <w:r>
        <w:rPr/>
        <w:t xml:space="preserve"> </w:t>
      </w:r>
      <w:r>
        <w:rPr>
          <w:spacing w:val="-1"/>
        </w:rPr>
        <w:t>前，公司已率先实现全球首批</w:t>
      </w:r>
      <w:r>
        <w:rPr>
          <w:spacing w:val="-43"/>
        </w:rPr>
        <w:t xml:space="preserve"> </w:t>
      </w:r>
      <w:r>
        <w:rPr>
          <w:spacing w:val="-1"/>
        </w:rPr>
        <w:t>SA</w:t>
      </w:r>
      <w:r>
        <w:rPr>
          <w:spacing w:val="-43"/>
        </w:rPr>
        <w:t xml:space="preserve"> </w:t>
      </w:r>
      <w:r>
        <w:rPr>
          <w:spacing w:val="-1"/>
        </w:rPr>
        <w:t>规模商用，5G</w:t>
      </w:r>
      <w:r>
        <w:rPr>
          <w:spacing w:val="-42"/>
        </w:rPr>
        <w:t xml:space="preserve"> </w:t>
      </w:r>
      <w:r>
        <w:rPr>
          <w:spacing w:val="-1"/>
        </w:rPr>
        <w:t>核心网</w:t>
      </w:r>
      <w:r>
        <w:rPr>
          <w:spacing w:val="-2"/>
        </w:rPr>
        <w:t xml:space="preserve"> 100%</w:t>
      </w:r>
      <w:r>
        <w:rPr>
          <w:spacing w:val="-26"/>
        </w:rPr>
        <w:t xml:space="preserve"> </w:t>
      </w:r>
      <w:r>
        <w:rPr>
          <w:spacing w:val="-2"/>
        </w:rPr>
        <w:t>NFV</w:t>
      </w:r>
      <w:r>
        <w:rPr>
          <w:spacing w:val="-46"/>
        </w:rPr>
        <w:t xml:space="preserve"> </w:t>
      </w:r>
      <w:r>
        <w:rPr>
          <w:spacing w:val="-2"/>
        </w:rPr>
        <w:t>化。年内，与中国电信</w:t>
      </w:r>
      <w:r>
        <w:rPr>
          <w:spacing w:val="-44"/>
        </w:rPr>
        <w:t xml:space="preserve"> </w:t>
      </w:r>
      <w:r>
        <w:rPr>
          <w:spacing w:val="-2"/>
        </w:rPr>
        <w:t>4G</w:t>
      </w:r>
      <w:r>
        <w:rPr>
          <w:spacing w:val="-30"/>
        </w:rPr>
        <w:t xml:space="preserve"> </w:t>
      </w:r>
      <w:r>
        <w:rPr>
          <w:spacing w:val="-2"/>
        </w:rPr>
        <w:t>网络共享</w:t>
      </w:r>
      <w:r>
        <w:rPr/>
        <w:t xml:space="preserve"> </w:t>
      </w:r>
      <w:r>
        <w:rPr>
          <w:spacing w:val="-2"/>
        </w:rPr>
        <w:t>实现规模突破，新增</w:t>
      </w:r>
      <w:r>
        <w:rPr>
          <w:spacing w:val="-33"/>
        </w:rPr>
        <w:t xml:space="preserve"> </w:t>
      </w:r>
      <w:r>
        <w:rPr>
          <w:spacing w:val="-2"/>
        </w:rPr>
        <w:t>4G</w:t>
      </w:r>
      <w:r>
        <w:rPr>
          <w:spacing w:val="-35"/>
        </w:rPr>
        <w:t xml:space="preserve"> </w:t>
      </w:r>
      <w:r>
        <w:rPr>
          <w:spacing w:val="-2"/>
        </w:rPr>
        <w:t>共享基站 17</w:t>
      </w:r>
      <w:r>
        <w:rPr>
          <w:spacing w:val="-29"/>
        </w:rPr>
        <w:t xml:space="preserve"> </w:t>
      </w:r>
      <w:r>
        <w:rPr>
          <w:spacing w:val="-2"/>
        </w:rPr>
        <w:t>万个，双方共</w:t>
      </w:r>
      <w:r>
        <w:rPr>
          <w:spacing w:val="-3"/>
        </w:rPr>
        <w:t>节省网络投资</w:t>
      </w:r>
      <w:r>
        <w:rPr>
          <w:spacing w:val="-32"/>
        </w:rPr>
        <w:t xml:space="preserve"> </w:t>
      </w:r>
      <w:r>
        <w:rPr>
          <w:spacing w:val="-3"/>
        </w:rPr>
        <w:t>90</w:t>
      </w:r>
      <w:r>
        <w:rPr>
          <w:spacing w:val="-33"/>
        </w:rPr>
        <w:t xml:space="preserve"> </w:t>
      </w:r>
      <w:r>
        <w:rPr>
          <w:spacing w:val="-3"/>
        </w:rPr>
        <w:t>亿元。公司积极推进光缆共建、</w:t>
      </w:r>
      <w:r>
        <w:rPr/>
        <w:t xml:space="preserve">  </w:t>
      </w:r>
      <w:r>
        <w:rPr>
          <w:spacing w:val="-1"/>
        </w:rPr>
        <w:t>纤芯共享及云基础设施共享，网络资源利用效能显著提升。</w:t>
      </w:r>
    </w:p>
    <w:p>
      <w:pPr>
        <w:pStyle w:val="BodyText"/>
        <w:ind w:left="461"/>
        <w:spacing w:before="186" w:line="220" w:lineRule="auto"/>
        <w:rPr/>
      </w:pPr>
      <w:r>
        <w:rPr>
          <w:b/>
          <w:bCs/>
          <w:spacing w:val="-2"/>
        </w:rPr>
        <w:t>精准投资、提质增效，打造差异化网络竞争优势</w:t>
      </w:r>
    </w:p>
    <w:p>
      <w:pPr>
        <w:pStyle w:val="BodyText"/>
        <w:ind w:left="37" w:right="57" w:firstLine="426"/>
        <w:spacing w:before="263" w:line="313" w:lineRule="auto"/>
        <w:rPr/>
      </w:pPr>
      <w:r>
        <w:rPr>
          <w:spacing w:val="-1"/>
        </w:rPr>
        <w:t>公司坚持聚焦重点，精准配置，以效益为导向，实现投资弹性迭代安排，网络质量明显提升，网</w:t>
      </w:r>
      <w:r>
        <w:rPr>
          <w:spacing w:val="1"/>
        </w:rPr>
        <w:t xml:space="preserve"> </w:t>
      </w:r>
      <w:r>
        <w:rPr>
          <w:spacing w:val="-1"/>
        </w:rPr>
        <w:t>络服务支撑能力持续增强。移动网方面，坚持聚焦战略和共建共享，致力于实现 4/5G 网络融合及语</w:t>
      </w:r>
      <w:r>
        <w:rPr>
          <w:spacing w:val="17"/>
        </w:rPr>
        <w:t xml:space="preserve"> </w:t>
      </w:r>
      <w:r>
        <w:rPr>
          <w:spacing w:val="-1"/>
        </w:rPr>
        <w:t>音</w:t>
      </w:r>
      <w:r>
        <w:rPr>
          <w:spacing w:val="-32"/>
        </w:rPr>
        <w:t xml:space="preserve"> </w:t>
      </w:r>
      <w:r>
        <w:rPr>
          <w:spacing w:val="-1"/>
        </w:rPr>
        <w:t>IMS</w:t>
      </w:r>
      <w:r>
        <w:rPr>
          <w:spacing w:val="-42"/>
        </w:rPr>
        <w:t xml:space="preserve"> </w:t>
      </w:r>
      <w:r>
        <w:rPr>
          <w:spacing w:val="-1"/>
        </w:rPr>
        <w:t>统一承载；固网宽带方面，北方在覆盖、速率</w:t>
      </w:r>
      <w:r>
        <w:rPr>
          <w:spacing w:val="-2"/>
        </w:rPr>
        <w:t>、用户体验和服务继续保持领先，南方聚焦补短</w:t>
      </w:r>
      <w:r>
        <w:rPr/>
        <w:t xml:space="preserve"> </w:t>
      </w:r>
      <w:r>
        <w:rPr>
          <w:spacing w:val="-1"/>
        </w:rPr>
        <w:t>板、提能力。持续完善政企精品网，深化云基础设施及 DC 布局，提升网络竞争能力。加大网络数字</w:t>
      </w:r>
      <w:r>
        <w:rPr>
          <w:spacing w:val="16"/>
        </w:rPr>
        <w:t xml:space="preserve"> </w:t>
      </w:r>
      <w:r>
        <w:rPr>
          <w:spacing w:val="-1"/>
        </w:rPr>
        <w:t>转型和创新力度，持续推进网络云化演进，云网一体基础架构不断完善。顺应网络发展趋势，系统性</w:t>
      </w:r>
      <w:r>
        <w:rPr>
          <w:spacing w:val="14"/>
        </w:rPr>
        <w:t xml:space="preserve"> </w:t>
      </w:r>
      <w:r>
        <w:rPr>
          <w:spacing w:val="-1"/>
        </w:rPr>
        <w:t>推进网络线运营体系变革，网络运营效率效益持续提升。年内，移网</w:t>
      </w:r>
      <w:r>
        <w:rPr>
          <w:spacing w:val="-50"/>
        </w:rPr>
        <w:t xml:space="preserve"> </w:t>
      </w:r>
      <w:r>
        <w:rPr>
          <w:spacing w:val="-1"/>
        </w:rPr>
        <w:t>NPS</w:t>
      </w:r>
      <w:r>
        <w:rPr>
          <w:spacing w:val="-43"/>
        </w:rPr>
        <w:t xml:space="preserve"> </w:t>
      </w:r>
      <w:r>
        <w:rPr>
          <w:spacing w:val="-1"/>
        </w:rPr>
        <w:t>和固网宽</w:t>
      </w:r>
      <w:r>
        <w:rPr>
          <w:spacing w:val="-2"/>
        </w:rPr>
        <w:t>带</w:t>
      </w:r>
      <w:r>
        <w:rPr>
          <w:spacing w:val="-50"/>
        </w:rPr>
        <w:t xml:space="preserve"> </w:t>
      </w:r>
      <w:r>
        <w:rPr>
          <w:spacing w:val="-2"/>
        </w:rPr>
        <w:t>NPS</w:t>
      </w:r>
      <w:r>
        <w:rPr>
          <w:spacing w:val="-42"/>
        </w:rPr>
        <w:t xml:space="preserve"> </w:t>
      </w:r>
      <w:r>
        <w:rPr>
          <w:spacing w:val="-2"/>
        </w:rPr>
        <w:t>持续提升，</w:t>
      </w:r>
      <w:r>
        <w:rPr/>
        <w:t xml:space="preserve"> </w:t>
      </w:r>
      <w:r>
        <w:rPr>
          <w:spacing w:val="-1"/>
        </w:rPr>
        <w:t>网络高质量发展成效显著。</w:t>
      </w:r>
    </w:p>
    <w:p>
      <w:pPr>
        <w:pStyle w:val="BodyText"/>
        <w:ind w:left="456"/>
        <w:spacing w:before="186" w:line="221" w:lineRule="auto"/>
        <w:rPr/>
      </w:pPr>
      <w:r>
        <w:rPr>
          <w:rFonts w:ascii="Times New Roman" w:hAnsi="Times New Roman" w:eastAsia="Times New Roman" w:cs="Times New Roman"/>
          <w:b/>
          <w:bCs/>
          <w:spacing w:val="-2"/>
        </w:rPr>
        <w:t>4.  </w:t>
      </w:r>
      <w:r>
        <w:rPr>
          <w:b/>
          <w:bCs/>
          <w:spacing w:val="-2"/>
        </w:rPr>
        <w:t>混合所有制改革</w:t>
      </w:r>
    </w:p>
    <w:p>
      <w:pPr>
        <w:pStyle w:val="BodyText"/>
        <w:ind w:left="462"/>
        <w:spacing w:before="265" w:line="221" w:lineRule="auto"/>
        <w:rPr/>
      </w:pPr>
      <w:r>
        <w:rPr>
          <w:b/>
          <w:bCs/>
          <w:spacing w:val="-2"/>
        </w:rPr>
        <w:t>巩固混改成果，发展红利持续迸发</w:t>
      </w:r>
    </w:p>
    <w:p>
      <w:pPr>
        <w:pStyle w:val="BodyText"/>
        <w:ind w:left="36" w:right="57" w:firstLine="427"/>
        <w:spacing w:before="264" w:line="312" w:lineRule="auto"/>
        <w:rPr/>
      </w:pPr>
      <w:r>
        <w:rPr>
          <w:spacing w:val="-1"/>
        </w:rPr>
        <w:t>公司不断探索完善公司混改新治理，紧扣自身资源禀赋，加快推进全面数字化转型，将战投合作</w:t>
      </w:r>
      <w:r>
        <w:rPr>
          <w:spacing w:val="6"/>
        </w:rPr>
        <w:t xml:space="preserve"> </w:t>
      </w:r>
      <w:r>
        <w:rPr>
          <w:spacing w:val="-1"/>
        </w:rPr>
        <w:t>伙伴的优势资源注入公司发展之中，持续巩固混改转型发展的根基。年内，公司生态合作稳步推进，</w:t>
      </w:r>
      <w:r>
        <w:rPr>
          <w:spacing w:val="15"/>
        </w:rPr>
        <w:t xml:space="preserve"> </w:t>
      </w:r>
      <w:r>
        <w:rPr>
          <w:spacing w:val="-1"/>
        </w:rPr>
        <w:t>云粒、云景、云镝、云盾、智慧足迹等合资公司持续推进产品研发迭代，助推市场拓展，公司在智慧</w:t>
      </w:r>
      <w:r>
        <w:rPr>
          <w:spacing w:val="15"/>
        </w:rPr>
        <w:t xml:space="preserve"> </w:t>
      </w:r>
      <w:r>
        <w:rPr>
          <w:spacing w:val="-1"/>
        </w:rPr>
        <w:t>城市、旅游、工业互联网、网络安全、人口大数据等领域的产品能力和市场份额显著提升。积极布局</w:t>
      </w:r>
      <w:r>
        <w:rPr>
          <w:spacing w:val="13"/>
        </w:rPr>
        <w:t xml:space="preserve"> </w:t>
      </w:r>
      <w:r>
        <w:rPr>
          <w:spacing w:val="-1"/>
        </w:rPr>
        <w:t>新赛道，与百度、阿里、京东成立数个战略合作中心及联合实验室，探索人工智能、边缘计算、网络</w:t>
      </w:r>
      <w:r>
        <w:rPr>
          <w:spacing w:val="15"/>
        </w:rPr>
        <w:t xml:space="preserve"> </w:t>
      </w:r>
      <w:r>
        <w:rPr>
          <w:spacing w:val="-1"/>
        </w:rPr>
        <w:t>切片等</w:t>
      </w:r>
      <w:r>
        <w:rPr>
          <w:spacing w:val="-33"/>
        </w:rPr>
        <w:t xml:space="preserve"> </w:t>
      </w:r>
      <w:r>
        <w:rPr>
          <w:spacing w:val="-1"/>
        </w:rPr>
        <w:t>5G</w:t>
      </w:r>
      <w:r>
        <w:rPr>
          <w:spacing w:val="-47"/>
        </w:rPr>
        <w:t xml:space="preserve"> </w:t>
      </w:r>
      <w:r>
        <w:rPr>
          <w:spacing w:val="-1"/>
        </w:rPr>
        <w:t>业务应用场景，借力混改股东资源打造差异化竞争优势。</w:t>
      </w:r>
    </w:p>
    <w:p>
      <w:pPr>
        <w:pStyle w:val="BodyText"/>
        <w:ind w:left="461"/>
        <w:spacing w:before="188" w:line="220" w:lineRule="auto"/>
        <w:rPr/>
      </w:pPr>
      <w:r>
        <w:rPr>
          <w:b/>
          <w:bCs/>
          <w:spacing w:val="-2"/>
        </w:rPr>
        <w:t>运营改革提质扩面，全面数字化转型开启新篇章</w:t>
      </w:r>
    </w:p>
    <w:p>
      <w:pPr>
        <w:pStyle w:val="BodyText"/>
        <w:ind w:left="37" w:right="57" w:firstLine="426"/>
        <w:spacing w:before="266" w:line="312" w:lineRule="auto"/>
        <w:rPr/>
      </w:pPr>
      <w:r>
        <w:rPr>
          <w:spacing w:val="-1"/>
        </w:rPr>
        <w:t>公司协同推进深化改革与全面数字化转型协同推进，六大专业线运营体系变革全面落地，统筹重</w:t>
      </w:r>
      <w:r>
        <w:rPr>
          <w:spacing w:val="5"/>
        </w:rPr>
        <w:t xml:space="preserve"> </w:t>
      </w:r>
      <w:r>
        <w:rPr>
          <w:spacing w:val="-1"/>
        </w:rPr>
        <w:t>构优化流程，赋能数字化创新运营。年内，总部管理部门结构数量持续优化，省公司机构大幅精简，</w:t>
      </w:r>
      <w:r>
        <w:rPr>
          <w:spacing w:val="14"/>
        </w:rPr>
        <w:t xml:space="preserve"> </w:t>
      </w:r>
      <w:r>
        <w:rPr>
          <w:spacing w:val="-1"/>
        </w:rPr>
        <w:t>组织架构更加扁平化、矩阵化。“五大中台”建设加快推进，历史性完成</w:t>
      </w:r>
      <w:r>
        <w:rPr>
          <w:spacing w:val="-33"/>
        </w:rPr>
        <w:t xml:space="preserve"> </w:t>
      </w:r>
      <w:r>
        <w:rPr>
          <w:spacing w:val="-1"/>
        </w:rPr>
        <w:t>cBSS</w:t>
      </w:r>
      <w:r>
        <w:rPr>
          <w:spacing w:val="-30"/>
        </w:rPr>
        <w:t xml:space="preserve"> </w:t>
      </w:r>
      <w:r>
        <w:rPr>
          <w:spacing w:val="-1"/>
        </w:rPr>
        <w:t>系统</w:t>
      </w:r>
      <w:r>
        <w:rPr>
          <w:spacing w:val="-21"/>
        </w:rPr>
        <w:t xml:space="preserve"> </w:t>
      </w:r>
      <w:r>
        <w:rPr>
          <w:spacing w:val="-1"/>
        </w:rPr>
        <w:t>100%迁</w:t>
      </w:r>
      <w:r>
        <w:rPr>
          <w:spacing w:val="-2"/>
        </w:rPr>
        <w:t>转，进一</w:t>
      </w:r>
      <w:r>
        <w:rPr/>
        <w:t xml:space="preserve"> </w:t>
      </w:r>
      <w:r>
        <w:rPr>
          <w:spacing w:val="-1"/>
        </w:rPr>
        <w:t>步扩大 IT 集约化行业领先优势。公司供应链体系在央企中率先实现数字化转型，互联网化交易占比</w:t>
      </w:r>
      <w:r>
        <w:rPr>
          <w:spacing w:val="16"/>
        </w:rPr>
        <w:t xml:space="preserve"> </w:t>
      </w:r>
      <w:r>
        <w:rPr>
          <w:spacing w:val="-1"/>
        </w:rPr>
        <w:t>突破 80%，运营效率和发展效能显著提升。分子公司市场化改革范围进一步扩大，经营机制转换不断</w:t>
      </w:r>
      <w:r>
        <w:rPr>
          <w:spacing w:val="16"/>
        </w:rPr>
        <w:t xml:space="preserve"> </w:t>
      </w:r>
      <w:r>
        <w:rPr>
          <w:spacing w:val="-1"/>
        </w:rPr>
        <w:t>加速，企业内生动力活力持续释放。</w:t>
      </w:r>
    </w:p>
    <w:p>
      <w:pPr>
        <w:pStyle w:val="BodyText"/>
        <w:ind w:left="458"/>
        <w:spacing w:before="187" w:line="220" w:lineRule="auto"/>
        <w:rPr/>
      </w:pPr>
      <w:r>
        <w:rPr>
          <w:rFonts w:ascii="Times New Roman" w:hAnsi="Times New Roman" w:eastAsia="Times New Roman" w:cs="Times New Roman"/>
          <w:b/>
          <w:bCs/>
          <w:spacing w:val="-2"/>
        </w:rPr>
        <w:t>5.  </w:t>
      </w:r>
      <w:r>
        <w:rPr>
          <w:b/>
          <w:bCs/>
          <w:spacing w:val="-2"/>
        </w:rPr>
        <w:t>社会责任和公司治理</w:t>
      </w:r>
    </w:p>
    <w:p>
      <w:pPr>
        <w:pStyle w:val="BodyText"/>
        <w:ind w:left="36" w:right="57" w:firstLine="427"/>
        <w:spacing w:before="266" w:line="307" w:lineRule="auto"/>
        <w:jc w:val="both"/>
        <w:rPr/>
      </w:pPr>
      <w:r>
        <w:rPr>
          <w:spacing w:val="-1"/>
        </w:rPr>
        <w:t>公司积极发挥信息通信对产业链和经济社会发展的带动拉动融通作用，在践行经济责任、环境责</w:t>
      </w:r>
      <w:r>
        <w:rPr>
          <w:spacing w:val="6"/>
        </w:rPr>
        <w:t xml:space="preserve"> </w:t>
      </w:r>
      <w:r>
        <w:rPr>
          <w:spacing w:val="-4"/>
        </w:rPr>
        <w:t>任和社会责任上作出积极表率。年内，</w:t>
      </w:r>
      <w:r>
        <w:rPr>
          <w:spacing w:val="47"/>
        </w:rPr>
        <w:t xml:space="preserve"> </w:t>
      </w:r>
      <w:r>
        <w:rPr>
          <w:spacing w:val="-4"/>
        </w:rPr>
        <w:t>面对突如其来的疫情，公司强力维护通信安全和网</w:t>
      </w:r>
      <w:r>
        <w:rPr>
          <w:spacing w:val="-5"/>
        </w:rPr>
        <w:t>络畅通，借</w:t>
      </w:r>
      <w:r>
        <w:rPr/>
        <w:t xml:space="preserve"> </w:t>
      </w:r>
      <w:r>
        <w:rPr>
          <w:spacing w:val="-1"/>
        </w:rPr>
        <w:t>助数字新技术优势，助力精准防疫，赋能复工复产复学，联通大数据公司荣获全国抗击新冠肺炎疫情</w:t>
      </w:r>
    </w:p>
    <w:p>
      <w:pPr>
        <w:spacing w:line="307" w:lineRule="auto"/>
        <w:sectPr>
          <w:headerReference w:type="default" r:id="rId21"/>
          <w:footerReference w:type="default" r:id="rId22"/>
          <w:pgSz w:w="11907" w:h="16839"/>
          <w:pgMar w:top="1377" w:right="1209" w:bottom="1375" w:left="1390" w:header="837" w:footer="1212" w:gutter="0"/>
        </w:sectPr>
        <w:rPr/>
      </w:pPr>
    </w:p>
    <w:p>
      <w:pPr>
        <w:pStyle w:val="BodyText"/>
        <w:ind w:left="40" w:right="90"/>
        <w:spacing w:before="259" w:line="307" w:lineRule="auto"/>
        <w:jc w:val="both"/>
        <w:rPr/>
      </w:pPr>
      <w:r>
        <w:rPr/>
        <w:t>先进集体荣誉称号。充分发挥网络和技术优势，聚力精准扶贫攻坚，</w:t>
      </w:r>
      <w:r>
        <w:rPr>
          <w:spacing w:val="-1"/>
        </w:rPr>
        <w:t>加快宽带与</w:t>
      </w:r>
      <w:r>
        <w:rPr>
          <w:spacing w:val="-18"/>
        </w:rPr>
        <w:t xml:space="preserve"> </w:t>
      </w:r>
      <w:r>
        <w:rPr>
          <w:spacing w:val="-1"/>
        </w:rPr>
        <w:t>4/5G 等基础设施建</w:t>
      </w:r>
      <w:r>
        <w:rPr/>
        <w:t xml:space="preserve"> </w:t>
      </w:r>
      <w:r>
        <w:rPr>
          <w:spacing w:val="-1"/>
        </w:rPr>
        <w:t>设，努力为贫困地区缩小数字鸿沟。坚持人与自然和谐共生，大力推广绿色低碳技术，加强电磁辐射</w:t>
      </w:r>
      <w:r>
        <w:rPr>
          <w:spacing w:val="11"/>
        </w:rPr>
        <w:t xml:space="preserve"> </w:t>
      </w:r>
      <w:r>
        <w:rPr>
          <w:spacing w:val="-1"/>
        </w:rPr>
        <w:t>管理，建设绿色供应链，守护自然生态安全边界。</w:t>
      </w:r>
    </w:p>
    <w:p>
      <w:pPr>
        <w:pStyle w:val="BodyText"/>
        <w:ind w:left="40" w:right="90" w:firstLine="423"/>
        <w:spacing w:before="185" w:line="310" w:lineRule="auto"/>
        <w:rPr/>
      </w:pPr>
      <w:r>
        <w:rPr>
          <w:spacing w:val="-1"/>
        </w:rPr>
        <w:t>公司持续完善公司治理机制，提升执行力，强化风险管理和内部控制，为企业持续健康发展提供</w:t>
      </w:r>
      <w:r>
        <w:rPr>
          <w:spacing w:val="6"/>
        </w:rPr>
        <w:t xml:space="preserve"> </w:t>
      </w:r>
      <w:r>
        <w:rPr>
          <w:spacing w:val="-1"/>
        </w:rPr>
        <w:t>坚实保障。2020 年，公司荣获多项嘉许，其中包括本公司控股子公司-联通红筹公司获《金融亚洲》</w:t>
      </w:r>
      <w:r>
        <w:rPr>
          <w:spacing w:val="2"/>
        </w:rPr>
        <w:t xml:space="preserve"> </w:t>
      </w:r>
      <w:r>
        <w:rPr/>
        <w:t>（Finance</w:t>
      </w:r>
      <w:r>
        <w:rPr>
          <w:spacing w:val="-26"/>
        </w:rPr>
        <w:t xml:space="preserve"> </w:t>
      </w:r>
      <w:r>
        <w:rPr/>
        <w:t>Asia）评选为“亚洲最佳企业管治公司”，获《机构投资者》连续第五年</w:t>
      </w:r>
      <w:r>
        <w:rPr>
          <w:spacing w:val="-1"/>
        </w:rPr>
        <w:t>评选为“亚洲最</w:t>
      </w:r>
      <w:r>
        <w:rPr/>
        <w:t xml:space="preserve"> </w:t>
      </w:r>
      <w:r>
        <w:rPr>
          <w:spacing w:val="-2"/>
        </w:rPr>
        <w:t>受尊崇电信企业</w:t>
      </w:r>
      <w:r>
        <w:rPr>
          <w:spacing w:val="-79"/>
        </w:rPr>
        <w:t xml:space="preserve"> </w:t>
      </w:r>
      <w:r>
        <w:rPr>
          <w:spacing w:val="-2"/>
        </w:rPr>
        <w:t>”第一名，并于《福布斯全球上市公司</w:t>
      </w:r>
      <w:r>
        <w:rPr>
          <w:spacing w:val="-41"/>
        </w:rPr>
        <w:t xml:space="preserve"> </w:t>
      </w:r>
      <w:r>
        <w:rPr>
          <w:spacing w:val="-2"/>
        </w:rPr>
        <w:t>2000</w:t>
      </w:r>
      <w:r>
        <w:rPr>
          <w:spacing w:val="-42"/>
        </w:rPr>
        <w:t xml:space="preserve"> </w:t>
      </w:r>
      <w:r>
        <w:rPr>
          <w:spacing w:val="-2"/>
        </w:rPr>
        <w:t>强》中</w:t>
      </w:r>
      <w:r>
        <w:rPr>
          <w:spacing w:val="-3"/>
        </w:rPr>
        <w:t>排名第</w:t>
      </w:r>
      <w:r>
        <w:rPr>
          <w:spacing w:val="-44"/>
        </w:rPr>
        <w:t xml:space="preserve"> </w:t>
      </w:r>
      <w:r>
        <w:rPr>
          <w:spacing w:val="-3"/>
        </w:rPr>
        <w:t>286</w:t>
      </w:r>
      <w:r>
        <w:rPr>
          <w:spacing w:val="-44"/>
        </w:rPr>
        <w:t xml:space="preserve"> </w:t>
      </w:r>
      <w:r>
        <w:rPr>
          <w:spacing w:val="-3"/>
        </w:rPr>
        <w:t>位。</w:t>
      </w:r>
    </w:p>
    <w:p>
      <w:pPr>
        <w:pStyle w:val="BodyText"/>
        <w:ind w:left="37" w:firstLine="421"/>
        <w:spacing w:before="191" w:line="314" w:lineRule="auto"/>
        <w:jc w:val="both"/>
        <w:rPr/>
      </w:pPr>
      <w:r>
        <w:rPr>
          <w:spacing w:val="-4"/>
        </w:rPr>
        <w:t>美国前总统于</w:t>
      </w:r>
      <w:r>
        <w:rPr>
          <w:spacing w:val="-14"/>
        </w:rPr>
        <w:t xml:space="preserve"> </w:t>
      </w:r>
      <w:r>
        <w:rPr>
          <w:spacing w:val="-4"/>
        </w:rPr>
        <w:t>2020</w:t>
      </w:r>
      <w:r>
        <w:rPr>
          <w:spacing w:val="-34"/>
        </w:rPr>
        <w:t xml:space="preserve"> </w:t>
      </w:r>
      <w:r>
        <w:rPr>
          <w:spacing w:val="-4"/>
        </w:rPr>
        <w:t>年</w:t>
      </w:r>
      <w:r>
        <w:rPr>
          <w:spacing w:val="-21"/>
        </w:rPr>
        <w:t xml:space="preserve"> </w:t>
      </w:r>
      <w:r>
        <w:rPr>
          <w:spacing w:val="-4"/>
        </w:rPr>
        <w:t>11</w:t>
      </w:r>
      <w:r>
        <w:rPr>
          <w:spacing w:val="-31"/>
        </w:rPr>
        <w:t xml:space="preserve"> </w:t>
      </w:r>
      <w:r>
        <w:rPr>
          <w:spacing w:val="-4"/>
        </w:rPr>
        <w:t>月 12 日颁布了一项行政命令（第</w:t>
      </w:r>
      <w:r>
        <w:rPr>
          <w:spacing w:val="-21"/>
        </w:rPr>
        <w:t xml:space="preserve"> </w:t>
      </w:r>
      <w:r>
        <w:rPr>
          <w:spacing w:val="-4"/>
        </w:rPr>
        <w:t>13959</w:t>
      </w:r>
      <w:r>
        <w:rPr>
          <w:spacing w:val="-30"/>
        </w:rPr>
        <w:t xml:space="preserve"> </w:t>
      </w:r>
      <w:r>
        <w:rPr>
          <w:spacing w:val="-4"/>
        </w:rPr>
        <w:t>号）, 其后美国财政部外国资</w:t>
      </w:r>
      <w:r>
        <w:rPr/>
        <w:t xml:space="preserve">  </w:t>
      </w:r>
      <w:r>
        <w:rPr>
          <w:spacing w:val="2"/>
        </w:rPr>
        <w:t>产控制办公室发布了相关指引。 该行政命令及相关指引禁止任</w:t>
      </w:r>
      <w:r>
        <w:rPr>
          <w:spacing w:val="1"/>
        </w:rPr>
        <w:t>何美国人士对有关中国公司（其中包</w:t>
      </w:r>
      <w:r>
        <w:rPr/>
        <w:t xml:space="preserve">  </w:t>
      </w:r>
      <w:r>
        <w:rPr>
          <w:spacing w:val="-1"/>
        </w:rPr>
        <w:t>括本公司、本公司的最终控股母公司中国联合网络通信集团有限公司及本公司间接控股子公司联通红</w:t>
      </w:r>
      <w:r>
        <w:rPr>
          <w:spacing w:val="7"/>
        </w:rPr>
        <w:t xml:space="preserve">  </w:t>
      </w:r>
      <w:r>
        <w:rPr>
          <w:spacing w:val="-8"/>
        </w:rPr>
        <w:t>筹公司）的公开交易证券（包括其衍生证券等）进行任何交易。美国纽约证券交易所（简称“纽交所”）</w:t>
      </w:r>
      <w:r>
        <w:rPr>
          <w:spacing w:val="9"/>
        </w:rPr>
        <w:t xml:space="preserve"> </w:t>
      </w:r>
      <w:r>
        <w:rPr>
          <w:spacing w:val="-1"/>
        </w:rPr>
        <w:t>监管人员表示，基于该行政命令和相关指引，其决定启动联通红筹公司美国存托证券的下市程序, 并</w:t>
      </w:r>
      <w:r>
        <w:rPr>
          <w:spacing w:val="7"/>
        </w:rPr>
        <w:t xml:space="preserve">  </w:t>
      </w:r>
      <w:r>
        <w:rPr>
          <w:spacing w:val="-4"/>
        </w:rPr>
        <w:t>自</w:t>
      </w:r>
      <w:r>
        <w:rPr>
          <w:spacing w:val="-32"/>
        </w:rPr>
        <w:t xml:space="preserve"> </w:t>
      </w:r>
      <w:r>
        <w:rPr>
          <w:spacing w:val="-4"/>
        </w:rPr>
        <w:t>2021</w:t>
      </w:r>
      <w:r>
        <w:rPr>
          <w:spacing w:val="-36"/>
        </w:rPr>
        <w:t xml:space="preserve"> </w:t>
      </w:r>
      <w:r>
        <w:rPr>
          <w:spacing w:val="-4"/>
        </w:rPr>
        <w:t>年 1</w:t>
      </w:r>
      <w:r>
        <w:rPr>
          <w:spacing w:val="-32"/>
        </w:rPr>
        <w:t xml:space="preserve"> </w:t>
      </w:r>
      <w:r>
        <w:rPr>
          <w:spacing w:val="-4"/>
        </w:rPr>
        <w:t>月 11 日起暂停联通红筹公司美国存托证券的买</w:t>
      </w:r>
      <w:r>
        <w:rPr>
          <w:spacing w:val="-5"/>
        </w:rPr>
        <w:t>卖。</w:t>
      </w:r>
      <w:r>
        <w:rPr>
          <w:spacing w:val="-61"/>
        </w:rPr>
        <w:t xml:space="preserve"> </w:t>
      </w:r>
      <w:r>
        <w:rPr>
          <w:spacing w:val="-5"/>
        </w:rPr>
        <w:t>自</w:t>
      </w:r>
      <w:r>
        <w:rPr>
          <w:spacing w:val="-34"/>
        </w:rPr>
        <w:t xml:space="preserve"> </w:t>
      </w:r>
      <w:r>
        <w:rPr>
          <w:spacing w:val="-5"/>
        </w:rPr>
        <w:t>2000</w:t>
      </w:r>
      <w:r>
        <w:rPr>
          <w:spacing w:val="-36"/>
        </w:rPr>
        <w:t xml:space="preserve"> </w:t>
      </w:r>
      <w:r>
        <w:rPr>
          <w:spacing w:val="-5"/>
        </w:rPr>
        <w:t>年在香港联合交易所和纽交</w:t>
      </w:r>
      <w:r>
        <w:rPr/>
        <w:t xml:space="preserve">  </w:t>
      </w:r>
      <w:r>
        <w:rPr>
          <w:spacing w:val="-1"/>
        </w:rPr>
        <w:t>所上市以来，联通红筹公司一直严格遵守各项法律法规、市场规则及上市地的监管要求，依法合规运</w:t>
      </w:r>
      <w:r>
        <w:rPr>
          <w:spacing w:val="7"/>
        </w:rPr>
        <w:t xml:space="preserve">  </w:t>
      </w:r>
      <w:r>
        <w:rPr>
          <w:spacing w:val="-1"/>
        </w:rPr>
        <w:t>营。我们对该行政命令和相关指引及纽交所的决定表示失望，这对联通红筹公司的普通股和美国存托</w:t>
      </w:r>
      <w:r>
        <w:rPr>
          <w:spacing w:val="7"/>
        </w:rPr>
        <w:t xml:space="preserve">  </w:t>
      </w:r>
      <w:r>
        <w:rPr>
          <w:spacing w:val="-1"/>
        </w:rPr>
        <w:t>证券的交易价格产生不利影响，也对本公司股价带来一定压力，损害了公司及股东的利益。为了保护</w:t>
      </w:r>
      <w:r>
        <w:rPr>
          <w:spacing w:val="7"/>
        </w:rPr>
        <w:t xml:space="preserve">  </w:t>
      </w:r>
      <w:r>
        <w:rPr>
          <w:spacing w:val="-2"/>
        </w:rPr>
        <w:t>公司及股东的权益，2021</w:t>
      </w:r>
      <w:r>
        <w:rPr>
          <w:spacing w:val="-41"/>
        </w:rPr>
        <w:t xml:space="preserve"> </w:t>
      </w:r>
      <w:r>
        <w:rPr>
          <w:spacing w:val="-2"/>
        </w:rPr>
        <w:t>年</w:t>
      </w:r>
      <w:r>
        <w:rPr>
          <w:spacing w:val="-23"/>
        </w:rPr>
        <w:t xml:space="preserve"> </w:t>
      </w:r>
      <w:r>
        <w:rPr>
          <w:spacing w:val="-2"/>
        </w:rPr>
        <w:t>1</w:t>
      </w:r>
      <w:r>
        <w:rPr>
          <w:spacing w:val="-34"/>
        </w:rPr>
        <w:t xml:space="preserve"> </w:t>
      </w:r>
      <w:r>
        <w:rPr>
          <w:spacing w:val="-2"/>
        </w:rPr>
        <w:t>月</w:t>
      </w:r>
      <w:r>
        <w:rPr>
          <w:spacing w:val="-37"/>
        </w:rPr>
        <w:t xml:space="preserve"> </w:t>
      </w:r>
      <w:r>
        <w:rPr>
          <w:spacing w:val="-2"/>
        </w:rPr>
        <w:t>20 日，联通红筹公司向纽交所提出书面要</w:t>
      </w:r>
      <w:r>
        <w:rPr>
          <w:spacing w:val="-3"/>
        </w:rPr>
        <w:t>求，要求纽交所董事会的</w:t>
      </w:r>
      <w:r>
        <w:rPr/>
        <w:t xml:space="preserve">  </w:t>
      </w:r>
      <w:r>
        <w:rPr>
          <w:spacing w:val="-1"/>
        </w:rPr>
        <w:t>一个委员会复议有关决定。我们将继续密切关注相关事项的进展，寻求专业意见并保留所有权利，以</w:t>
      </w:r>
      <w:r>
        <w:rPr>
          <w:spacing w:val="7"/>
        </w:rPr>
        <w:t xml:space="preserve">  </w:t>
      </w:r>
      <w:r>
        <w:rPr>
          <w:spacing w:val="-1"/>
        </w:rPr>
        <w:t>保护公司合法权益。</w:t>
      </w:r>
    </w:p>
    <w:p>
      <w:pPr>
        <w:pStyle w:val="BodyText"/>
        <w:ind w:left="459"/>
        <w:spacing w:before="186" w:line="221" w:lineRule="auto"/>
        <w:rPr/>
      </w:pPr>
      <w:r>
        <w:rPr>
          <w:rFonts w:ascii="Times New Roman" w:hAnsi="Times New Roman" w:eastAsia="Times New Roman" w:cs="Times New Roman"/>
          <w:b/>
          <w:bCs/>
          <w:spacing w:val="-4"/>
        </w:rPr>
        <w:t>6.</w:t>
      </w:r>
      <w:r>
        <w:rPr>
          <w:rFonts w:ascii="Times New Roman" w:hAnsi="Times New Roman" w:eastAsia="Times New Roman" w:cs="Times New Roman"/>
          <w:b/>
          <w:bCs/>
          <w:spacing w:val="5"/>
        </w:rPr>
        <w:t xml:space="preserve">  </w:t>
      </w:r>
      <w:r>
        <w:rPr>
          <w:b/>
          <w:bCs/>
          <w:spacing w:val="-4"/>
        </w:rPr>
        <w:t>未来展望</w:t>
      </w:r>
    </w:p>
    <w:p>
      <w:pPr>
        <w:pStyle w:val="BodyText"/>
        <w:ind w:left="38" w:right="91" w:firstLine="421"/>
        <w:spacing w:before="263" w:line="310" w:lineRule="auto"/>
        <w:jc w:val="both"/>
        <w:rPr/>
      </w:pPr>
      <w:r>
        <w:rPr>
          <w:spacing w:val="-1"/>
        </w:rPr>
        <w:t>如今，信息技术飞快发展，我们正进入一个快速更迭的信息时代。可以预见，在不远的将来，无</w:t>
      </w:r>
      <w:r>
        <w:rPr>
          <w:spacing w:val="4"/>
        </w:rPr>
        <w:t xml:space="preserve"> </w:t>
      </w:r>
      <w:r>
        <w:rPr>
          <w:spacing w:val="-1"/>
        </w:rPr>
        <w:t>处不在的连接，智能化、数字化的快速变革，将深刻的影响社会经济运行的形态，数字产业化和产业</w:t>
      </w:r>
      <w:r>
        <w:rPr>
          <w:spacing w:val="13"/>
        </w:rPr>
        <w:t xml:space="preserve"> </w:t>
      </w:r>
      <w:r>
        <w:rPr>
          <w:spacing w:val="-1"/>
        </w:rPr>
        <w:t>数字化将催生一个庞大的新兴市场。与此同时，国内外宏观经济快速变化、行业竞争进入新格局、新</w:t>
      </w:r>
      <w:r>
        <w:rPr>
          <w:spacing w:val="12"/>
        </w:rPr>
        <w:t xml:space="preserve"> </w:t>
      </w:r>
      <w:r>
        <w:rPr/>
        <w:t>旧动能转换仍有不确定性，这些风险也给未来企业发展带来了更</w:t>
      </w:r>
      <w:r>
        <w:rPr>
          <w:spacing w:val="-1"/>
        </w:rPr>
        <w:t>大挑战。</w:t>
      </w:r>
    </w:p>
    <w:p>
      <w:pPr>
        <w:pStyle w:val="BodyText"/>
        <w:ind w:left="38" w:right="91" w:firstLine="420"/>
        <w:spacing w:before="189" w:line="309" w:lineRule="auto"/>
        <w:jc w:val="both"/>
        <w:rPr/>
      </w:pPr>
      <w:r>
        <w:rPr>
          <w:spacing w:val="-1"/>
        </w:rPr>
        <w:t>2021</w:t>
      </w:r>
      <w:r>
        <w:rPr>
          <w:spacing w:val="-25"/>
        </w:rPr>
        <w:t xml:space="preserve"> </w:t>
      </w:r>
      <w:r>
        <w:rPr>
          <w:spacing w:val="-1"/>
        </w:rPr>
        <w:t>年，面对日趋复杂的内外部环境，公司将紧紧把握</w:t>
      </w:r>
      <w:r>
        <w:rPr>
          <w:spacing w:val="-32"/>
        </w:rPr>
        <w:t xml:space="preserve"> </w:t>
      </w:r>
      <w:r>
        <w:rPr>
          <w:spacing w:val="-1"/>
        </w:rPr>
        <w:t>5G</w:t>
      </w:r>
      <w:r>
        <w:rPr>
          <w:spacing w:val="-36"/>
        </w:rPr>
        <w:t xml:space="preserve"> </w:t>
      </w:r>
      <w:r>
        <w:rPr>
          <w:spacing w:val="-1"/>
        </w:rPr>
        <w:t>规模发展的关键时机，继续深入落实</w:t>
      </w:r>
      <w:r>
        <w:rPr/>
        <w:t xml:space="preserve"> </w:t>
      </w:r>
      <w:r>
        <w:rPr>
          <w:spacing w:val="-1"/>
        </w:rPr>
        <w:t>聚焦创新合作战略，加快全面数字化转型，着力塑造高品质服务、高质量发展、高效能治理、高科技</w:t>
      </w:r>
      <w:r>
        <w:rPr>
          <w:spacing w:val="8"/>
        </w:rPr>
        <w:t xml:space="preserve"> </w:t>
      </w:r>
      <w:r>
        <w:rPr>
          <w:spacing w:val="-1"/>
        </w:rPr>
        <w:t>引擎、高活力运营“五高</w:t>
      </w:r>
      <w:r>
        <w:rPr>
          <w:spacing w:val="-79"/>
        </w:rPr>
        <w:t xml:space="preserve"> </w:t>
      </w:r>
      <w:r>
        <w:rPr>
          <w:spacing w:val="-1"/>
        </w:rPr>
        <w:t>”发展新优势。坚持合作共赢，积</w:t>
      </w:r>
      <w:r>
        <w:rPr>
          <w:spacing w:val="-2"/>
        </w:rPr>
        <w:t>极引领创新，激发组织活力，不断推动发</w:t>
      </w:r>
      <w:r>
        <w:rPr/>
        <w:t xml:space="preserve"> </w:t>
      </w:r>
      <w:r>
        <w:rPr/>
        <w:t>展转型升级，全面提升发展质量和运营效率，为股东、客户和社会创造更</w:t>
      </w:r>
      <w:r>
        <w:rPr>
          <w:spacing w:val="-1"/>
        </w:rPr>
        <w:t>大价值。</w:t>
      </w:r>
    </w:p>
    <w:p>
      <w:pPr>
        <w:spacing w:line="332" w:lineRule="auto"/>
        <w:rPr>
          <w:rFonts w:ascii="Arial"/>
          <w:sz w:val="21"/>
        </w:rPr>
      </w:pPr>
      <w:r/>
    </w:p>
    <w:p>
      <w:pPr>
        <w:pStyle w:val="BodyText"/>
        <w:ind w:left="35" w:right="92"/>
        <w:spacing w:before="53" w:line="409" w:lineRule="auto"/>
        <w:rPr>
          <w:sz w:val="16"/>
          <w:szCs w:val="16"/>
        </w:rPr>
      </w:pPr>
      <w:r>
        <w:rPr>
          <w:sz w:val="16"/>
          <w:szCs w:val="16"/>
          <w:spacing w:val="-1"/>
        </w:rPr>
        <w:t>注</w:t>
      </w:r>
      <w:r>
        <w:rPr>
          <w:sz w:val="16"/>
          <w:szCs w:val="16"/>
          <w:spacing w:val="-14"/>
        </w:rPr>
        <w:t xml:space="preserve"> </w:t>
      </w:r>
      <w:r>
        <w:rPr>
          <w:rFonts w:ascii="Calibri" w:hAnsi="Calibri" w:eastAsia="Calibri" w:cs="Calibri"/>
          <w:sz w:val="16"/>
          <w:szCs w:val="16"/>
          <w:spacing w:val="-1"/>
        </w:rPr>
        <w:t>1</w:t>
      </w:r>
      <w:r>
        <w:rPr>
          <w:sz w:val="16"/>
          <w:szCs w:val="16"/>
          <w:spacing w:val="-1"/>
        </w:rPr>
        <w:t>：反映了加回财务费用、所得税、营业成本和管理费用及研发费用中的折旧及摊销以及减去投资收益、公允价值变动净收益、其</w:t>
      </w:r>
      <w:r>
        <w:rPr>
          <w:sz w:val="16"/>
          <w:szCs w:val="16"/>
        </w:rPr>
        <w:t xml:space="preserve"> </w:t>
      </w:r>
      <w:r>
        <w:rPr>
          <w:sz w:val="16"/>
          <w:szCs w:val="16"/>
          <w:spacing w:val="-1"/>
        </w:rPr>
        <w:t>他收益、营业外净收入的净利润。由于电信业是资本密集型产业，资本开支和财务费用可能对具有类似经营</w:t>
      </w:r>
      <w:r>
        <w:rPr>
          <w:sz w:val="16"/>
          <w:szCs w:val="16"/>
          <w:spacing w:val="-2"/>
        </w:rPr>
        <w:t>成果的公司盈利产生重大</w:t>
      </w:r>
      <w:r>
        <w:rPr>
          <w:sz w:val="16"/>
          <w:szCs w:val="16"/>
        </w:rPr>
        <w:t xml:space="preserve"> </w:t>
      </w:r>
      <w:r>
        <w:rPr>
          <w:sz w:val="16"/>
          <w:szCs w:val="16"/>
          <w:spacing w:val="1"/>
        </w:rPr>
        <w:t>影响。因此，公司认为，对于与公司类似的电信公司而</w:t>
      </w:r>
      <w:r>
        <w:rPr>
          <w:sz w:val="16"/>
          <w:szCs w:val="16"/>
        </w:rPr>
        <w:t>言，</w:t>
      </w:r>
      <w:r>
        <w:rPr>
          <w:rFonts w:ascii="Calibri" w:hAnsi="Calibri" w:eastAsia="Calibri" w:cs="Calibri"/>
          <w:sz w:val="16"/>
          <w:szCs w:val="16"/>
        </w:rPr>
        <w:t>EBITDA  </w:t>
      </w:r>
      <w:r>
        <w:rPr>
          <w:sz w:val="16"/>
          <w:szCs w:val="16"/>
        </w:rPr>
        <w:t>有助于对公司经营成果分析，但它并非公认会计原则财务指标， </w:t>
      </w:r>
      <w:r>
        <w:rPr>
          <w:sz w:val="16"/>
          <w:szCs w:val="16"/>
          <w:spacing w:val="-1"/>
        </w:rPr>
        <w:t>并无统一定义，故未必可与其他公司的类似指标作比较。</w:t>
      </w:r>
    </w:p>
    <w:p>
      <w:pPr>
        <w:spacing w:line="409" w:lineRule="auto"/>
        <w:sectPr>
          <w:headerReference w:type="default" r:id="rId23"/>
          <w:footerReference w:type="default" r:id="rId24"/>
          <w:pgSz w:w="11907" w:h="16839"/>
          <w:pgMar w:top="1377" w:right="1176" w:bottom="1374" w:left="1390" w:header="837" w:footer="1212" w:gutter="0"/>
        </w:sectPr>
        <w:rPr>
          <w:sz w:val="16"/>
          <w:szCs w:val="16"/>
        </w:rPr>
      </w:pPr>
    </w:p>
    <w:p>
      <w:pPr>
        <w:pStyle w:val="BodyText"/>
        <w:ind w:left="37"/>
        <w:spacing w:before="202" w:line="221" w:lineRule="auto"/>
        <w:rPr/>
      </w:pPr>
      <w:r>
        <w:rPr>
          <w:b/>
          <w:bCs/>
          <w:spacing w:val="-2"/>
        </w:rPr>
        <w:t>第二部分：业务回顾</w:t>
      </w:r>
    </w:p>
    <w:p>
      <w:pPr>
        <w:pStyle w:val="BodyText"/>
        <w:ind w:left="477"/>
        <w:spacing w:before="272" w:line="221" w:lineRule="auto"/>
        <w:rPr/>
      </w:pPr>
      <w:r>
        <w:rPr>
          <w:b/>
          <w:bCs/>
          <w:spacing w:val="-8"/>
        </w:rPr>
        <w:t>1</w:t>
      </w:r>
      <w:r>
        <w:rPr>
          <w:spacing w:val="11"/>
        </w:rPr>
        <w:t xml:space="preserve"> </w:t>
      </w:r>
      <w:r>
        <w:rPr>
          <w:b/>
          <w:bCs/>
          <w:spacing w:val="-8"/>
        </w:rPr>
        <w:t>移动业务</w:t>
      </w:r>
    </w:p>
    <w:p>
      <w:pPr>
        <w:pStyle w:val="BodyText"/>
        <w:ind w:left="22" w:firstLine="436"/>
        <w:spacing w:before="269" w:line="313" w:lineRule="auto"/>
        <w:rPr/>
      </w:pPr>
      <w:r>
        <w:rPr>
          <w:spacing w:val="-1"/>
        </w:rPr>
        <w:t>2020</w:t>
      </w:r>
      <w:r>
        <w:rPr>
          <w:spacing w:val="-36"/>
        </w:rPr>
        <w:t xml:space="preserve"> </w:t>
      </w:r>
      <w:r>
        <w:rPr>
          <w:spacing w:val="-1"/>
        </w:rPr>
        <w:t>年中国联通深化“聚焦、创新、合作</w:t>
      </w:r>
      <w:r>
        <w:rPr>
          <w:spacing w:val="-80"/>
        </w:rPr>
        <w:t xml:space="preserve"> </w:t>
      </w:r>
      <w:r>
        <w:rPr>
          <w:spacing w:val="-1"/>
        </w:rPr>
        <w:t>”战略</w:t>
      </w:r>
      <w:r>
        <w:rPr>
          <w:spacing w:val="-2"/>
        </w:rPr>
        <w:t>，以</w:t>
      </w:r>
      <w:r>
        <w:rPr>
          <w:spacing w:val="-29"/>
        </w:rPr>
        <w:t xml:space="preserve"> </w:t>
      </w:r>
      <w:r>
        <w:rPr>
          <w:spacing w:val="-2"/>
        </w:rPr>
        <w:t>5G</w:t>
      </w:r>
      <w:r>
        <w:rPr>
          <w:spacing w:val="-32"/>
        </w:rPr>
        <w:t xml:space="preserve"> </w:t>
      </w:r>
      <w:r>
        <w:rPr>
          <w:spacing w:val="-2"/>
        </w:rPr>
        <w:t>为引领拉动移动业务增长，坚持“全国</w:t>
      </w:r>
      <w:r>
        <w:rPr/>
        <w:t xml:space="preserve"> </w:t>
      </w:r>
      <w:r>
        <w:rPr>
          <w:spacing w:val="-1"/>
        </w:rPr>
        <w:t>范围抓好 5G 套餐，重点城市关注终端和登网率</w:t>
      </w:r>
      <w:r>
        <w:rPr>
          <w:spacing w:val="-75"/>
        </w:rPr>
        <w:t xml:space="preserve"> </w:t>
      </w:r>
      <w:r>
        <w:rPr>
          <w:spacing w:val="-1"/>
        </w:rPr>
        <w:t>”策略，向存量市场要转化、向新增市场要规模。确</w:t>
      </w:r>
      <w:r>
        <w:rPr/>
        <w:t xml:space="preserve"> </w:t>
      </w:r>
      <w:r>
        <w:rPr>
          <w:spacing w:val="-2"/>
        </w:rPr>
        <w:t>保资费合约与产品竞争力，推进</w:t>
      </w:r>
      <w:r>
        <w:rPr>
          <w:spacing w:val="-40"/>
        </w:rPr>
        <w:t xml:space="preserve"> </w:t>
      </w:r>
      <w:r>
        <w:rPr>
          <w:spacing w:val="-2"/>
        </w:rPr>
        <w:t>5G</w:t>
      </w:r>
      <w:r>
        <w:rPr>
          <w:spacing w:val="-46"/>
        </w:rPr>
        <w:t xml:space="preserve"> </w:t>
      </w:r>
      <w:r>
        <w:rPr>
          <w:spacing w:val="-2"/>
        </w:rPr>
        <w:t>套餐对全量客户全覆盖，加强</w:t>
      </w:r>
      <w:r>
        <w:rPr>
          <w:spacing w:val="-42"/>
        </w:rPr>
        <w:t xml:space="preserve"> </w:t>
      </w:r>
      <w:r>
        <w:rPr>
          <w:spacing w:val="-2"/>
        </w:rPr>
        <w:t>5G 用户合约化、融合</w:t>
      </w:r>
      <w:r>
        <w:rPr>
          <w:spacing w:val="-3"/>
        </w:rPr>
        <w:t>化发展；增强</w:t>
      </w:r>
      <w:r>
        <w:rPr/>
        <w:t xml:space="preserve"> </w:t>
      </w:r>
      <w:r>
        <w:rPr>
          <w:spacing w:val="14"/>
        </w:rPr>
        <w:t>省分资费与合约灵活度，</w:t>
      </w:r>
      <w:r>
        <w:rPr>
          <w:spacing w:val="-46"/>
        </w:rPr>
        <w:t xml:space="preserve"> </w:t>
      </w:r>
      <w:r>
        <w:rPr>
          <w:spacing w:val="14"/>
        </w:rPr>
        <w:t>加强</w:t>
      </w:r>
      <w:r>
        <w:rPr>
          <w:spacing w:val="38"/>
        </w:rPr>
        <w:t xml:space="preserve"> </w:t>
      </w:r>
      <w:r>
        <w:rPr>
          <w:spacing w:val="14"/>
        </w:rPr>
        <w:t>5G 核心应用打造差异化。</w:t>
      </w:r>
      <w:r>
        <w:rPr>
          <w:spacing w:val="-56"/>
        </w:rPr>
        <w:t xml:space="preserve"> </w:t>
      </w:r>
      <w:r>
        <w:rPr>
          <w:spacing w:val="14"/>
        </w:rPr>
        <w:t>全渠道规模发展上</w:t>
      </w:r>
      <w:r>
        <w:rPr>
          <w:spacing w:val="-59"/>
        </w:rPr>
        <w:t xml:space="preserve"> </w:t>
      </w:r>
      <w:r>
        <w:rPr>
          <w:spacing w:val="14"/>
        </w:rPr>
        <w:t>台阶</w:t>
      </w:r>
      <w:r>
        <w:rPr>
          <w:spacing w:val="-58"/>
        </w:rPr>
        <w:t xml:space="preserve"> </w:t>
      </w:r>
      <w:r>
        <w:rPr>
          <w:spacing w:val="14"/>
        </w:rPr>
        <w:t>，重点实施</w:t>
      </w:r>
      <w:r>
        <w:rPr/>
        <w:t xml:space="preserve"> </w:t>
      </w:r>
      <w:r>
        <w:rPr>
          <w:spacing w:val="-3"/>
        </w:rPr>
        <w:t>“‘6+X’+1+1</w:t>
      </w:r>
      <w:r>
        <w:rPr>
          <w:spacing w:val="-77"/>
        </w:rPr>
        <w:t xml:space="preserve"> </w:t>
      </w:r>
      <w:r>
        <w:rPr>
          <w:spacing w:val="-3"/>
        </w:rPr>
        <w:t>”工程，在线聚焦</w:t>
      </w:r>
      <w:r>
        <w:rPr>
          <w:spacing w:val="-40"/>
        </w:rPr>
        <w:t xml:space="preserve"> </w:t>
      </w:r>
      <w:r>
        <w:rPr>
          <w:spacing w:val="-3"/>
        </w:rPr>
        <w:t>5G</w:t>
      </w:r>
      <w:r>
        <w:rPr>
          <w:spacing w:val="-43"/>
        </w:rPr>
        <w:t xml:space="preserve"> </w:t>
      </w:r>
      <w:r>
        <w:rPr>
          <w:spacing w:val="-3"/>
        </w:rPr>
        <w:t>差异化场景，强化</w:t>
      </w:r>
      <w:r>
        <w:rPr>
          <w:spacing w:val="-40"/>
        </w:rPr>
        <w:t xml:space="preserve"> </w:t>
      </w:r>
      <w:r>
        <w:rPr>
          <w:spacing w:val="-3"/>
        </w:rPr>
        <w:t>5G 自主引流；实体渠道开展</w:t>
      </w:r>
      <w:r>
        <w:rPr>
          <w:spacing w:val="-39"/>
        </w:rPr>
        <w:t xml:space="preserve"> </w:t>
      </w:r>
      <w:r>
        <w:rPr>
          <w:spacing w:val="-3"/>
        </w:rPr>
        <w:t>5G</w:t>
      </w:r>
      <w:r>
        <w:rPr>
          <w:spacing w:val="-44"/>
        </w:rPr>
        <w:t xml:space="preserve"> </w:t>
      </w:r>
      <w:r>
        <w:rPr>
          <w:spacing w:val="-3"/>
        </w:rPr>
        <w:t>体验及终</w:t>
      </w:r>
      <w:r>
        <w:rPr>
          <w:spacing w:val="-4"/>
        </w:rPr>
        <w:t>端内</w:t>
      </w:r>
      <w:r>
        <w:rPr/>
        <w:t xml:space="preserve"> </w:t>
      </w:r>
      <w:r>
        <w:rPr/>
        <w:t>购会；政企积极打造 5G 示范标杆。加快端网业协同与匹配，以业</w:t>
      </w:r>
      <w:r>
        <w:rPr>
          <w:spacing w:val="-1"/>
        </w:rPr>
        <w:t>促端，以端促业；金融分期创新，</w:t>
      </w:r>
      <w:r>
        <w:rPr/>
        <w:t xml:space="preserve"> </w:t>
      </w:r>
      <w:r>
        <w:rPr>
          <w:spacing w:val="-3"/>
        </w:rPr>
        <w:t>终端助力业务。实施客户切片精准适政策，基于大数据精确</w:t>
      </w:r>
      <w:r>
        <w:rPr>
          <w:spacing w:val="-4"/>
        </w:rPr>
        <w:t>分析和场景化深刻洞察，对客户精细切片、</w:t>
      </w:r>
      <w:r>
        <w:rPr/>
        <w:t xml:space="preserve"> </w:t>
      </w:r>
      <w:r>
        <w:rPr>
          <w:spacing w:val="-1"/>
        </w:rPr>
        <w:t>精准施策。加大</w:t>
      </w:r>
      <w:r>
        <w:rPr>
          <w:spacing w:val="-40"/>
        </w:rPr>
        <w:t xml:space="preserve"> </w:t>
      </w:r>
      <w:r>
        <w:rPr>
          <w:spacing w:val="-1"/>
        </w:rPr>
        <w:t>5G</w:t>
      </w:r>
      <w:r>
        <w:rPr>
          <w:spacing w:val="-43"/>
        </w:rPr>
        <w:t xml:space="preserve"> </w:t>
      </w:r>
      <w:r>
        <w:rPr>
          <w:spacing w:val="-1"/>
        </w:rPr>
        <w:t>宣传，以</w:t>
      </w:r>
      <w:r>
        <w:rPr>
          <w:spacing w:val="-39"/>
        </w:rPr>
        <w:t xml:space="preserve"> </w:t>
      </w:r>
      <w:r>
        <w:rPr>
          <w:spacing w:val="-1"/>
        </w:rPr>
        <w:t>5G</w:t>
      </w:r>
      <w:r>
        <w:rPr>
          <w:sz w:val="11"/>
          <w:szCs w:val="11"/>
          <w:spacing w:val="-1"/>
          <w:position w:val="10"/>
        </w:rPr>
        <w:t>n</w:t>
      </w:r>
      <w:r>
        <w:rPr>
          <w:sz w:val="11"/>
          <w:szCs w:val="11"/>
          <w:spacing w:val="-15"/>
          <w:position w:val="10"/>
        </w:rPr>
        <w:t xml:space="preserve"> </w:t>
      </w:r>
      <w:r>
        <w:rPr>
          <w:spacing w:val="-1"/>
        </w:rPr>
        <w:t>统领品牌传播，以“三千兆</w:t>
      </w:r>
      <w:r>
        <w:rPr>
          <w:spacing w:val="-79"/>
        </w:rPr>
        <w:t xml:space="preserve"> </w:t>
      </w:r>
      <w:r>
        <w:rPr>
          <w:spacing w:val="-1"/>
        </w:rPr>
        <w:t>”</w:t>
      </w:r>
      <w:r>
        <w:rPr>
          <w:spacing w:val="-2"/>
        </w:rPr>
        <w:t>强化产品卖点，以创新传播提升转化。</w:t>
      </w:r>
      <w:r>
        <w:rPr/>
        <w:t xml:space="preserve"> </w:t>
      </w:r>
      <w:r>
        <w:rPr>
          <w:spacing w:val="-2"/>
        </w:rPr>
        <w:t>截至</w:t>
      </w:r>
      <w:r>
        <w:rPr>
          <w:spacing w:val="-32"/>
        </w:rPr>
        <w:t xml:space="preserve"> </w:t>
      </w:r>
      <w:r>
        <w:rPr>
          <w:spacing w:val="-2"/>
        </w:rPr>
        <w:t>2020</w:t>
      </w:r>
      <w:r>
        <w:rPr>
          <w:spacing w:val="-46"/>
        </w:rPr>
        <w:t xml:space="preserve"> </w:t>
      </w:r>
      <w:r>
        <w:rPr>
          <w:spacing w:val="-2"/>
        </w:rPr>
        <w:t>年底移动出账用户达到</w:t>
      </w:r>
      <w:r>
        <w:rPr>
          <w:spacing w:val="-39"/>
        </w:rPr>
        <w:t xml:space="preserve"> </w:t>
      </w:r>
      <w:r>
        <w:rPr>
          <w:spacing w:val="-2"/>
        </w:rPr>
        <w:t>3.06</w:t>
      </w:r>
      <w:r>
        <w:rPr>
          <w:spacing w:val="-44"/>
        </w:rPr>
        <w:t xml:space="preserve"> </w:t>
      </w:r>
      <w:r>
        <w:rPr>
          <w:spacing w:val="-2"/>
        </w:rPr>
        <w:t>亿户，5G</w:t>
      </w:r>
      <w:r>
        <w:rPr>
          <w:spacing w:val="-42"/>
        </w:rPr>
        <w:t xml:space="preserve"> </w:t>
      </w:r>
      <w:r>
        <w:rPr>
          <w:spacing w:val="-2"/>
        </w:rPr>
        <w:t>用户份额逐步提升，用户ARPU</w:t>
      </w:r>
      <w:r>
        <w:rPr>
          <w:spacing w:val="-46"/>
        </w:rPr>
        <w:t xml:space="preserve"> </w:t>
      </w:r>
      <w:r>
        <w:rPr>
          <w:spacing w:val="-2"/>
        </w:rPr>
        <w:t>值人民币</w:t>
      </w:r>
      <w:r>
        <w:rPr>
          <w:spacing w:val="-45"/>
        </w:rPr>
        <w:t xml:space="preserve"> </w:t>
      </w:r>
      <w:r>
        <w:rPr>
          <w:spacing w:val="-2"/>
        </w:rPr>
        <w:t>42.1</w:t>
      </w:r>
      <w:r>
        <w:rPr>
          <w:spacing w:val="-44"/>
        </w:rPr>
        <w:t xml:space="preserve"> </w:t>
      </w:r>
      <w:r>
        <w:rPr>
          <w:spacing w:val="-2"/>
        </w:rPr>
        <w:t>元，手</w:t>
      </w:r>
      <w:r>
        <w:rPr/>
        <w:t xml:space="preserve"> </w:t>
      </w:r>
      <w:r>
        <w:rPr>
          <w:spacing w:val="-2"/>
        </w:rPr>
        <w:t>机上网流量同比增长</w:t>
      </w:r>
      <w:r>
        <w:rPr>
          <w:spacing w:val="-18"/>
        </w:rPr>
        <w:t xml:space="preserve"> </w:t>
      </w:r>
      <w:r>
        <w:rPr>
          <w:spacing w:val="-2"/>
        </w:rPr>
        <w:t>16.5%。</w:t>
      </w:r>
    </w:p>
    <w:p>
      <w:pPr>
        <w:pStyle w:val="BodyText"/>
        <w:ind w:left="464"/>
        <w:spacing w:before="191" w:line="221" w:lineRule="auto"/>
        <w:rPr/>
      </w:pPr>
      <w:r>
        <w:rPr>
          <w:b/>
          <w:bCs/>
          <w:spacing w:val="-8"/>
        </w:rPr>
        <w:t>2</w:t>
      </w:r>
      <w:r>
        <w:rPr>
          <w:spacing w:val="28"/>
        </w:rPr>
        <w:t xml:space="preserve"> </w:t>
      </w:r>
      <w:r>
        <w:rPr>
          <w:b/>
          <w:bCs/>
          <w:spacing w:val="-8"/>
        </w:rPr>
        <w:t>固网宽带</w:t>
      </w:r>
    </w:p>
    <w:p>
      <w:pPr>
        <w:pStyle w:val="BodyText"/>
        <w:ind w:left="36" w:right="71" w:firstLine="375"/>
        <w:spacing w:before="261" w:line="313" w:lineRule="auto"/>
        <w:rPr/>
      </w:pPr>
      <w:r>
        <w:rPr>
          <w:spacing w:val="-3"/>
        </w:rPr>
        <w:t>2020</w:t>
      </w:r>
      <w:r>
        <w:rPr>
          <w:spacing w:val="-38"/>
        </w:rPr>
        <w:t xml:space="preserve"> </w:t>
      </w:r>
      <w:r>
        <w:rPr>
          <w:spacing w:val="-3"/>
        </w:rPr>
        <w:t>年，中国联通在固网业务发展方面，坚持“</w:t>
      </w:r>
      <w:r>
        <w:rPr>
          <w:spacing w:val="-81"/>
        </w:rPr>
        <w:t xml:space="preserve"> </w:t>
      </w:r>
      <w:r>
        <w:rPr>
          <w:spacing w:val="-3"/>
        </w:rPr>
        <w:t>网业营服信</w:t>
      </w:r>
      <w:r>
        <w:rPr>
          <w:spacing w:val="-76"/>
        </w:rPr>
        <w:t xml:space="preserve"> </w:t>
      </w:r>
      <w:r>
        <w:rPr>
          <w:spacing w:val="-3"/>
        </w:rPr>
        <w:t>”全面协同，以“三千兆</w:t>
      </w:r>
      <w:r>
        <w:rPr>
          <w:spacing w:val="-77"/>
        </w:rPr>
        <w:t xml:space="preserve"> </w:t>
      </w:r>
      <w:r>
        <w:rPr>
          <w:spacing w:val="-3"/>
        </w:rPr>
        <w:t>”为引领，</w:t>
      </w:r>
      <w:r>
        <w:rPr/>
        <w:t xml:space="preserve"> </w:t>
      </w:r>
      <w:r>
        <w:rPr>
          <w:spacing w:val="-1"/>
        </w:rPr>
        <w:t>根据业务需要，结合 5G 热点，建立了以市场为牵引的网业服协同联动机制，全面提升宽带资源接入</w:t>
      </w:r>
      <w:r>
        <w:rPr>
          <w:spacing w:val="17"/>
        </w:rPr>
        <w:t xml:space="preserve"> </w:t>
      </w:r>
      <w:r>
        <w:rPr>
          <w:spacing w:val="-1"/>
        </w:rPr>
        <w:t>能力和资源管理能力，实现宽带营销与资源能力协同发展。加快推进千兆网络建设，制定《千兆宽带</w:t>
      </w:r>
      <w:r>
        <w:rPr>
          <w:spacing w:val="15"/>
        </w:rPr>
        <w:t xml:space="preserve"> </w:t>
      </w:r>
      <w:r>
        <w:rPr>
          <w:spacing w:val="-1"/>
        </w:rPr>
        <w:t>发展规划》。聚焦高价值区域，加快推进千兆小区建设改造。以宽带无条件受理为依托，构建家庭用</w:t>
      </w:r>
      <w:r>
        <w:rPr>
          <w:spacing w:val="10"/>
        </w:rPr>
        <w:t xml:space="preserve"> </w:t>
      </w:r>
      <w:r>
        <w:rPr>
          <w:spacing w:val="-1"/>
        </w:rPr>
        <w:t>户“两网一中台</w:t>
      </w:r>
      <w:r>
        <w:rPr>
          <w:spacing w:val="-71"/>
        </w:rPr>
        <w:t xml:space="preserve"> </w:t>
      </w:r>
      <w:r>
        <w:rPr>
          <w:spacing w:val="-1"/>
        </w:rPr>
        <w:t>”数字化运营体系， 优化资源分配，推进高效能治理。2020</w:t>
      </w:r>
      <w:r>
        <w:rPr>
          <w:spacing w:val="-20"/>
        </w:rPr>
        <w:t xml:space="preserve"> </w:t>
      </w:r>
      <w:r>
        <w:rPr>
          <w:spacing w:val="-1"/>
        </w:rPr>
        <w:t>年固网宽带接入收入完</w:t>
      </w:r>
      <w:r>
        <w:rPr/>
        <w:t xml:space="preserve"> </w:t>
      </w:r>
      <w:r>
        <w:rPr>
          <w:spacing w:val="-3"/>
        </w:rPr>
        <w:t>成人民币</w:t>
      </w:r>
      <w:r>
        <w:rPr>
          <w:spacing w:val="-43"/>
        </w:rPr>
        <w:t xml:space="preserve"> </w:t>
      </w:r>
      <w:r>
        <w:rPr>
          <w:spacing w:val="-3"/>
        </w:rPr>
        <w:t>425.6</w:t>
      </w:r>
      <w:r>
        <w:rPr>
          <w:spacing w:val="-46"/>
        </w:rPr>
        <w:t xml:space="preserve"> </w:t>
      </w:r>
      <w:r>
        <w:rPr>
          <w:spacing w:val="-3"/>
        </w:rPr>
        <w:t>亿元，同比增长</w:t>
      </w:r>
      <w:r>
        <w:rPr>
          <w:spacing w:val="-41"/>
        </w:rPr>
        <w:t xml:space="preserve"> </w:t>
      </w:r>
      <w:r>
        <w:rPr>
          <w:spacing w:val="-3"/>
        </w:rPr>
        <w:t>2.4%。全年宽带用户净增</w:t>
      </w:r>
      <w:r>
        <w:rPr>
          <w:spacing w:val="-41"/>
        </w:rPr>
        <w:t xml:space="preserve"> </w:t>
      </w:r>
      <w:r>
        <w:rPr>
          <w:spacing w:val="-3"/>
        </w:rPr>
        <w:t>261.7</w:t>
      </w:r>
      <w:r>
        <w:rPr>
          <w:spacing w:val="-39"/>
        </w:rPr>
        <w:t xml:space="preserve"> </w:t>
      </w:r>
      <w:r>
        <w:rPr>
          <w:spacing w:val="-3"/>
        </w:rPr>
        <w:t>万户，达到</w:t>
      </w:r>
      <w:r>
        <w:rPr>
          <w:spacing w:val="-44"/>
        </w:rPr>
        <w:t xml:space="preserve"> </w:t>
      </w:r>
      <w:r>
        <w:rPr>
          <w:spacing w:val="-3"/>
        </w:rPr>
        <w:t>8,609.5</w:t>
      </w:r>
      <w:r>
        <w:rPr>
          <w:spacing w:val="-38"/>
        </w:rPr>
        <w:t xml:space="preserve"> </w:t>
      </w:r>
      <w:r>
        <w:rPr>
          <w:spacing w:val="-3"/>
        </w:rPr>
        <w:t>万户，宽带用户</w:t>
      </w:r>
      <w:r>
        <w:rPr/>
        <w:t xml:space="preserve"> </w:t>
      </w:r>
      <w:r>
        <w:rPr>
          <w:spacing w:val="-2"/>
        </w:rPr>
        <w:t>接入</w:t>
      </w:r>
      <w:r>
        <w:rPr>
          <w:spacing w:val="-38"/>
        </w:rPr>
        <w:t xml:space="preserve"> </w:t>
      </w:r>
      <w:r>
        <w:rPr>
          <w:spacing w:val="-2"/>
        </w:rPr>
        <w:t>ARPU</w:t>
      </w:r>
      <w:r>
        <w:rPr>
          <w:spacing w:val="-44"/>
        </w:rPr>
        <w:t xml:space="preserve"> </w:t>
      </w:r>
      <w:r>
        <w:rPr>
          <w:spacing w:val="-2"/>
        </w:rPr>
        <w:t>为人民币</w:t>
      </w:r>
      <w:r>
        <w:rPr>
          <w:spacing w:val="-47"/>
        </w:rPr>
        <w:t xml:space="preserve"> </w:t>
      </w:r>
      <w:r>
        <w:rPr>
          <w:spacing w:val="-2"/>
        </w:rPr>
        <w:t>41.5</w:t>
      </w:r>
      <w:r>
        <w:rPr>
          <w:spacing w:val="-45"/>
        </w:rPr>
        <w:t xml:space="preserve"> </w:t>
      </w:r>
      <w:r>
        <w:rPr>
          <w:spacing w:val="-2"/>
        </w:rPr>
        <w:t>元；FTTH</w:t>
      </w:r>
      <w:r>
        <w:rPr>
          <w:spacing w:val="-45"/>
        </w:rPr>
        <w:t xml:space="preserve"> </w:t>
      </w:r>
      <w:r>
        <w:rPr>
          <w:spacing w:val="-2"/>
        </w:rPr>
        <w:t>用户占比达到</w:t>
      </w:r>
      <w:r>
        <w:rPr>
          <w:spacing w:val="-43"/>
        </w:rPr>
        <w:t xml:space="preserve"> </w:t>
      </w:r>
      <w:r>
        <w:rPr>
          <w:spacing w:val="-2"/>
        </w:rPr>
        <w:t>86%。</w:t>
      </w:r>
    </w:p>
    <w:p>
      <w:pPr>
        <w:pStyle w:val="BodyText"/>
        <w:ind w:left="468"/>
        <w:spacing w:before="187" w:line="221" w:lineRule="auto"/>
        <w:rPr/>
      </w:pPr>
      <w:r>
        <w:rPr>
          <w:b/>
          <w:bCs/>
          <w:spacing w:val="-3"/>
        </w:rPr>
        <w:t>3</w:t>
      </w:r>
      <w:r>
        <w:rPr>
          <w:spacing w:val="-3"/>
        </w:rPr>
        <w:t xml:space="preserve"> </w:t>
      </w:r>
      <w:r>
        <w:rPr>
          <w:b/>
          <w:bCs/>
          <w:spacing w:val="-3"/>
        </w:rPr>
        <w:t>产业互联网</w:t>
      </w:r>
    </w:p>
    <w:p>
      <w:pPr>
        <w:pStyle w:val="BodyText"/>
        <w:ind w:left="37" w:firstLine="376"/>
        <w:spacing w:before="263" w:line="310" w:lineRule="auto"/>
        <w:jc w:val="both"/>
        <w:rPr/>
      </w:pPr>
      <w:r>
        <w:rPr>
          <w:spacing w:val="-2"/>
        </w:rPr>
        <w:t>云计算方面，聚焦云引领，以研发资源有机统一，创新业务有根生长为核心驱动力，</w:t>
      </w:r>
      <w:r>
        <w:rPr>
          <w:spacing w:val="-3"/>
        </w:rPr>
        <w:t xml:space="preserve"> 打造新沃云</w:t>
      </w:r>
      <w:r>
        <w:rPr/>
        <w:t xml:space="preserve"> </w:t>
      </w:r>
      <w:r>
        <w:rPr>
          <w:spacing w:val="-5"/>
        </w:rPr>
        <w:t>新基座、新</w:t>
      </w:r>
      <w:r>
        <w:rPr>
          <w:spacing w:val="-47"/>
        </w:rPr>
        <w:t xml:space="preserve"> </w:t>
      </w:r>
      <w:r>
        <w:rPr>
          <w:spacing w:val="-5"/>
        </w:rPr>
        <w:t>PaaS、新云管产品能力，构建“云网一体、安</w:t>
      </w:r>
      <w:r>
        <w:rPr>
          <w:spacing w:val="-6"/>
        </w:rPr>
        <w:t>全可信、专属定制、多云协同</w:t>
      </w:r>
      <w:r>
        <w:rPr>
          <w:spacing w:val="-77"/>
        </w:rPr>
        <w:t xml:space="preserve"> </w:t>
      </w:r>
      <w:r>
        <w:rPr>
          <w:spacing w:val="-6"/>
        </w:rPr>
        <w:t>”差异化优势，</w:t>
      </w:r>
      <w:r>
        <w:rPr/>
        <w:t xml:space="preserve"> </w:t>
      </w:r>
      <w:r>
        <w:rPr>
          <w:spacing w:val="-1"/>
        </w:rPr>
        <w:t>实现沃云规模发展策略；围绕资源、网络、平台、产品及生态打造新沃云的自主核心能力，优化布局</w:t>
      </w:r>
      <w:r>
        <w:rPr>
          <w:spacing w:val="11"/>
        </w:rPr>
        <w:t xml:space="preserve"> </w:t>
      </w:r>
      <w:r>
        <w:rPr>
          <w:spacing w:val="-2"/>
        </w:rPr>
        <w:t>联通全网云资源池，确定联通沃云品牌。2020</w:t>
      </w:r>
      <w:r>
        <w:rPr>
          <w:spacing w:val="-46"/>
        </w:rPr>
        <w:t xml:space="preserve"> </w:t>
      </w:r>
      <w:r>
        <w:rPr>
          <w:spacing w:val="-2"/>
        </w:rPr>
        <w:t>年云计算收入达到人民币</w:t>
      </w:r>
      <w:r>
        <w:rPr>
          <w:spacing w:val="-40"/>
        </w:rPr>
        <w:t xml:space="preserve"> </w:t>
      </w:r>
      <w:r>
        <w:rPr>
          <w:spacing w:val="-2"/>
        </w:rPr>
        <w:t>38.4</w:t>
      </w:r>
      <w:r>
        <w:rPr>
          <w:spacing w:val="-46"/>
        </w:rPr>
        <w:t xml:space="preserve"> </w:t>
      </w:r>
      <w:r>
        <w:rPr>
          <w:spacing w:val="-2"/>
        </w:rPr>
        <w:t>亿元，同比增长</w:t>
      </w:r>
      <w:r>
        <w:rPr>
          <w:spacing w:val="-42"/>
        </w:rPr>
        <w:t xml:space="preserve"> </w:t>
      </w:r>
      <w:r>
        <w:rPr>
          <w:spacing w:val="-2"/>
        </w:rPr>
        <w:t>62.7%。</w:t>
      </w:r>
    </w:p>
    <w:p>
      <w:pPr>
        <w:pStyle w:val="BodyText"/>
        <w:ind w:left="30" w:right="14" w:firstLine="381"/>
        <w:spacing w:before="188" w:line="312" w:lineRule="auto"/>
        <w:jc w:val="both"/>
        <w:rPr/>
      </w:pPr>
      <w:r>
        <w:rPr/>
        <w:t>大数据方面，形成包含数据应用服务、数据技术服务、AI、区块链和聚焦政务、金融、文旅、交</w:t>
      </w:r>
      <w:r>
        <w:rPr>
          <w:spacing w:val="13"/>
        </w:rPr>
        <w:t xml:space="preserve"> </w:t>
      </w:r>
      <w:r>
        <w:rPr/>
        <w:t>通等重点行业的产品矩阵，打造政务大数据平台</w:t>
      </w:r>
      <w:r>
        <w:rPr>
          <w:spacing w:val="-1"/>
        </w:rPr>
        <w:t>、数智产融平台、智游–文旅大数据平台、智能工厂</w:t>
      </w:r>
      <w:r>
        <w:rPr/>
        <w:t xml:space="preserve"> </w:t>
      </w:r>
      <w:r>
        <w:rPr>
          <w:spacing w:val="-3"/>
        </w:rPr>
        <w:t>AI</w:t>
      </w:r>
      <w:r>
        <w:rPr>
          <w:spacing w:val="-44"/>
        </w:rPr>
        <w:t xml:space="preserve"> </w:t>
      </w:r>
      <w:r>
        <w:rPr>
          <w:spacing w:val="-3"/>
        </w:rPr>
        <w:t>应用平台等自研产品；发布区块链产品和能力的统一承载平台“联通链</w:t>
      </w:r>
      <w:r>
        <w:rPr>
          <w:spacing w:val="-77"/>
        </w:rPr>
        <w:t xml:space="preserve"> </w:t>
      </w:r>
      <w:r>
        <w:rPr>
          <w:spacing w:val="-3"/>
        </w:rPr>
        <w:t>”，同时，“联</w:t>
      </w:r>
      <w:r>
        <w:rPr>
          <w:spacing w:val="-4"/>
        </w:rPr>
        <w:t>通链</w:t>
      </w:r>
      <w:r>
        <w:rPr>
          <w:spacing w:val="-77"/>
        </w:rPr>
        <w:t xml:space="preserve"> </w:t>
      </w:r>
      <w:r>
        <w:rPr>
          <w:spacing w:val="-4"/>
        </w:rPr>
        <w:t>”接入</w:t>
      </w:r>
      <w:r>
        <w:rPr/>
        <w:t xml:space="preserve"> </w:t>
      </w:r>
      <w:r>
        <w:rPr>
          <w:spacing w:val="1"/>
        </w:rPr>
        <w:t>国家区块链新型基础设施“星火•链网</w:t>
      </w:r>
      <w:r>
        <w:rPr>
          <w:spacing w:val="-69"/>
        </w:rPr>
        <w:t xml:space="preserve"> </w:t>
      </w:r>
      <w:r>
        <w:rPr>
          <w:spacing w:val="1"/>
        </w:rPr>
        <w:t>”；履行央企担当，支撑疫情防控和复工复产复学，大数据公</w:t>
      </w:r>
      <w:r>
        <w:rPr/>
        <w:t xml:space="preserve"> </w:t>
      </w:r>
      <w:r>
        <w:rPr>
          <w:spacing w:val="-2"/>
        </w:rPr>
        <w:t>司荣获全国抗击新冠肺炎疫情先进集体荣誉称号。2020</w:t>
      </w:r>
      <w:r>
        <w:rPr>
          <w:spacing w:val="-42"/>
        </w:rPr>
        <w:t xml:space="preserve"> </w:t>
      </w:r>
      <w:r>
        <w:rPr>
          <w:spacing w:val="-2"/>
        </w:rPr>
        <w:t>年收</w:t>
      </w:r>
      <w:r>
        <w:rPr>
          <w:spacing w:val="-3"/>
        </w:rPr>
        <w:t>入达人民币</w:t>
      </w:r>
      <w:r>
        <w:rPr>
          <w:spacing w:val="-31"/>
        </w:rPr>
        <w:t xml:space="preserve"> </w:t>
      </w:r>
      <w:r>
        <w:rPr>
          <w:spacing w:val="-3"/>
        </w:rPr>
        <w:t>17.2</w:t>
      </w:r>
      <w:r>
        <w:rPr>
          <w:spacing w:val="-46"/>
        </w:rPr>
        <w:t xml:space="preserve"> </w:t>
      </w:r>
      <w:r>
        <w:rPr>
          <w:spacing w:val="-3"/>
        </w:rPr>
        <w:t>亿元，同比增长</w:t>
      </w:r>
      <w:r>
        <w:rPr>
          <w:spacing w:val="-39"/>
        </w:rPr>
        <w:t xml:space="preserve"> </w:t>
      </w:r>
      <w:r>
        <w:rPr>
          <w:spacing w:val="-3"/>
        </w:rPr>
        <w:t>39.8%，</w:t>
      </w:r>
      <w:r>
        <w:rPr/>
        <w:t xml:space="preserve"> </w:t>
      </w:r>
      <w:r>
        <w:rPr>
          <w:spacing w:val="-1"/>
        </w:rPr>
        <w:t>市场份额</w:t>
      </w:r>
      <w:r>
        <w:rPr>
          <w:spacing w:val="-30"/>
        </w:rPr>
        <w:t xml:space="preserve"> </w:t>
      </w:r>
      <w:r>
        <w:rPr>
          <w:spacing w:val="-1"/>
        </w:rPr>
        <w:t>59.4%，在电信运营商中居首位。</w:t>
      </w:r>
    </w:p>
    <w:p>
      <w:pPr>
        <w:pStyle w:val="BodyText"/>
        <w:ind w:left="22" w:firstLine="386"/>
        <w:spacing w:before="188" w:line="306" w:lineRule="auto"/>
        <w:jc w:val="both"/>
        <w:rPr/>
      </w:pPr>
      <w:r>
        <w:rPr>
          <w:spacing w:val="-2"/>
        </w:rPr>
        <w:t>物联网方面，优化</w:t>
      </w:r>
      <w:r>
        <w:rPr>
          <w:spacing w:val="-21"/>
        </w:rPr>
        <w:t xml:space="preserve"> </w:t>
      </w:r>
      <w:r>
        <w:rPr>
          <w:spacing w:val="-2"/>
        </w:rPr>
        <w:t>5G</w:t>
      </w:r>
      <w:r>
        <w:rPr>
          <w:spacing w:val="-25"/>
        </w:rPr>
        <w:t xml:space="preserve"> </w:t>
      </w:r>
      <w:r>
        <w:rPr>
          <w:spacing w:val="-2"/>
        </w:rPr>
        <w:t>引领、4G</w:t>
      </w:r>
      <w:r>
        <w:rPr>
          <w:spacing w:val="-40"/>
        </w:rPr>
        <w:t xml:space="preserve"> </w:t>
      </w:r>
      <w:r>
        <w:rPr>
          <w:spacing w:val="-2"/>
        </w:rPr>
        <w:t>主力、NB</w:t>
      </w:r>
      <w:r>
        <w:rPr>
          <w:spacing w:val="-44"/>
        </w:rPr>
        <w:t xml:space="preserve"> </w:t>
      </w:r>
      <w:r>
        <w:rPr>
          <w:spacing w:val="-2"/>
        </w:rPr>
        <w:t>精准发展的物联网业务体系，连接数达到约</w:t>
      </w:r>
      <w:r>
        <w:rPr>
          <w:spacing w:val="-38"/>
        </w:rPr>
        <w:t xml:space="preserve"> </w:t>
      </w:r>
      <w:r>
        <w:rPr>
          <w:spacing w:val="-2"/>
        </w:rPr>
        <w:t>2.4</w:t>
      </w:r>
      <w:r>
        <w:rPr>
          <w:spacing w:val="-41"/>
        </w:rPr>
        <w:t xml:space="preserve"> </w:t>
      </w:r>
      <w:r>
        <w:rPr>
          <w:spacing w:val="-2"/>
        </w:rPr>
        <w:t>亿；以</w:t>
      </w:r>
      <w:r>
        <w:rPr/>
        <w:t xml:space="preserve"> </w:t>
      </w:r>
      <w:r>
        <w:rPr>
          <w:spacing w:val="-1"/>
        </w:rPr>
        <w:t>“网络软件化、软件硬件化、硬件芯片化</w:t>
      </w:r>
      <w:r>
        <w:rPr>
          <w:spacing w:val="-73"/>
        </w:rPr>
        <w:t xml:space="preserve"> </w:t>
      </w:r>
      <w:r>
        <w:rPr>
          <w:spacing w:val="-1"/>
        </w:rPr>
        <w:t>”为思路强化自主能力建设，雁飞•智连 CMP 平台承载连接</w:t>
      </w:r>
      <w:r>
        <w:rPr/>
        <w:t xml:space="preserve"> </w:t>
      </w:r>
      <w:r>
        <w:rPr>
          <w:spacing w:val="-3"/>
        </w:rPr>
        <w:t>数超过</w:t>
      </w:r>
      <w:r>
        <w:rPr>
          <w:spacing w:val="-43"/>
        </w:rPr>
        <w:t xml:space="preserve"> </w:t>
      </w:r>
      <w:r>
        <w:rPr>
          <w:spacing w:val="-3"/>
        </w:rPr>
        <w:t>8,000</w:t>
      </w:r>
      <w:r>
        <w:rPr>
          <w:spacing w:val="-39"/>
        </w:rPr>
        <w:t xml:space="preserve"> </w:t>
      </w:r>
      <w:r>
        <w:rPr>
          <w:spacing w:val="-3"/>
        </w:rPr>
        <w:t>万，雁飞•格物</w:t>
      </w:r>
      <w:r>
        <w:rPr>
          <w:spacing w:val="-48"/>
        </w:rPr>
        <w:t xml:space="preserve"> </w:t>
      </w:r>
      <w:r>
        <w:rPr>
          <w:spacing w:val="-3"/>
        </w:rPr>
        <w:t>DMP</w:t>
      </w:r>
      <w:r>
        <w:rPr>
          <w:spacing w:val="-47"/>
        </w:rPr>
        <w:t xml:space="preserve"> </w:t>
      </w:r>
      <w:r>
        <w:rPr>
          <w:spacing w:val="-3"/>
        </w:rPr>
        <w:t>平台投入商用。2020</w:t>
      </w:r>
      <w:r>
        <w:rPr>
          <w:spacing w:val="-43"/>
        </w:rPr>
        <w:t xml:space="preserve"> </w:t>
      </w:r>
      <w:r>
        <w:rPr>
          <w:spacing w:val="-3"/>
        </w:rPr>
        <w:t>年收入达到人民币42.2</w:t>
      </w:r>
      <w:r>
        <w:rPr>
          <w:spacing w:val="-45"/>
        </w:rPr>
        <w:t xml:space="preserve"> </w:t>
      </w:r>
      <w:r>
        <w:rPr>
          <w:spacing w:val="-3"/>
        </w:rPr>
        <w:t>亿元，同比增长</w:t>
      </w:r>
      <w:r>
        <w:rPr>
          <w:spacing w:val="-40"/>
        </w:rPr>
        <w:t xml:space="preserve"> </w:t>
      </w:r>
      <w:r>
        <w:rPr>
          <w:spacing w:val="-3"/>
        </w:rPr>
        <w:t>39.0</w:t>
      </w:r>
      <w:r>
        <w:rPr>
          <w:spacing w:val="-4"/>
        </w:rPr>
        <w:t>%。</w:t>
      </w:r>
    </w:p>
    <w:p>
      <w:pPr>
        <w:spacing w:line="306" w:lineRule="auto"/>
        <w:sectPr>
          <w:headerReference w:type="default" r:id="rId25"/>
          <w:footerReference w:type="default" r:id="rId26"/>
          <w:pgSz w:w="11907" w:h="16839"/>
          <w:pgMar w:top="1377" w:right="1195" w:bottom="1375" w:left="1390" w:header="837" w:footer="1212" w:gutter="0"/>
        </w:sectPr>
        <w:rPr/>
      </w:pPr>
    </w:p>
    <w:p>
      <w:pPr>
        <w:pStyle w:val="BodyText"/>
        <w:ind w:left="22" w:right="208" w:firstLine="397"/>
        <w:spacing w:before="260" w:line="313" w:lineRule="auto"/>
        <w:jc w:val="both"/>
        <w:rPr/>
      </w:pPr>
      <w:r>
        <w:rPr>
          <w:spacing w:val="-1"/>
        </w:rPr>
        <w:t>IT</w:t>
      </w:r>
      <w:r>
        <w:rPr>
          <w:spacing w:val="-44"/>
        </w:rPr>
        <w:t xml:space="preserve"> </w:t>
      </w:r>
      <w:r>
        <w:rPr>
          <w:spacing w:val="-1"/>
        </w:rPr>
        <w:t>服务方面，把握新基建及政府治理、产业数字化发展机遇，聚</w:t>
      </w:r>
      <w:r>
        <w:rPr>
          <w:spacing w:val="-2"/>
        </w:rPr>
        <w:t>焦政府部门、公共服务单位、大</w:t>
      </w:r>
      <w:r>
        <w:rPr/>
        <w:t xml:space="preserve"> </w:t>
      </w:r>
      <w:r>
        <w:rPr/>
        <w:t>型工业企业等客户及智能城市、数字政府、大信创、ITO、5G</w:t>
      </w:r>
      <w:r>
        <w:rPr>
          <w:spacing w:val="-16"/>
        </w:rPr>
        <w:t xml:space="preserve"> </w:t>
      </w:r>
      <w:r>
        <w:rPr/>
        <w:t>创新等重点领域，深入推进数字化转型 </w:t>
      </w:r>
      <w:r>
        <w:rPr/>
        <w:t>赋能。聚合自主创新核心能力，打造了覆盖数字基建、云网一体</w:t>
      </w:r>
      <w:r>
        <w:rPr>
          <w:spacing w:val="-1"/>
        </w:rPr>
        <w:t>、数字平台、数字应用、数字方案的</w:t>
      </w:r>
      <w:r>
        <w:rPr/>
        <w:t xml:space="preserve"> </w:t>
      </w:r>
      <w:r>
        <w:rPr>
          <w:spacing w:val="1"/>
        </w:rPr>
        <w:t>“平台+应用</w:t>
      </w:r>
      <w:r>
        <w:rPr>
          <w:spacing w:val="-68"/>
        </w:rPr>
        <w:t xml:space="preserve"> </w:t>
      </w:r>
      <w:r>
        <w:rPr>
          <w:spacing w:val="1"/>
        </w:rPr>
        <w:t>”产品体系。资质水平进一步提升，在三家运营商中唯一获得电子与智能化一级资质，</w:t>
      </w:r>
      <w:r>
        <w:rPr/>
        <w:t xml:space="preserve"> </w:t>
      </w:r>
      <w:r>
        <w:rPr>
          <w:spacing w:val="-1"/>
        </w:rPr>
        <w:t>新增</w:t>
      </w:r>
      <w:r>
        <w:rPr>
          <w:spacing w:val="-34"/>
        </w:rPr>
        <w:t xml:space="preserve"> </w:t>
      </w:r>
      <w:r>
        <w:rPr>
          <w:spacing w:val="-1"/>
        </w:rPr>
        <w:t>CS4、ITSS</w:t>
      </w:r>
      <w:r>
        <w:rPr>
          <w:spacing w:val="-29"/>
        </w:rPr>
        <w:t xml:space="preserve"> </w:t>
      </w:r>
      <w:r>
        <w:rPr>
          <w:spacing w:val="-1"/>
        </w:rPr>
        <w:t>一级等</w:t>
      </w:r>
      <w:r>
        <w:rPr>
          <w:spacing w:val="-27"/>
        </w:rPr>
        <w:t xml:space="preserve"> </w:t>
      </w:r>
      <w:r>
        <w:rPr>
          <w:spacing w:val="-1"/>
        </w:rPr>
        <w:t>7</w:t>
      </w:r>
      <w:r>
        <w:rPr>
          <w:spacing w:val="-28"/>
        </w:rPr>
        <w:t xml:space="preserve"> </w:t>
      </w:r>
      <w:r>
        <w:rPr>
          <w:spacing w:val="-1"/>
        </w:rPr>
        <w:t>项</w:t>
      </w:r>
      <w:r>
        <w:rPr>
          <w:spacing w:val="-20"/>
        </w:rPr>
        <w:t xml:space="preserve"> </w:t>
      </w:r>
      <w:r>
        <w:rPr>
          <w:spacing w:val="-1"/>
        </w:rPr>
        <w:t>IT</w:t>
      </w:r>
      <w:r>
        <w:rPr>
          <w:spacing w:val="-29"/>
        </w:rPr>
        <w:t xml:space="preserve"> </w:t>
      </w:r>
      <w:r>
        <w:rPr>
          <w:spacing w:val="-1"/>
        </w:rPr>
        <w:t>行业资质。疫情期间保障政府通信网络系</w:t>
      </w:r>
      <w:r>
        <w:rPr>
          <w:spacing w:val="-2"/>
        </w:rPr>
        <w:t>统畅通，为国家重要会议提</w:t>
      </w:r>
      <w:r>
        <w:rPr/>
        <w:t xml:space="preserve"> </w:t>
      </w:r>
      <w:r>
        <w:rPr>
          <w:spacing w:val="-1"/>
        </w:rPr>
        <w:t>供多项基于</w:t>
      </w:r>
      <w:r>
        <w:rPr>
          <w:spacing w:val="-28"/>
        </w:rPr>
        <w:t xml:space="preserve"> </w:t>
      </w:r>
      <w:r>
        <w:rPr>
          <w:spacing w:val="-1"/>
        </w:rPr>
        <w:t>5G</w:t>
      </w:r>
      <w:r>
        <w:rPr>
          <w:spacing w:val="-33"/>
        </w:rPr>
        <w:t xml:space="preserve"> </w:t>
      </w:r>
      <w:r>
        <w:rPr>
          <w:spacing w:val="-1"/>
        </w:rPr>
        <w:t>技术的直播、远程会议等数字化服务，高质量圆满完成</w:t>
      </w:r>
      <w:r>
        <w:rPr>
          <w:spacing w:val="-28"/>
        </w:rPr>
        <w:t xml:space="preserve"> </w:t>
      </w:r>
      <w:r>
        <w:rPr>
          <w:spacing w:val="-1"/>
        </w:rPr>
        <w:t>3</w:t>
      </w:r>
      <w:r>
        <w:rPr>
          <w:spacing w:val="-29"/>
        </w:rPr>
        <w:t xml:space="preserve"> </w:t>
      </w:r>
      <w:r>
        <w:rPr>
          <w:spacing w:val="-1"/>
        </w:rPr>
        <w:t>大类</w:t>
      </w:r>
      <w:r>
        <w:rPr>
          <w:spacing w:val="-32"/>
        </w:rPr>
        <w:t xml:space="preserve"> </w:t>
      </w:r>
      <w:r>
        <w:rPr>
          <w:spacing w:val="-1"/>
        </w:rPr>
        <w:t>260</w:t>
      </w:r>
      <w:r>
        <w:rPr>
          <w:spacing w:val="-31"/>
        </w:rPr>
        <w:t xml:space="preserve"> </w:t>
      </w:r>
      <w:r>
        <w:rPr>
          <w:spacing w:val="-2"/>
        </w:rPr>
        <w:t>余项保障任务。联</w:t>
      </w:r>
      <w:r>
        <w:rPr/>
        <w:t xml:space="preserve"> </w:t>
      </w:r>
      <w:r>
        <w:rPr>
          <w:spacing w:val="-1"/>
        </w:rPr>
        <w:t>通系统集成公司获得中国软件与信息技术服务百强企业，列</w:t>
      </w:r>
      <w:r>
        <w:rPr>
          <w:spacing w:val="-41"/>
        </w:rPr>
        <w:t xml:space="preserve"> </w:t>
      </w:r>
      <w:r>
        <w:rPr>
          <w:spacing w:val="-1"/>
        </w:rPr>
        <w:t>21</w:t>
      </w:r>
      <w:r>
        <w:rPr>
          <w:spacing w:val="-46"/>
        </w:rPr>
        <w:t xml:space="preserve"> </w:t>
      </w:r>
      <w:r>
        <w:rPr>
          <w:spacing w:val="-1"/>
        </w:rPr>
        <w:t>位。2</w:t>
      </w:r>
      <w:r>
        <w:rPr>
          <w:spacing w:val="-2"/>
        </w:rPr>
        <w:t>020</w:t>
      </w:r>
      <w:r>
        <w:rPr>
          <w:spacing w:val="-44"/>
        </w:rPr>
        <w:t xml:space="preserve"> </w:t>
      </w:r>
      <w:r>
        <w:rPr>
          <w:spacing w:val="-2"/>
        </w:rPr>
        <w:t>年收入达到人民币</w:t>
      </w:r>
      <w:r>
        <w:rPr>
          <w:spacing w:val="-28"/>
        </w:rPr>
        <w:t xml:space="preserve"> </w:t>
      </w:r>
      <w:r>
        <w:rPr>
          <w:spacing w:val="-2"/>
        </w:rPr>
        <w:t>133.6 亿</w:t>
      </w:r>
      <w:r>
        <w:rPr/>
        <w:t xml:space="preserve"> </w:t>
      </w:r>
      <w:r>
        <w:rPr>
          <w:spacing w:val="-1"/>
        </w:rPr>
        <w:t>元，同比增长</w:t>
      </w:r>
      <w:r>
        <w:rPr>
          <w:spacing w:val="-33"/>
        </w:rPr>
        <w:t xml:space="preserve"> </w:t>
      </w:r>
      <w:r>
        <w:rPr>
          <w:spacing w:val="-1"/>
        </w:rPr>
        <w:t>33.4%。</w:t>
      </w:r>
    </w:p>
    <w:p>
      <w:pPr>
        <w:pStyle w:val="BodyText"/>
        <w:ind w:left="408"/>
        <w:spacing w:before="185" w:line="221" w:lineRule="auto"/>
        <w:rPr/>
      </w:pPr>
      <w:r>
        <w:rPr>
          <w:b/>
          <w:bCs/>
          <w:spacing w:val="-7"/>
        </w:rPr>
        <w:t>4</w:t>
      </w:r>
      <w:r>
        <w:rPr>
          <w:spacing w:val="26"/>
        </w:rPr>
        <w:t xml:space="preserve"> </w:t>
      </w:r>
      <w:r>
        <w:rPr>
          <w:b/>
          <w:bCs/>
          <w:spacing w:val="-7"/>
        </w:rPr>
        <w:t>网络能力</w:t>
      </w:r>
    </w:p>
    <w:p>
      <w:pPr>
        <w:pStyle w:val="BodyText"/>
        <w:ind w:left="37" w:right="210" w:firstLine="374"/>
        <w:spacing w:before="265" w:line="303" w:lineRule="auto"/>
        <w:rPr/>
      </w:pPr>
      <w:r>
        <w:rPr>
          <w:spacing w:val="-1"/>
        </w:rPr>
        <w:t>2020</w:t>
      </w:r>
      <w:r>
        <w:rPr>
          <w:spacing w:val="-46"/>
        </w:rPr>
        <w:t xml:space="preserve"> </w:t>
      </w:r>
      <w:r>
        <w:rPr>
          <w:spacing w:val="-1"/>
        </w:rPr>
        <w:t>年，公司深化实施聚焦创新合作战略，积极推进网络数字化转型和运营体系变革，行业</w:t>
      </w:r>
      <w:r>
        <w:rPr>
          <w:spacing w:val="-2"/>
        </w:rPr>
        <w:t>高质</w:t>
      </w:r>
      <w:r>
        <w:rPr/>
        <w:t xml:space="preserve"> </w:t>
      </w:r>
      <w:r>
        <w:rPr/>
        <w:t>量协同发展和网络共建共享取得战略性成果，持续强化网络服务支撑能力，助力公司高质量发展。</w:t>
      </w:r>
    </w:p>
    <w:p>
      <w:pPr>
        <w:pStyle w:val="BodyText"/>
        <w:ind w:left="37" w:right="241" w:firstLine="370"/>
        <w:spacing w:before="188" w:line="307" w:lineRule="auto"/>
        <w:jc w:val="both"/>
        <w:rPr/>
      </w:pPr>
      <w:r>
        <w:rPr>
          <w:spacing w:val="-2"/>
        </w:rPr>
        <w:t>截至</w:t>
      </w:r>
      <w:r>
        <w:rPr>
          <w:spacing w:val="-34"/>
        </w:rPr>
        <w:t xml:space="preserve"> </w:t>
      </w:r>
      <w:r>
        <w:rPr>
          <w:spacing w:val="-2"/>
        </w:rPr>
        <w:t>2020</w:t>
      </w:r>
      <w:r>
        <w:rPr>
          <w:spacing w:val="-38"/>
        </w:rPr>
        <w:t xml:space="preserve"> </w:t>
      </w:r>
      <w:r>
        <w:rPr>
          <w:spacing w:val="-2"/>
        </w:rPr>
        <w:t>年底，4G</w:t>
      </w:r>
      <w:r>
        <w:rPr>
          <w:spacing w:val="-37"/>
        </w:rPr>
        <w:t xml:space="preserve"> </w:t>
      </w:r>
      <w:r>
        <w:rPr>
          <w:spacing w:val="-2"/>
        </w:rPr>
        <w:t>基站达到</w:t>
      </w:r>
      <w:r>
        <w:rPr>
          <w:spacing w:val="-21"/>
        </w:rPr>
        <w:t xml:space="preserve"> </w:t>
      </w:r>
      <w:r>
        <w:rPr>
          <w:spacing w:val="-2"/>
        </w:rPr>
        <w:t>150.</w:t>
      </w:r>
      <w:r>
        <w:rPr>
          <w:spacing w:val="-3"/>
        </w:rPr>
        <w:t>3</w:t>
      </w:r>
      <w:r>
        <w:rPr>
          <w:spacing w:val="-31"/>
        </w:rPr>
        <w:t xml:space="preserve"> </w:t>
      </w:r>
      <w:r>
        <w:rPr>
          <w:spacing w:val="-3"/>
        </w:rPr>
        <w:t>万站，4G</w:t>
      </w:r>
      <w:r>
        <w:rPr>
          <w:spacing w:val="-38"/>
        </w:rPr>
        <w:t xml:space="preserve"> </w:t>
      </w:r>
      <w:r>
        <w:rPr>
          <w:spacing w:val="-3"/>
        </w:rPr>
        <w:t>人口覆盖率达到</w:t>
      </w:r>
      <w:r>
        <w:rPr>
          <w:spacing w:val="-36"/>
        </w:rPr>
        <w:t xml:space="preserve"> </w:t>
      </w:r>
      <w:r>
        <w:rPr>
          <w:spacing w:val="-3"/>
        </w:rPr>
        <w:t>94%，4G</w:t>
      </w:r>
      <w:r>
        <w:rPr>
          <w:spacing w:val="-33"/>
        </w:rPr>
        <w:t xml:space="preserve"> </w:t>
      </w:r>
      <w:r>
        <w:rPr>
          <w:spacing w:val="-3"/>
        </w:rPr>
        <w:t>行政村覆盖率达到</w:t>
      </w:r>
      <w:r>
        <w:rPr>
          <w:spacing w:val="-36"/>
        </w:rPr>
        <w:t xml:space="preserve"> </w:t>
      </w:r>
      <w:r>
        <w:rPr>
          <w:spacing w:val="-3"/>
        </w:rPr>
        <w:t>86%。</w:t>
      </w:r>
      <w:r>
        <w:rPr/>
        <w:t xml:space="preserve"> </w:t>
      </w:r>
      <w:r>
        <w:rPr>
          <w:spacing w:val="-2"/>
        </w:rPr>
        <w:t>固定网络方面继续扩大新增区域网络覆盖和</w:t>
      </w:r>
      <w:r>
        <w:rPr>
          <w:spacing w:val="-21"/>
        </w:rPr>
        <w:t xml:space="preserve"> </w:t>
      </w:r>
      <w:r>
        <w:rPr>
          <w:spacing w:val="-2"/>
        </w:rPr>
        <w:t>PON+LAN 区域网络改造，宽带端口总数达到</w:t>
      </w:r>
      <w:r>
        <w:rPr>
          <w:spacing w:val="-24"/>
        </w:rPr>
        <w:t xml:space="preserve"> </w:t>
      </w:r>
      <w:r>
        <w:rPr>
          <w:spacing w:val="-2"/>
        </w:rPr>
        <w:t>2.25</w:t>
      </w:r>
      <w:r>
        <w:rPr>
          <w:spacing w:val="-26"/>
        </w:rPr>
        <w:t xml:space="preserve"> </w:t>
      </w:r>
      <w:r>
        <w:rPr>
          <w:spacing w:val="-2"/>
        </w:rPr>
        <w:t>亿个，</w:t>
      </w:r>
      <w:r>
        <w:rPr/>
        <w:t xml:space="preserve"> </w:t>
      </w:r>
      <w:r>
        <w:rPr>
          <w:spacing w:val="-2"/>
        </w:rPr>
        <w:t>其中</w:t>
      </w:r>
      <w:r>
        <w:rPr>
          <w:spacing w:val="-46"/>
        </w:rPr>
        <w:t xml:space="preserve"> </w:t>
      </w:r>
      <w:r>
        <w:rPr>
          <w:spacing w:val="-2"/>
        </w:rPr>
        <w:t>FTTH</w:t>
      </w:r>
      <w:r>
        <w:rPr>
          <w:spacing w:val="-46"/>
        </w:rPr>
        <w:t xml:space="preserve"> </w:t>
      </w:r>
      <w:r>
        <w:rPr>
          <w:spacing w:val="-2"/>
        </w:rPr>
        <w:t>端口占比</w:t>
      </w:r>
      <w:r>
        <w:rPr>
          <w:spacing w:val="-45"/>
        </w:rPr>
        <w:t xml:space="preserve"> </w:t>
      </w:r>
      <w:r>
        <w:rPr>
          <w:spacing w:val="-2"/>
        </w:rPr>
        <w:t>88%。</w:t>
      </w:r>
    </w:p>
    <w:p>
      <w:pPr>
        <w:pStyle w:val="BodyText"/>
        <w:ind w:left="36" w:right="221" w:firstLine="379"/>
        <w:spacing w:before="186" w:line="303" w:lineRule="auto"/>
        <w:rPr/>
      </w:pPr>
      <w:r>
        <w:rPr>
          <w:spacing w:val="2"/>
        </w:rPr>
        <w:t>公司持续完善国际网络布局。2020 年底，国际海缆资源容量达到 52.6T；互联网国际出口容量</w:t>
      </w:r>
      <w:r>
        <w:rPr>
          <w:spacing w:val="9"/>
        </w:rPr>
        <w:t xml:space="preserve"> </w:t>
      </w:r>
      <w:r>
        <w:rPr/>
        <w:t>4.12T，回国带宽</w:t>
      </w:r>
      <w:r>
        <w:rPr>
          <w:spacing w:val="-40"/>
        </w:rPr>
        <w:t xml:space="preserve"> </w:t>
      </w:r>
      <w:r>
        <w:rPr/>
        <w:t>3.30T；国际漫游覆盖达到</w:t>
      </w:r>
      <w:r>
        <w:rPr>
          <w:spacing w:val="-41"/>
        </w:rPr>
        <w:t xml:space="preserve"> </w:t>
      </w:r>
      <w:r>
        <w:rPr/>
        <w:t>259</w:t>
      </w:r>
      <w:r>
        <w:rPr>
          <w:spacing w:val="-44"/>
        </w:rPr>
        <w:t xml:space="preserve"> </w:t>
      </w:r>
      <w:r>
        <w:rPr/>
        <w:t>个国家和地</w:t>
      </w:r>
      <w:r>
        <w:rPr>
          <w:spacing w:val="-1"/>
        </w:rPr>
        <w:t>区的627</w:t>
      </w:r>
      <w:r>
        <w:rPr>
          <w:spacing w:val="-42"/>
        </w:rPr>
        <w:t xml:space="preserve"> </w:t>
      </w:r>
      <w:r>
        <w:rPr>
          <w:spacing w:val="-1"/>
        </w:rPr>
        <w:t>家运营商。</w:t>
      </w:r>
    </w:p>
    <w:p>
      <w:pPr>
        <w:pStyle w:val="BodyText"/>
        <w:ind w:left="466"/>
        <w:spacing w:before="186" w:line="221" w:lineRule="auto"/>
        <w:rPr/>
      </w:pPr>
      <w:r>
        <w:rPr>
          <w:b/>
          <w:bCs/>
          <w:spacing w:val="-6"/>
        </w:rPr>
        <w:t>5</w:t>
      </w:r>
      <w:r>
        <w:rPr>
          <w:spacing w:val="14"/>
        </w:rPr>
        <w:t xml:space="preserve"> </w:t>
      </w:r>
      <w:r>
        <w:rPr>
          <w:b/>
          <w:bCs/>
          <w:spacing w:val="-6"/>
        </w:rPr>
        <w:t>市场营销</w:t>
      </w:r>
    </w:p>
    <w:p>
      <w:pPr>
        <w:pStyle w:val="BodyText"/>
        <w:ind w:left="477"/>
        <w:spacing w:before="265" w:line="221" w:lineRule="auto"/>
        <w:rPr/>
      </w:pPr>
      <w:r>
        <w:rPr>
          <w:b/>
          <w:bCs/>
          <w:spacing w:val="-7"/>
        </w:rPr>
        <w:t>1）品牌策略</w:t>
      </w:r>
    </w:p>
    <w:p>
      <w:pPr>
        <w:pStyle w:val="BodyText"/>
        <w:ind w:left="37" w:right="208" w:firstLine="374"/>
        <w:spacing w:before="270" w:line="312" w:lineRule="auto"/>
        <w:jc w:val="both"/>
        <w:rPr/>
      </w:pPr>
      <w:r>
        <w:rPr>
          <w:spacing w:val="-1"/>
        </w:rPr>
        <w:t>2020</w:t>
      </w:r>
      <w:r>
        <w:rPr>
          <w:spacing w:val="-46"/>
        </w:rPr>
        <w:t xml:space="preserve"> </w:t>
      </w:r>
      <w:r>
        <w:rPr>
          <w:spacing w:val="-1"/>
        </w:rPr>
        <w:t>年公司践行高质量发展，完成了品牌规划，确定了创享有温度的智能生活的品牌定位，</w:t>
      </w:r>
      <w:r>
        <w:rPr>
          <w:spacing w:val="-2"/>
        </w:rPr>
        <w:t>提出</w:t>
      </w:r>
      <w:r>
        <w:rPr/>
        <w:t xml:space="preserve"> </w:t>
      </w:r>
      <w:r>
        <w:rPr>
          <w:spacing w:val="1"/>
        </w:rPr>
        <w:t>了“创新，与智慧同行</w:t>
      </w:r>
      <w:r>
        <w:rPr>
          <w:spacing w:val="-77"/>
        </w:rPr>
        <w:t xml:space="preserve"> </w:t>
      </w:r>
      <w:r>
        <w:rPr>
          <w:spacing w:val="1"/>
        </w:rPr>
        <w:t>”口号，全面开启联通由内及外的品牌焕新工程，提升联通品牌价值。在 5G</w:t>
      </w:r>
      <w:r>
        <w:rPr/>
        <w:t xml:space="preserve"> </w:t>
      </w:r>
      <w:r>
        <w:rPr>
          <w:spacing w:val="-3"/>
        </w:rPr>
        <w:t>宣传上充分发挥</w:t>
      </w:r>
      <w:r>
        <w:rPr>
          <w:spacing w:val="-36"/>
        </w:rPr>
        <w:t xml:space="preserve"> </w:t>
      </w:r>
      <w:r>
        <w:rPr>
          <w:spacing w:val="-3"/>
        </w:rPr>
        <w:t>5G</w:t>
      </w:r>
      <w:r>
        <w:rPr>
          <w:spacing w:val="-31"/>
        </w:rPr>
        <w:t xml:space="preserve"> </w:t>
      </w:r>
      <w:r>
        <w:rPr>
          <w:spacing w:val="-3"/>
        </w:rPr>
        <w:t>引领作用，持续解读品牌理念，持续打造并沉淀</w:t>
      </w:r>
      <w:r>
        <w:rPr>
          <w:spacing w:val="-39"/>
        </w:rPr>
        <w:t xml:space="preserve"> </w:t>
      </w:r>
      <w:r>
        <w:rPr>
          <w:spacing w:val="-3"/>
        </w:rPr>
        <w:t>5G</w:t>
      </w:r>
      <w:r>
        <w:rPr>
          <w:sz w:val="11"/>
          <w:szCs w:val="11"/>
          <w:spacing w:val="-3"/>
          <w:position w:val="10"/>
        </w:rPr>
        <w:t>n </w:t>
      </w:r>
      <w:r>
        <w:rPr>
          <w:spacing w:val="-3"/>
        </w:rPr>
        <w:t>品牌视觉资产；在业务宣传上</w:t>
      </w:r>
      <w:r>
        <w:rPr/>
        <w:t xml:space="preserve"> </w:t>
      </w:r>
      <w:r>
        <w:rPr>
          <w:spacing w:val="-1"/>
        </w:rPr>
        <w:t>聚焦重点业务及场景，同时结合热点和事件、关键节点等进行借势和造势宣传。率先发布三千兆，聚</w:t>
      </w:r>
      <w:r>
        <w:rPr>
          <w:spacing w:val="14"/>
        </w:rPr>
        <w:t xml:space="preserve"> </w:t>
      </w:r>
      <w:r>
        <w:rPr>
          <w:spacing w:val="-1"/>
        </w:rPr>
        <w:t>焦家庭场景下的用网需求，结合产品利益点和地域差异，持续开展宣传。在青少年细分市场焕新沃派</w:t>
      </w:r>
      <w:r>
        <w:rPr>
          <w:spacing w:val="14"/>
        </w:rPr>
        <w:t xml:space="preserve"> </w:t>
      </w:r>
      <w:r>
        <w:rPr>
          <w:spacing w:val="-1"/>
        </w:rPr>
        <w:t>品牌，深化沃派“做我喜欢的”品牌主张，传递多元活力的内涵。通过不断优化宣传内容及多样化传</w:t>
      </w:r>
      <w:r>
        <w:rPr>
          <w:spacing w:val="11"/>
        </w:rPr>
        <w:t xml:space="preserve"> </w:t>
      </w:r>
      <w:r>
        <w:rPr>
          <w:spacing w:val="2"/>
        </w:rPr>
        <w:t>播手段，品牌整体发展态势良好，美誉度和知晓度双提升，同时</w:t>
      </w:r>
      <w:r>
        <w:rPr>
          <w:spacing w:val="1"/>
        </w:rPr>
        <w:t>凭借冬奥赞助商身份， 进一步提升</w:t>
      </w:r>
      <w:r>
        <w:rPr/>
        <w:t xml:space="preserve"> </w:t>
      </w:r>
      <w:r>
        <w:rPr>
          <w:spacing w:val="-1"/>
        </w:rPr>
        <w:t>了品牌在消费者心中的好感度。</w:t>
      </w:r>
    </w:p>
    <w:p>
      <w:pPr>
        <w:pStyle w:val="BodyText"/>
        <w:ind w:left="464"/>
        <w:spacing w:before="193" w:line="221" w:lineRule="auto"/>
        <w:rPr/>
      </w:pPr>
      <w:r>
        <w:rPr>
          <w:b/>
          <w:bCs/>
          <w:spacing w:val="-5"/>
        </w:rPr>
        <w:t>2）营销策略</w:t>
      </w:r>
    </w:p>
    <w:p>
      <w:pPr>
        <w:pStyle w:val="BodyText"/>
        <w:ind w:left="37" w:firstLine="374"/>
        <w:spacing w:before="261" w:line="313" w:lineRule="auto"/>
        <w:rPr/>
      </w:pPr>
      <w:r>
        <w:rPr>
          <w:spacing w:val="-1"/>
        </w:rPr>
        <w:t>2020</w:t>
      </w:r>
      <w:r>
        <w:rPr>
          <w:spacing w:val="-41"/>
        </w:rPr>
        <w:t xml:space="preserve"> </w:t>
      </w:r>
      <w:r>
        <w:rPr>
          <w:spacing w:val="-1"/>
        </w:rPr>
        <w:t>年，持续推进全面数字化转型，贯彻“1+3+3”工作部署。聚焦四大市场发展，坚持“1+4+X”</w:t>
      </w:r>
      <w:r>
        <w:rPr/>
        <w:t xml:space="preserve"> </w:t>
      </w:r>
      <w:r>
        <w:rPr>
          <w:spacing w:val="-1"/>
        </w:rPr>
        <w:t>核心战略，以三千兆为引领，聚焦四项基本产品，实现智家产品规模发展； 推进</w:t>
      </w:r>
      <w:r>
        <w:rPr>
          <w:spacing w:val="-39"/>
        </w:rPr>
        <w:t xml:space="preserve"> </w:t>
      </w:r>
      <w:r>
        <w:rPr>
          <w:spacing w:val="-1"/>
        </w:rPr>
        <w:t>5G</w:t>
      </w:r>
      <w:r>
        <w:rPr>
          <w:spacing w:val="-44"/>
        </w:rPr>
        <w:t xml:space="preserve"> </w:t>
      </w:r>
      <w:r>
        <w:rPr>
          <w:spacing w:val="-2"/>
        </w:rPr>
        <w:t>套餐对全量客户</w:t>
      </w:r>
      <w:r>
        <w:rPr/>
        <w:t xml:space="preserve">   </w:t>
      </w:r>
      <w:r>
        <w:rPr>
          <w:spacing w:val="-1"/>
        </w:rPr>
        <w:t>全覆盖，加强 5G 核心应用打造差异化；针对不同价值分布与消费模式的用户群进行切片，制定客户</w:t>
      </w:r>
      <w:r>
        <w:rPr>
          <w:spacing w:val="5"/>
        </w:rPr>
        <w:t xml:space="preserve">   </w:t>
      </w:r>
      <w:r>
        <w:rPr>
          <w:spacing w:val="-1"/>
        </w:rPr>
        <w:t>清单，精准匹配资费、产品和触点；扎实推进“两提两控”，开展全量客户价值经营；充分发挥业务</w:t>
      </w:r>
      <w:r>
        <w:rPr>
          <w:spacing w:val="3"/>
        </w:rPr>
        <w:t xml:space="preserve">   </w:t>
      </w:r>
      <w:r>
        <w:rPr>
          <w:spacing w:val="-1"/>
        </w:rPr>
        <w:t>和 IT 协同、公众和政企协同优势，创新平台化的产品体系，构建生态化的渠道体系，客户切片、精</w:t>
      </w:r>
      <w:r>
        <w:rPr>
          <w:spacing w:val="5"/>
        </w:rPr>
        <w:t xml:space="preserve">   </w:t>
      </w:r>
      <w:r>
        <w:rPr>
          <w:spacing w:val="-3"/>
        </w:rPr>
        <w:t>准施策，向细分市场要发展。同时着力提升“品牌、客户、产品、渠道、终端、服务”六大运营能</w:t>
      </w:r>
      <w:r>
        <w:rPr>
          <w:spacing w:val="-4"/>
        </w:rPr>
        <w:t>力，</w:t>
      </w:r>
      <w:r>
        <w:rPr/>
        <w:t xml:space="preserve">  </w:t>
      </w:r>
      <w:r>
        <w:rPr>
          <w:spacing w:val="-1"/>
        </w:rPr>
        <w:t>实现营销效率的提升，助力公众市场高质量发展。</w:t>
      </w:r>
    </w:p>
    <w:p>
      <w:pPr>
        <w:spacing w:line="313" w:lineRule="auto"/>
        <w:sectPr>
          <w:headerReference w:type="default" r:id="rId27"/>
          <w:footerReference w:type="default" r:id="rId28"/>
          <w:pgSz w:w="11907" w:h="16839"/>
          <w:pgMar w:top="1377" w:right="1059" w:bottom="1375" w:left="1390" w:header="837" w:footer="1212" w:gutter="0"/>
        </w:sectPr>
        <w:rPr/>
      </w:pPr>
    </w:p>
    <w:p>
      <w:pPr>
        <w:pStyle w:val="BodyText"/>
        <w:ind w:left="466"/>
        <w:spacing w:before="258" w:line="221" w:lineRule="auto"/>
        <w:rPr/>
      </w:pPr>
      <w:r>
        <w:rPr>
          <w:b/>
          <w:bCs/>
          <w:spacing w:val="-5"/>
        </w:rPr>
        <w:t>3）营销渠道</w:t>
      </w:r>
    </w:p>
    <w:p>
      <w:pPr>
        <w:pStyle w:val="BodyText"/>
        <w:ind w:left="22" w:right="23" w:firstLine="388"/>
        <w:spacing w:before="264" w:line="312" w:lineRule="auto"/>
        <w:jc w:val="both"/>
        <w:rPr/>
      </w:pPr>
      <w:r>
        <w:rPr>
          <w:spacing w:val="13"/>
        </w:rPr>
        <w:t>2020 年，积极落实全面数字化转型战略，依托中台高效支撑，强化全渠</w:t>
      </w:r>
      <w:r>
        <w:rPr>
          <w:spacing w:val="12"/>
        </w:rPr>
        <w:t>道协同，重点实施</w:t>
      </w:r>
      <w:r>
        <w:rPr/>
        <w:t xml:space="preserve"> </w:t>
      </w:r>
      <w:r>
        <w:rPr>
          <w:spacing w:val="-1"/>
        </w:rPr>
        <w:t>“‘6+X’+1+1</w:t>
      </w:r>
      <w:r>
        <w:rPr>
          <w:spacing w:val="-71"/>
        </w:rPr>
        <w:t xml:space="preserve"> </w:t>
      </w:r>
      <w:r>
        <w:rPr>
          <w:spacing w:val="-1"/>
        </w:rPr>
        <w:t>”工程，加快推进在线线下一化，构建增存一体、服务与营销一体的数字化 OMO 渠道</w:t>
      </w:r>
      <w:r>
        <w:rPr/>
        <w:t xml:space="preserve"> </w:t>
      </w:r>
      <w:r>
        <w:rPr/>
        <w:t>运营体系。加快渠道创新转型，大力发展在线、轻触点</w:t>
      </w:r>
      <w:r>
        <w:rPr>
          <w:spacing w:val="-1"/>
        </w:rPr>
        <w:t>微生态、直播等新型触点、新型营销模式以及</w:t>
      </w:r>
      <w:r>
        <w:rPr/>
        <w:t xml:space="preserve"> </w:t>
      </w:r>
      <w:r>
        <w:rPr>
          <w:spacing w:val="-2"/>
        </w:rPr>
        <w:t>细分市场，渠道数字化获客能力持续提升；全力推进“</w:t>
      </w:r>
      <w:r>
        <w:rPr>
          <w:spacing w:val="-67"/>
        </w:rPr>
        <w:t xml:space="preserve"> </w:t>
      </w:r>
      <w:r>
        <w:rPr>
          <w:spacing w:val="-2"/>
        </w:rPr>
        <w:t>100%</w:t>
      </w:r>
      <w:r>
        <w:rPr>
          <w:spacing w:val="-77"/>
        </w:rPr>
        <w:t xml:space="preserve"> </w:t>
      </w:r>
      <w:r>
        <w:rPr>
          <w:spacing w:val="-2"/>
        </w:rPr>
        <w:t>”，积极构建大流量</w:t>
      </w:r>
      <w:r>
        <w:rPr>
          <w:spacing w:val="-51"/>
        </w:rPr>
        <w:t xml:space="preserve"> </w:t>
      </w:r>
      <w:r>
        <w:rPr>
          <w:spacing w:val="-2"/>
        </w:rPr>
        <w:t>APP</w:t>
      </w:r>
      <w:r>
        <w:rPr>
          <w:spacing w:val="-41"/>
        </w:rPr>
        <w:t xml:space="preserve"> </w:t>
      </w:r>
      <w:r>
        <w:rPr>
          <w:spacing w:val="-2"/>
        </w:rPr>
        <w:t>生态，升级千人</w:t>
      </w:r>
      <w:r>
        <w:rPr/>
        <w:t xml:space="preserve"> </w:t>
      </w:r>
      <w:r>
        <w:rPr/>
        <w:t>千面智慧推荐能力，逐步增强渠道数字化服</w:t>
      </w:r>
      <w:r>
        <w:rPr>
          <w:spacing w:val="-1"/>
        </w:rPr>
        <w:t>务能力；依托公众中台，以大流量</w:t>
      </w:r>
      <w:r>
        <w:rPr>
          <w:spacing w:val="-51"/>
        </w:rPr>
        <w:t xml:space="preserve"> </w:t>
      </w:r>
      <w:r>
        <w:rPr>
          <w:spacing w:val="-1"/>
        </w:rPr>
        <w:t>APP</w:t>
      </w:r>
      <w:r>
        <w:rPr>
          <w:spacing w:val="-43"/>
        </w:rPr>
        <w:t xml:space="preserve"> </w:t>
      </w:r>
      <w:r>
        <w:rPr>
          <w:spacing w:val="-1"/>
        </w:rPr>
        <w:t>为抓手，实现在线</w:t>
      </w:r>
      <w:r>
        <w:rPr/>
        <w:t xml:space="preserve"> </w:t>
      </w:r>
      <w:r>
        <w:rPr/>
        <w:t>线下资源共享，在线赋能线下，打造统一交付工具，推</w:t>
      </w:r>
      <w:r>
        <w:rPr>
          <w:spacing w:val="-1"/>
        </w:rPr>
        <w:t>进网业协同，渠道数字化运营步伐不断加快。</w:t>
      </w:r>
    </w:p>
    <w:p>
      <w:pPr>
        <w:pStyle w:val="BodyText"/>
        <w:ind w:left="460"/>
        <w:spacing w:before="186" w:line="221" w:lineRule="auto"/>
        <w:rPr/>
      </w:pPr>
      <w:r>
        <w:rPr>
          <w:b/>
          <w:bCs/>
          <w:spacing w:val="-4"/>
        </w:rPr>
        <w:t>4）客户服务</w:t>
      </w:r>
    </w:p>
    <w:p>
      <w:pPr>
        <w:pStyle w:val="BodyText"/>
        <w:ind w:left="38" w:right="26"/>
        <w:spacing w:before="208" w:line="266" w:lineRule="auto"/>
        <w:jc w:val="both"/>
        <w:rPr/>
      </w:pPr>
      <w:r>
        <w:rPr>
          <w:spacing w:val="-2"/>
        </w:rPr>
        <w:t>2020</w:t>
      </w:r>
      <w:r>
        <w:rPr>
          <w:spacing w:val="-45"/>
        </w:rPr>
        <w:t xml:space="preserve"> </w:t>
      </w:r>
      <w:r>
        <w:rPr>
          <w:spacing w:val="-2"/>
        </w:rPr>
        <w:t>年，公司扎实推进疫情期间服务保障工作，加快实现服务数字化转型，实现客户体验</w:t>
      </w:r>
      <w:r>
        <w:rPr>
          <w:spacing w:val="-3"/>
        </w:rPr>
        <w:t>、服务水平</w:t>
      </w:r>
      <w:r>
        <w:rPr/>
        <w:t xml:space="preserve"> </w:t>
      </w:r>
      <w:r>
        <w:rPr>
          <w:spacing w:val="-2"/>
        </w:rPr>
        <w:t>持续提升。截至四季度，端到端实时客户体验提升</w:t>
      </w:r>
      <w:r>
        <w:rPr>
          <w:spacing w:val="-22"/>
        </w:rPr>
        <w:t xml:space="preserve"> </w:t>
      </w:r>
      <w:r>
        <w:rPr>
          <w:spacing w:val="-2"/>
        </w:rPr>
        <w:t>1.52</w:t>
      </w:r>
      <w:r>
        <w:rPr>
          <w:spacing w:val="-43"/>
        </w:rPr>
        <w:t xml:space="preserve"> </w:t>
      </w:r>
      <w:r>
        <w:rPr>
          <w:spacing w:val="-2"/>
        </w:rPr>
        <w:t>分；移网客户口碑(NPS)提升</w:t>
      </w:r>
      <w:r>
        <w:rPr>
          <w:spacing w:val="-39"/>
        </w:rPr>
        <w:t xml:space="preserve"> </w:t>
      </w:r>
      <w:r>
        <w:rPr>
          <w:spacing w:val="-2"/>
        </w:rPr>
        <w:t>5.5</w:t>
      </w:r>
      <w:r>
        <w:rPr>
          <w:spacing w:val="-42"/>
        </w:rPr>
        <w:t xml:space="preserve"> </w:t>
      </w:r>
      <w:r>
        <w:rPr>
          <w:spacing w:val="-2"/>
        </w:rPr>
        <w:t>分，宽带提</w:t>
      </w:r>
      <w:r>
        <w:rPr/>
        <w:t xml:space="preserve"> </w:t>
      </w:r>
      <w:r>
        <w:rPr>
          <w:spacing w:val="-3"/>
        </w:rPr>
        <w:t>升</w:t>
      </w:r>
      <w:r>
        <w:rPr>
          <w:spacing w:val="-24"/>
        </w:rPr>
        <w:t xml:space="preserve"> </w:t>
      </w:r>
      <w:r>
        <w:rPr>
          <w:spacing w:val="-3"/>
        </w:rPr>
        <w:t>7.6</w:t>
      </w:r>
      <w:r>
        <w:rPr>
          <w:spacing w:val="-44"/>
        </w:rPr>
        <w:t xml:space="preserve"> </w:t>
      </w:r>
      <w:r>
        <w:rPr>
          <w:spacing w:val="-3"/>
        </w:rPr>
        <w:t>分；截至</w:t>
      </w:r>
      <w:r>
        <w:rPr>
          <w:spacing w:val="-29"/>
        </w:rPr>
        <w:t xml:space="preserve"> </w:t>
      </w:r>
      <w:r>
        <w:rPr>
          <w:spacing w:val="-3"/>
        </w:rPr>
        <w:t>12</w:t>
      </w:r>
      <w:r>
        <w:rPr>
          <w:spacing w:val="-41"/>
        </w:rPr>
        <w:t xml:space="preserve"> </w:t>
      </w:r>
      <w:r>
        <w:rPr>
          <w:spacing w:val="-3"/>
        </w:rPr>
        <w:t>月底，工信部有效申诉率同比下降</w:t>
      </w:r>
      <w:r>
        <w:rPr>
          <w:spacing w:val="-39"/>
        </w:rPr>
        <w:t xml:space="preserve"> </w:t>
      </w:r>
      <w:r>
        <w:rPr>
          <w:spacing w:val="-3"/>
        </w:rPr>
        <w:t>35.2%。</w:t>
      </w:r>
    </w:p>
    <w:p>
      <w:pPr>
        <w:spacing w:line="261" w:lineRule="auto"/>
        <w:rPr>
          <w:rFonts w:ascii="Arial"/>
          <w:sz w:val="21"/>
        </w:rPr>
      </w:pPr>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pStyle w:val="BodyText"/>
        <w:ind w:left="37"/>
        <w:spacing w:before="68" w:line="221" w:lineRule="auto"/>
        <w:rPr/>
      </w:pPr>
      <w:r>
        <w:rPr>
          <w:b/>
          <w:bCs/>
          <w:spacing w:val="-2"/>
        </w:rPr>
        <w:t>第三部分：财务情况讨论与分析</w:t>
      </w:r>
    </w:p>
    <w:p>
      <w:pPr>
        <w:pStyle w:val="BodyText"/>
        <w:ind w:left="477"/>
        <w:spacing w:before="272" w:line="221" w:lineRule="auto"/>
        <w:rPr/>
      </w:pPr>
      <w:r>
        <w:rPr>
          <w:b/>
          <w:bCs/>
          <w:spacing w:val="-7"/>
        </w:rPr>
        <w:t>1．概述</w:t>
      </w:r>
    </w:p>
    <w:p>
      <w:pPr>
        <w:pStyle w:val="BodyText"/>
        <w:ind w:left="37" w:right="23" w:firstLine="373"/>
        <w:spacing w:before="266" w:line="307" w:lineRule="auto"/>
        <w:jc w:val="both"/>
        <w:rPr/>
      </w:pPr>
      <w:r>
        <w:rPr>
          <w:spacing w:val="-2"/>
        </w:rPr>
        <w:t>2020</w:t>
      </w:r>
      <w:r>
        <w:rPr>
          <w:spacing w:val="-46"/>
        </w:rPr>
        <w:t xml:space="preserve"> </w:t>
      </w:r>
      <w:r>
        <w:rPr>
          <w:spacing w:val="-2"/>
        </w:rPr>
        <w:t>年公司持续深化实施聚焦战略，实现营</w:t>
      </w:r>
      <w:r>
        <w:rPr>
          <w:spacing w:val="-3"/>
        </w:rPr>
        <w:t>业收入人民币</w:t>
      </w:r>
      <w:r>
        <w:rPr>
          <w:spacing w:val="-40"/>
        </w:rPr>
        <w:t xml:space="preserve"> </w:t>
      </w:r>
      <w:r>
        <w:rPr>
          <w:spacing w:val="-3"/>
        </w:rPr>
        <w:t>3,038.4</w:t>
      </w:r>
      <w:r>
        <w:rPr>
          <w:spacing w:val="-45"/>
        </w:rPr>
        <w:t xml:space="preserve"> </w:t>
      </w:r>
      <w:r>
        <w:rPr>
          <w:spacing w:val="-3"/>
        </w:rPr>
        <w:t>亿元，同比增长</w:t>
      </w:r>
      <w:r>
        <w:rPr>
          <w:spacing w:val="-45"/>
        </w:rPr>
        <w:t xml:space="preserve"> </w:t>
      </w:r>
      <w:r>
        <w:rPr>
          <w:spacing w:val="-3"/>
        </w:rPr>
        <w:t>4.6%，主营业</w:t>
      </w:r>
      <w:r>
        <w:rPr/>
        <w:t xml:space="preserve"> </w:t>
      </w:r>
      <w:r>
        <w:rPr>
          <w:spacing w:val="-1"/>
        </w:rPr>
        <w:t>务收入达到人民币</w:t>
      </w:r>
      <w:r>
        <w:rPr>
          <w:spacing w:val="-35"/>
        </w:rPr>
        <w:t xml:space="preserve"> </w:t>
      </w:r>
      <w:r>
        <w:rPr>
          <w:spacing w:val="-1"/>
        </w:rPr>
        <w:t>2,758.1</w:t>
      </w:r>
      <w:r>
        <w:rPr>
          <w:spacing w:val="-38"/>
        </w:rPr>
        <w:t xml:space="preserve"> </w:t>
      </w:r>
      <w:r>
        <w:rPr>
          <w:spacing w:val="-1"/>
        </w:rPr>
        <w:t>亿元，同比增长</w:t>
      </w:r>
      <w:r>
        <w:rPr>
          <w:spacing w:val="-40"/>
        </w:rPr>
        <w:t xml:space="preserve"> </w:t>
      </w:r>
      <w:r>
        <w:rPr>
          <w:spacing w:val="-1"/>
        </w:rPr>
        <w:t>4.3%。归属于母公司净利润实现人民币</w:t>
      </w:r>
      <w:r>
        <w:rPr>
          <w:spacing w:val="-37"/>
        </w:rPr>
        <w:t xml:space="preserve"> </w:t>
      </w:r>
      <w:r>
        <w:rPr>
          <w:spacing w:val="-1"/>
        </w:rPr>
        <w:t>55.2</w:t>
      </w:r>
      <w:r>
        <w:rPr>
          <w:spacing w:val="-41"/>
        </w:rPr>
        <w:t xml:space="preserve"> </w:t>
      </w:r>
      <w:r>
        <w:rPr>
          <w:spacing w:val="-1"/>
        </w:rPr>
        <w:t>亿元，同比</w:t>
      </w:r>
      <w:r>
        <w:rPr/>
        <w:t xml:space="preserve"> </w:t>
      </w:r>
      <w:r>
        <w:rPr>
          <w:spacing w:val="-3"/>
        </w:rPr>
        <w:t>增加人民币</w:t>
      </w:r>
      <w:r>
        <w:rPr>
          <w:spacing w:val="-34"/>
        </w:rPr>
        <w:t xml:space="preserve"> </w:t>
      </w:r>
      <w:r>
        <w:rPr>
          <w:spacing w:val="-3"/>
        </w:rPr>
        <w:t>5.4</w:t>
      </w:r>
      <w:r>
        <w:rPr>
          <w:spacing w:val="-45"/>
        </w:rPr>
        <w:t xml:space="preserve"> </w:t>
      </w:r>
      <w:r>
        <w:rPr>
          <w:spacing w:val="-3"/>
        </w:rPr>
        <w:t>亿元。</w:t>
      </w:r>
    </w:p>
    <w:p>
      <w:pPr>
        <w:pStyle w:val="BodyText"/>
        <w:ind w:left="39" w:right="28" w:firstLine="371"/>
        <w:spacing w:before="187" w:line="303" w:lineRule="auto"/>
        <w:rPr/>
      </w:pPr>
      <w:r>
        <w:rPr>
          <w:spacing w:val="-1"/>
        </w:rPr>
        <w:t>2020</w:t>
      </w:r>
      <w:r>
        <w:rPr>
          <w:spacing w:val="-35"/>
        </w:rPr>
        <w:t xml:space="preserve"> </w:t>
      </w:r>
      <w:r>
        <w:rPr>
          <w:spacing w:val="-1"/>
        </w:rPr>
        <w:t>年公司经营活动现金流量净额为人民币</w:t>
      </w:r>
      <w:r>
        <w:rPr>
          <w:spacing w:val="-29"/>
        </w:rPr>
        <w:t xml:space="preserve"> </w:t>
      </w:r>
      <w:r>
        <w:rPr>
          <w:spacing w:val="-1"/>
        </w:rPr>
        <w:t>1,073.3</w:t>
      </w:r>
      <w:r>
        <w:rPr>
          <w:spacing w:val="-43"/>
        </w:rPr>
        <w:t xml:space="preserve"> </w:t>
      </w:r>
      <w:r>
        <w:rPr>
          <w:spacing w:val="-1"/>
        </w:rPr>
        <w:t>亿元，资本开支为人民币676.5</w:t>
      </w:r>
      <w:r>
        <w:rPr>
          <w:spacing w:val="-43"/>
        </w:rPr>
        <w:t xml:space="preserve"> </w:t>
      </w:r>
      <w:r>
        <w:rPr>
          <w:spacing w:val="-1"/>
        </w:rPr>
        <w:t>亿元。截至</w:t>
      </w:r>
      <w:r>
        <w:rPr/>
        <w:t xml:space="preserve"> </w:t>
      </w:r>
      <w:r>
        <w:rPr>
          <w:spacing w:val="-2"/>
        </w:rPr>
        <w:t>2020</w:t>
      </w:r>
      <w:r>
        <w:rPr>
          <w:spacing w:val="-28"/>
        </w:rPr>
        <w:t xml:space="preserve"> </w:t>
      </w:r>
      <w:r>
        <w:rPr>
          <w:spacing w:val="-2"/>
        </w:rPr>
        <w:t>年底，公司资产负债率为</w:t>
      </w:r>
      <w:r>
        <w:rPr>
          <w:spacing w:val="-44"/>
        </w:rPr>
        <w:t xml:space="preserve"> </w:t>
      </w:r>
      <w:r>
        <w:rPr>
          <w:spacing w:val="-2"/>
        </w:rPr>
        <w:t>43.1%。</w:t>
      </w:r>
    </w:p>
    <w:p>
      <w:pPr>
        <w:pStyle w:val="BodyText"/>
        <w:ind w:left="464"/>
        <w:spacing w:before="187" w:line="221" w:lineRule="auto"/>
        <w:rPr/>
      </w:pPr>
      <w:r>
        <w:rPr>
          <w:b/>
          <w:bCs/>
          <w:spacing w:val="-3"/>
        </w:rPr>
        <w:t>2．营业收入</w:t>
      </w:r>
    </w:p>
    <w:p>
      <w:pPr>
        <w:pStyle w:val="BodyText"/>
        <w:ind w:left="39" w:right="49" w:firstLine="371"/>
        <w:spacing w:before="264" w:line="302" w:lineRule="auto"/>
        <w:rPr/>
      </w:pPr>
      <w:r>
        <w:rPr>
          <w:spacing w:val="-2"/>
        </w:rPr>
        <w:t>2020 年公司营业收入实现人民币 3,038.4 亿元，同比增长 4.6%，其中</w:t>
      </w:r>
      <w:r>
        <w:rPr>
          <w:spacing w:val="-3"/>
        </w:rPr>
        <w:t>，主营业务收入为人民币</w:t>
      </w:r>
      <w:r>
        <w:rPr/>
        <w:t xml:space="preserve"> </w:t>
      </w:r>
      <w:r>
        <w:rPr>
          <w:spacing w:val="-1"/>
        </w:rPr>
        <w:t>2,758.1</w:t>
      </w:r>
      <w:r>
        <w:rPr>
          <w:spacing w:val="-39"/>
        </w:rPr>
        <w:t xml:space="preserve"> </w:t>
      </w:r>
      <w:r>
        <w:rPr>
          <w:spacing w:val="-1"/>
        </w:rPr>
        <w:t>亿元，同比增长</w:t>
      </w:r>
      <w:r>
        <w:rPr>
          <w:spacing w:val="-47"/>
        </w:rPr>
        <w:t xml:space="preserve"> </w:t>
      </w:r>
      <w:r>
        <w:rPr>
          <w:spacing w:val="-1"/>
        </w:rPr>
        <w:t>4.3%，收入结构不断优化。</w:t>
      </w:r>
    </w:p>
    <w:p>
      <w:pPr>
        <w:pStyle w:val="BodyText"/>
        <w:ind w:left="36" w:right="23" w:firstLine="379"/>
        <w:spacing w:before="190" w:line="303" w:lineRule="auto"/>
        <w:rPr/>
      </w:pPr>
      <w:r>
        <w:rPr>
          <w:spacing w:val="-1"/>
        </w:rPr>
        <w:t>下表反映了公司</w:t>
      </w:r>
      <w:r>
        <w:rPr>
          <w:spacing w:val="-36"/>
        </w:rPr>
        <w:t xml:space="preserve"> </w:t>
      </w:r>
      <w:r>
        <w:rPr>
          <w:spacing w:val="-1"/>
        </w:rPr>
        <w:t>2020</w:t>
      </w:r>
      <w:r>
        <w:rPr>
          <w:spacing w:val="-40"/>
        </w:rPr>
        <w:t xml:space="preserve"> </w:t>
      </w:r>
      <w:r>
        <w:rPr>
          <w:spacing w:val="-1"/>
        </w:rPr>
        <w:t>年和</w:t>
      </w:r>
      <w:r>
        <w:rPr>
          <w:spacing w:val="-37"/>
        </w:rPr>
        <w:t xml:space="preserve"> </w:t>
      </w:r>
      <w:r>
        <w:rPr>
          <w:spacing w:val="-1"/>
        </w:rPr>
        <w:t>2019</w:t>
      </w:r>
      <w:r>
        <w:rPr>
          <w:spacing w:val="-40"/>
        </w:rPr>
        <w:t xml:space="preserve"> </w:t>
      </w:r>
      <w:r>
        <w:rPr>
          <w:spacing w:val="-1"/>
        </w:rPr>
        <w:t>年主营业务收入构成的变化情况及各业务主营业务收入所占主营</w:t>
      </w:r>
      <w:r>
        <w:rPr/>
        <w:t xml:space="preserve"> </w:t>
      </w:r>
      <w:r>
        <w:rPr>
          <w:spacing w:val="-1"/>
        </w:rPr>
        <w:t>业务收入百分比情况：</w:t>
      </w:r>
    </w:p>
    <w:p>
      <w:pPr>
        <w:spacing w:line="80" w:lineRule="exact"/>
        <w:rPr/>
      </w:pPr>
      <w:r/>
    </w:p>
    <w:tbl>
      <w:tblPr>
        <w:tblStyle w:val="TableNormal"/>
        <w:tblW w:w="8432" w:type="dxa"/>
        <w:tblInd w:w="412"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075"/>
        <w:gridCol w:w="1312"/>
        <w:gridCol w:w="1467"/>
        <w:gridCol w:w="1210"/>
        <w:gridCol w:w="1368"/>
      </w:tblGrid>
      <w:tr>
        <w:trPr>
          <w:trHeight w:val="329" w:hRule="atLeast"/>
        </w:trPr>
        <w:tc>
          <w:tcPr>
            <w:tcW w:w="3075" w:type="dxa"/>
            <w:vAlign w:val="top"/>
            <w:vMerge w:val="restart"/>
            <w:tcBorders>
              <w:bottom w:val="nil"/>
              <w:right w:val="single" w:color="000000" w:sz="2" w:space="0"/>
              <w:top w:val="single" w:color="000000" w:sz="2" w:space="0"/>
            </w:tcBorders>
          </w:tcPr>
          <w:p>
            <w:pPr>
              <w:spacing w:line="467" w:lineRule="auto"/>
              <w:rPr>
                <w:rFonts w:ascii="Arial"/>
                <w:sz w:val="21"/>
              </w:rPr>
            </w:pPr>
            <w:r/>
          </w:p>
          <w:p>
            <w:pPr>
              <w:pStyle w:val="TableText"/>
              <w:ind w:left="508"/>
              <w:spacing w:before="68" w:line="220" w:lineRule="auto"/>
              <w:rPr/>
            </w:pPr>
            <w:r>
              <w:rPr>
                <w:spacing w:val="-2"/>
              </w:rPr>
              <w:t>（单位：人民币亿元）</w:t>
            </w:r>
          </w:p>
        </w:tc>
        <w:tc>
          <w:tcPr>
            <w:tcW w:w="2779" w:type="dxa"/>
            <w:vAlign w:val="top"/>
            <w:gridSpan w:val="2"/>
            <w:tcBorders>
              <w:left w:val="single" w:color="000000" w:sz="2" w:space="0"/>
              <w:bottom w:val="single" w:color="000000" w:sz="2" w:space="0"/>
              <w:right w:val="single" w:color="000000" w:sz="2" w:space="0"/>
              <w:top w:val="single" w:color="000000" w:sz="2" w:space="0"/>
            </w:tcBorders>
          </w:tcPr>
          <w:p>
            <w:pPr>
              <w:pStyle w:val="TableText"/>
              <w:ind w:left="1056"/>
              <w:spacing w:before="63" w:line="221" w:lineRule="auto"/>
              <w:rPr/>
            </w:pPr>
            <w:r>
              <w:rPr>
                <w:spacing w:val="-2"/>
              </w:rPr>
              <w:t>2020</w:t>
            </w:r>
            <w:r>
              <w:rPr>
                <w:spacing w:val="-45"/>
              </w:rPr>
              <w:t xml:space="preserve"> </w:t>
            </w:r>
            <w:r>
              <w:rPr>
                <w:spacing w:val="-2"/>
              </w:rPr>
              <w:t>年</w:t>
            </w:r>
          </w:p>
        </w:tc>
        <w:tc>
          <w:tcPr>
            <w:tcW w:w="2578" w:type="dxa"/>
            <w:vAlign w:val="top"/>
            <w:gridSpan w:val="2"/>
            <w:tcBorders>
              <w:left w:val="single" w:color="000000" w:sz="2" w:space="0"/>
              <w:bottom w:val="single" w:color="000000" w:sz="2" w:space="0"/>
              <w:top w:val="single" w:color="000000" w:sz="2" w:space="0"/>
            </w:tcBorders>
          </w:tcPr>
          <w:p>
            <w:pPr>
              <w:pStyle w:val="TableText"/>
              <w:ind w:left="956"/>
              <w:spacing w:before="63" w:line="221" w:lineRule="auto"/>
              <w:rPr/>
            </w:pPr>
            <w:r>
              <w:rPr>
                <w:spacing w:val="-2"/>
              </w:rPr>
              <w:t>2019</w:t>
            </w:r>
            <w:r>
              <w:rPr>
                <w:spacing w:val="-45"/>
              </w:rPr>
              <w:t xml:space="preserve"> </w:t>
            </w:r>
            <w:r>
              <w:rPr>
                <w:spacing w:val="-2"/>
              </w:rPr>
              <w:t>年</w:t>
            </w:r>
          </w:p>
        </w:tc>
      </w:tr>
      <w:tr>
        <w:trPr>
          <w:trHeight w:val="940" w:hRule="atLeast"/>
        </w:trPr>
        <w:tc>
          <w:tcPr>
            <w:tcW w:w="3075" w:type="dxa"/>
            <w:vAlign w:val="top"/>
            <w:vMerge w:val="continue"/>
            <w:tcBorders>
              <w:bottom w:val="single" w:color="000000" w:sz="2" w:space="0"/>
              <w:right w:val="single" w:color="000000" w:sz="2" w:space="0"/>
              <w:top w:val="nil"/>
            </w:tcBorders>
          </w:tcPr>
          <w:p>
            <w:pPr>
              <w:rPr>
                <w:rFonts w:ascii="Arial"/>
                <w:sz w:val="21"/>
              </w:rPr>
            </w:pPr>
            <w:r/>
          </w:p>
        </w:tc>
        <w:tc>
          <w:tcPr>
            <w:tcW w:w="1312" w:type="dxa"/>
            <w:vAlign w:val="top"/>
            <w:tcBorders>
              <w:left w:val="single" w:color="000000" w:sz="2" w:space="0"/>
              <w:bottom w:val="single" w:color="000000" w:sz="2" w:space="0"/>
              <w:top w:val="single" w:color="000000" w:sz="2" w:space="0"/>
            </w:tcBorders>
          </w:tcPr>
          <w:p>
            <w:pPr>
              <w:spacing w:line="297" w:lineRule="auto"/>
              <w:rPr>
                <w:rFonts w:ascii="Arial"/>
                <w:sz w:val="21"/>
              </w:rPr>
            </w:pPr>
            <w:r/>
          </w:p>
          <w:p>
            <w:pPr>
              <w:pStyle w:val="TableText"/>
              <w:ind w:left="263"/>
              <w:spacing w:before="68" w:line="221" w:lineRule="auto"/>
              <w:rPr/>
            </w:pPr>
            <w:r>
              <w:rPr>
                <w:spacing w:val="-4"/>
              </w:rPr>
              <w:t>累计完成</w:t>
            </w:r>
          </w:p>
        </w:tc>
        <w:tc>
          <w:tcPr>
            <w:tcW w:w="1467" w:type="dxa"/>
            <w:vAlign w:val="top"/>
            <w:tcBorders>
              <w:bottom w:val="single" w:color="000000" w:sz="2" w:space="0"/>
              <w:right w:val="single" w:color="000000" w:sz="2" w:space="0"/>
              <w:top w:val="single" w:color="000000" w:sz="2" w:space="0"/>
            </w:tcBorders>
          </w:tcPr>
          <w:p>
            <w:pPr>
              <w:pStyle w:val="TableText"/>
              <w:ind w:left="230"/>
              <w:spacing w:before="56" w:line="221" w:lineRule="auto"/>
              <w:rPr/>
            </w:pPr>
            <w:r>
              <w:rPr>
                <w:spacing w:val="-1"/>
              </w:rPr>
              <w:t>所占主营业</w:t>
            </w:r>
          </w:p>
          <w:p>
            <w:pPr>
              <w:pStyle w:val="TableText"/>
              <w:ind w:left="231"/>
              <w:spacing w:before="59" w:line="221" w:lineRule="auto"/>
              <w:rPr/>
            </w:pPr>
            <w:r>
              <w:rPr>
                <w:spacing w:val="-2"/>
              </w:rPr>
              <w:t>务收入百分</w:t>
            </w:r>
          </w:p>
          <w:p>
            <w:pPr>
              <w:pStyle w:val="TableText"/>
              <w:ind w:left="673"/>
              <w:spacing w:before="60" w:line="220" w:lineRule="auto"/>
              <w:rPr/>
            </w:pPr>
            <w:r>
              <w:rPr/>
              <w:t>比</w:t>
            </w:r>
          </w:p>
        </w:tc>
        <w:tc>
          <w:tcPr>
            <w:tcW w:w="1210" w:type="dxa"/>
            <w:vAlign w:val="top"/>
            <w:tcBorders>
              <w:left w:val="single" w:color="000000" w:sz="2" w:space="0"/>
              <w:bottom w:val="single" w:color="000000" w:sz="2" w:space="0"/>
              <w:top w:val="single" w:color="000000" w:sz="2" w:space="0"/>
            </w:tcBorders>
          </w:tcPr>
          <w:p>
            <w:pPr>
              <w:spacing w:line="297" w:lineRule="auto"/>
              <w:rPr>
                <w:rFonts w:ascii="Arial"/>
                <w:sz w:val="21"/>
              </w:rPr>
            </w:pPr>
            <w:r/>
          </w:p>
          <w:p>
            <w:pPr>
              <w:pStyle w:val="TableText"/>
              <w:ind w:left="213"/>
              <w:spacing w:before="68" w:line="221" w:lineRule="auto"/>
              <w:rPr/>
            </w:pPr>
            <w:r>
              <w:rPr>
                <w:spacing w:val="-4"/>
              </w:rPr>
              <w:t>累计完成</w:t>
            </w:r>
          </w:p>
        </w:tc>
        <w:tc>
          <w:tcPr>
            <w:tcW w:w="1368" w:type="dxa"/>
            <w:vAlign w:val="top"/>
            <w:tcBorders>
              <w:bottom w:val="single" w:color="000000" w:sz="2" w:space="0"/>
              <w:top w:val="single" w:color="000000" w:sz="2" w:space="0"/>
            </w:tcBorders>
          </w:tcPr>
          <w:p>
            <w:pPr>
              <w:pStyle w:val="TableText"/>
              <w:ind w:left="179"/>
              <w:spacing w:before="56" w:line="221" w:lineRule="auto"/>
              <w:rPr/>
            </w:pPr>
            <w:r>
              <w:rPr>
                <w:spacing w:val="-1"/>
              </w:rPr>
              <w:t>所占主营业</w:t>
            </w:r>
          </w:p>
          <w:p>
            <w:pPr>
              <w:pStyle w:val="TableText"/>
              <w:ind w:left="181"/>
              <w:spacing w:before="59" w:line="221" w:lineRule="auto"/>
              <w:rPr/>
            </w:pPr>
            <w:r>
              <w:rPr>
                <w:spacing w:val="-2"/>
              </w:rPr>
              <w:t>务收入百分</w:t>
            </w:r>
          </w:p>
          <w:p>
            <w:pPr>
              <w:pStyle w:val="TableText"/>
              <w:ind w:left="622"/>
              <w:spacing w:before="60" w:line="220" w:lineRule="auto"/>
              <w:rPr/>
            </w:pPr>
            <w:r>
              <w:rPr/>
              <w:t>比</w:t>
            </w:r>
          </w:p>
        </w:tc>
      </w:tr>
      <w:tr>
        <w:trPr>
          <w:trHeight w:val="319" w:hRule="atLeast"/>
        </w:trPr>
        <w:tc>
          <w:tcPr>
            <w:tcW w:w="3075" w:type="dxa"/>
            <w:vAlign w:val="top"/>
            <w:tcBorders>
              <w:right w:val="single" w:color="000000" w:sz="2" w:space="0"/>
              <w:top w:val="single" w:color="FFFFFF" w:sz="2" w:space="0"/>
            </w:tcBorders>
          </w:tcPr>
          <w:p>
            <w:pPr>
              <w:pStyle w:val="TableText"/>
              <w:ind w:left="132"/>
              <w:spacing w:before="58" w:line="220" w:lineRule="auto"/>
              <w:rPr/>
            </w:pPr>
            <w:r>
              <w:rPr>
                <w:b/>
                <w:bCs/>
                <w:spacing w:val="-3"/>
              </w:rPr>
              <w:t>主营业务收入</w:t>
            </w:r>
          </w:p>
        </w:tc>
        <w:tc>
          <w:tcPr>
            <w:tcW w:w="1312" w:type="dxa"/>
            <w:vAlign w:val="top"/>
            <w:tcBorders>
              <w:left w:val="single" w:color="000000" w:sz="2" w:space="0"/>
              <w:top w:val="single" w:color="000000" w:sz="2" w:space="0"/>
            </w:tcBorders>
          </w:tcPr>
          <w:p>
            <w:pPr>
              <w:ind w:left="354"/>
              <w:spacing w:before="92" w:line="20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2,758.1</w:t>
            </w:r>
          </w:p>
        </w:tc>
        <w:tc>
          <w:tcPr>
            <w:tcW w:w="1467" w:type="dxa"/>
            <w:vAlign w:val="top"/>
            <w:tcBorders>
              <w:right w:val="single" w:color="000000" w:sz="2" w:space="0"/>
              <w:top w:val="single" w:color="000000" w:sz="2" w:space="0"/>
            </w:tcBorders>
          </w:tcPr>
          <w:p>
            <w:pPr>
              <w:ind w:left="395"/>
              <w:spacing w:before="95"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100.00%</w:t>
            </w:r>
          </w:p>
        </w:tc>
        <w:tc>
          <w:tcPr>
            <w:tcW w:w="1210" w:type="dxa"/>
            <w:vAlign w:val="top"/>
            <w:tcBorders>
              <w:left w:val="single" w:color="000000" w:sz="2" w:space="0"/>
              <w:top w:val="single" w:color="000000" w:sz="2" w:space="0"/>
            </w:tcBorders>
          </w:tcPr>
          <w:p>
            <w:pPr>
              <w:ind w:left="304"/>
              <w:spacing w:before="92" w:line="20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2,643.9</w:t>
            </w:r>
          </w:p>
        </w:tc>
        <w:tc>
          <w:tcPr>
            <w:tcW w:w="1368" w:type="dxa"/>
            <w:vAlign w:val="top"/>
            <w:tcBorders>
              <w:top w:val="single" w:color="000000" w:sz="2" w:space="0"/>
            </w:tcBorders>
          </w:tcPr>
          <w:p>
            <w:pPr>
              <w:ind w:left="344"/>
              <w:spacing w:before="95"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100.00%</w:t>
            </w:r>
          </w:p>
        </w:tc>
      </w:tr>
      <w:tr>
        <w:trPr>
          <w:trHeight w:val="307" w:hRule="atLeast"/>
        </w:trPr>
        <w:tc>
          <w:tcPr>
            <w:tcW w:w="3075" w:type="dxa"/>
            <w:vAlign w:val="top"/>
            <w:tcBorders>
              <w:right w:val="single" w:color="000000" w:sz="2" w:space="0"/>
            </w:tcBorders>
          </w:tcPr>
          <w:p>
            <w:pPr>
              <w:pStyle w:val="TableText"/>
              <w:ind w:left="342"/>
              <w:spacing w:before="52" w:line="215" w:lineRule="auto"/>
              <w:rPr/>
            </w:pPr>
            <w:r>
              <w:rPr>
                <w:b/>
                <w:bCs/>
                <w:spacing w:val="-3"/>
              </w:rPr>
              <w:t>其中：语音业务</w:t>
            </w:r>
          </w:p>
        </w:tc>
        <w:tc>
          <w:tcPr>
            <w:tcW w:w="1312" w:type="dxa"/>
            <w:vAlign w:val="top"/>
            <w:tcBorders>
              <w:left w:val="single" w:color="000000" w:sz="2" w:space="0"/>
            </w:tcBorders>
          </w:tcPr>
          <w:p>
            <w:pPr>
              <w:ind w:left="438"/>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354.9</w:t>
            </w:r>
          </w:p>
        </w:tc>
        <w:tc>
          <w:tcPr>
            <w:tcW w:w="1467" w:type="dxa"/>
            <w:vAlign w:val="top"/>
            <w:tcBorders>
              <w:right w:val="single" w:color="000000" w:sz="2" w:space="0"/>
            </w:tcBorders>
          </w:tcPr>
          <w:p>
            <w:pPr>
              <w:ind w:left="448"/>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12.87%</w:t>
            </w:r>
          </w:p>
        </w:tc>
        <w:tc>
          <w:tcPr>
            <w:tcW w:w="1210" w:type="dxa"/>
            <w:vAlign w:val="top"/>
            <w:tcBorders>
              <w:left w:val="single" w:color="000000" w:sz="2" w:space="0"/>
            </w:tcBorders>
          </w:tcPr>
          <w:p>
            <w:pPr>
              <w:ind w:left="388"/>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394.8</w:t>
            </w:r>
          </w:p>
        </w:tc>
        <w:tc>
          <w:tcPr>
            <w:tcW w:w="1368" w:type="dxa"/>
            <w:vAlign w:val="top"/>
          </w:tcPr>
          <w:p>
            <w:pPr>
              <w:ind w:left="397"/>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14.93%</w:t>
            </w:r>
          </w:p>
        </w:tc>
      </w:tr>
      <w:tr>
        <w:trPr>
          <w:trHeight w:val="327" w:hRule="atLeast"/>
        </w:trPr>
        <w:tc>
          <w:tcPr>
            <w:tcW w:w="3075" w:type="dxa"/>
            <w:vAlign w:val="top"/>
            <w:tcBorders>
              <w:bottom w:val="single" w:color="000000" w:sz="2" w:space="0"/>
              <w:right w:val="single" w:color="000000" w:sz="2" w:space="0"/>
            </w:tcBorders>
          </w:tcPr>
          <w:p>
            <w:pPr>
              <w:pStyle w:val="TableText"/>
              <w:ind w:left="976"/>
              <w:spacing w:before="56" w:line="221" w:lineRule="auto"/>
              <w:rPr/>
            </w:pPr>
            <w:r>
              <w:rPr>
                <w:b/>
                <w:bCs/>
                <w:spacing w:val="-4"/>
              </w:rPr>
              <w:t>非语音业务</w:t>
            </w:r>
          </w:p>
        </w:tc>
        <w:tc>
          <w:tcPr>
            <w:tcW w:w="1312" w:type="dxa"/>
            <w:vAlign w:val="top"/>
            <w:tcBorders>
              <w:left w:val="single" w:color="000000" w:sz="2" w:space="0"/>
              <w:bottom w:val="single" w:color="000000" w:sz="2" w:space="0"/>
            </w:tcBorders>
          </w:tcPr>
          <w:p>
            <w:pPr>
              <w:ind w:left="354"/>
              <w:spacing w:before="90" w:line="20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2,403.2</w:t>
            </w:r>
          </w:p>
        </w:tc>
        <w:tc>
          <w:tcPr>
            <w:tcW w:w="1467" w:type="dxa"/>
            <w:vAlign w:val="top"/>
            <w:tcBorders>
              <w:bottom w:val="single" w:color="000000" w:sz="2" w:space="0"/>
              <w:right w:val="single" w:color="000000" w:sz="2" w:space="0"/>
            </w:tcBorders>
          </w:tcPr>
          <w:p>
            <w:pPr>
              <w:ind w:left="436"/>
              <w:spacing w:before="93"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87.13%</w:t>
            </w:r>
          </w:p>
        </w:tc>
        <w:tc>
          <w:tcPr>
            <w:tcW w:w="1210" w:type="dxa"/>
            <w:vAlign w:val="top"/>
            <w:tcBorders>
              <w:left w:val="single" w:color="000000" w:sz="2" w:space="0"/>
              <w:bottom w:val="single" w:color="000000" w:sz="2" w:space="0"/>
            </w:tcBorders>
          </w:tcPr>
          <w:p>
            <w:pPr>
              <w:ind w:left="304"/>
              <w:spacing w:before="90" w:line="20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2,249.1</w:t>
            </w:r>
          </w:p>
        </w:tc>
        <w:tc>
          <w:tcPr>
            <w:tcW w:w="1368" w:type="dxa"/>
            <w:vAlign w:val="top"/>
            <w:tcBorders>
              <w:bottom w:val="single" w:color="000000" w:sz="2" w:space="0"/>
            </w:tcBorders>
          </w:tcPr>
          <w:p>
            <w:pPr>
              <w:ind w:left="385"/>
              <w:spacing w:before="93"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85.07%</w:t>
            </w:r>
          </w:p>
        </w:tc>
      </w:tr>
    </w:tbl>
    <w:p>
      <w:pPr>
        <w:pStyle w:val="BodyText"/>
        <w:ind w:left="477"/>
        <w:spacing w:before="262" w:line="221" w:lineRule="auto"/>
        <w:rPr/>
      </w:pPr>
      <w:r>
        <w:rPr>
          <w:b/>
          <w:bCs/>
          <w:spacing w:val="-7"/>
        </w:rPr>
        <w:t>1）语音业务</w:t>
      </w:r>
    </w:p>
    <w:p>
      <w:pPr>
        <w:spacing w:line="221" w:lineRule="auto"/>
        <w:sectPr>
          <w:headerReference w:type="default" r:id="rId29"/>
          <w:footerReference w:type="default" r:id="rId30"/>
          <w:pgSz w:w="11907" w:h="16839"/>
          <w:pgMar w:top="1377" w:right="1243" w:bottom="1374" w:left="1390" w:header="837" w:footer="1212" w:gutter="0"/>
        </w:sectPr>
        <w:rPr/>
      </w:pPr>
    </w:p>
    <w:p>
      <w:pPr>
        <w:pStyle w:val="BodyText"/>
        <w:ind w:left="411"/>
        <w:spacing w:before="258" w:line="220" w:lineRule="auto"/>
        <w:rPr/>
      </w:pPr>
      <w:r>
        <w:rPr>
          <w:spacing w:val="-2"/>
        </w:rPr>
        <w:t>2020</w:t>
      </w:r>
      <w:r>
        <w:rPr>
          <w:spacing w:val="-35"/>
        </w:rPr>
        <w:t xml:space="preserve"> </w:t>
      </w:r>
      <w:r>
        <w:rPr>
          <w:spacing w:val="-2"/>
        </w:rPr>
        <w:t>年公司语音业务收入实现人民币</w:t>
      </w:r>
      <w:r>
        <w:rPr>
          <w:spacing w:val="-39"/>
        </w:rPr>
        <w:t xml:space="preserve"> </w:t>
      </w:r>
      <w:r>
        <w:rPr>
          <w:spacing w:val="-2"/>
        </w:rPr>
        <w:t>354.9</w:t>
      </w:r>
      <w:r>
        <w:rPr>
          <w:spacing w:val="-44"/>
        </w:rPr>
        <w:t xml:space="preserve"> </w:t>
      </w:r>
      <w:r>
        <w:rPr>
          <w:spacing w:val="-2"/>
        </w:rPr>
        <w:t>亿元，同比下降</w:t>
      </w:r>
      <w:r>
        <w:rPr>
          <w:spacing w:val="-28"/>
        </w:rPr>
        <w:t xml:space="preserve"> </w:t>
      </w:r>
      <w:r>
        <w:rPr>
          <w:spacing w:val="-2"/>
        </w:rPr>
        <w:t>10.1%。</w:t>
      </w:r>
    </w:p>
    <w:p>
      <w:pPr>
        <w:pStyle w:val="BodyText"/>
        <w:ind w:left="464"/>
        <w:spacing w:before="265" w:line="221" w:lineRule="auto"/>
        <w:rPr/>
      </w:pPr>
      <w:r>
        <w:rPr>
          <w:b/>
          <w:bCs/>
          <w:spacing w:val="-4"/>
        </w:rPr>
        <w:t>2）非语音业务</w:t>
      </w:r>
    </w:p>
    <w:p>
      <w:pPr>
        <w:pStyle w:val="BodyText"/>
        <w:ind w:left="411"/>
        <w:spacing w:before="264" w:line="218" w:lineRule="auto"/>
        <w:rPr/>
      </w:pPr>
      <w:r>
        <w:rPr>
          <w:spacing w:val="-1"/>
        </w:rPr>
        <w:t>2020</w:t>
      </w:r>
      <w:r>
        <w:rPr>
          <w:spacing w:val="-46"/>
        </w:rPr>
        <w:t xml:space="preserve"> </w:t>
      </w:r>
      <w:r>
        <w:rPr>
          <w:spacing w:val="-1"/>
        </w:rPr>
        <w:t>年公司非语音业务收入实现人民币</w:t>
      </w:r>
      <w:r>
        <w:rPr>
          <w:spacing w:val="-41"/>
        </w:rPr>
        <w:t xml:space="preserve"> </w:t>
      </w:r>
      <w:r>
        <w:rPr>
          <w:spacing w:val="-1"/>
        </w:rPr>
        <w:t>2,403.2</w:t>
      </w:r>
      <w:r>
        <w:rPr>
          <w:spacing w:val="-43"/>
        </w:rPr>
        <w:t xml:space="preserve"> </w:t>
      </w:r>
      <w:r>
        <w:rPr>
          <w:spacing w:val="-1"/>
        </w:rPr>
        <w:t>亿元，同</w:t>
      </w:r>
      <w:r>
        <w:rPr>
          <w:spacing w:val="-2"/>
        </w:rPr>
        <w:t>比增长</w:t>
      </w:r>
      <w:r>
        <w:rPr>
          <w:spacing w:val="-42"/>
        </w:rPr>
        <w:t xml:space="preserve"> </w:t>
      </w:r>
      <w:r>
        <w:rPr>
          <w:spacing w:val="-2"/>
        </w:rPr>
        <w:t>6.9%。</w:t>
      </w:r>
    </w:p>
    <w:p>
      <w:pPr>
        <w:pStyle w:val="BodyText"/>
        <w:ind w:left="466"/>
        <w:spacing w:before="268" w:line="220" w:lineRule="auto"/>
        <w:rPr/>
      </w:pPr>
      <w:r>
        <w:rPr>
          <w:b/>
          <w:bCs/>
          <w:spacing w:val="-4"/>
        </w:rPr>
        <w:t>3.成本费用</w:t>
      </w:r>
    </w:p>
    <w:p>
      <w:pPr>
        <w:pStyle w:val="BodyText"/>
        <w:ind w:left="411"/>
        <w:spacing w:before="265" w:line="218" w:lineRule="auto"/>
        <w:rPr/>
      </w:pPr>
      <w:r>
        <w:rPr>
          <w:spacing w:val="-1"/>
        </w:rPr>
        <w:t>2020</w:t>
      </w:r>
      <w:r>
        <w:rPr>
          <w:spacing w:val="-46"/>
        </w:rPr>
        <w:t xml:space="preserve"> </w:t>
      </w:r>
      <w:r>
        <w:rPr>
          <w:spacing w:val="-1"/>
        </w:rPr>
        <w:t>年公司成本费用合计为人民币</w:t>
      </w:r>
      <w:r>
        <w:rPr>
          <w:spacing w:val="-41"/>
        </w:rPr>
        <w:t xml:space="preserve"> </w:t>
      </w:r>
      <w:r>
        <w:rPr>
          <w:spacing w:val="-1"/>
        </w:rPr>
        <w:t>2,839.5</w:t>
      </w:r>
      <w:r>
        <w:rPr>
          <w:spacing w:val="-44"/>
        </w:rPr>
        <w:t xml:space="preserve"> </w:t>
      </w:r>
      <w:r>
        <w:rPr>
          <w:spacing w:val="-1"/>
        </w:rPr>
        <w:t>亿元，同比</w:t>
      </w:r>
      <w:r>
        <w:rPr>
          <w:spacing w:val="-2"/>
        </w:rPr>
        <w:t>增长</w:t>
      </w:r>
      <w:r>
        <w:rPr>
          <w:spacing w:val="-44"/>
        </w:rPr>
        <w:t xml:space="preserve"> </w:t>
      </w:r>
      <w:r>
        <w:rPr>
          <w:spacing w:val="-2"/>
        </w:rPr>
        <w:t>4.0%。</w:t>
      </w:r>
    </w:p>
    <w:p>
      <w:pPr>
        <w:pStyle w:val="BodyText"/>
        <w:ind w:left="415"/>
        <w:spacing w:before="268" w:line="220" w:lineRule="auto"/>
        <w:rPr/>
      </w:pPr>
      <w:r>
        <w:rPr>
          <w:spacing w:val="-2"/>
        </w:rPr>
        <w:t>下表列出了</w:t>
      </w:r>
      <w:r>
        <w:rPr>
          <w:spacing w:val="-27"/>
        </w:rPr>
        <w:t xml:space="preserve"> </w:t>
      </w:r>
      <w:r>
        <w:rPr>
          <w:spacing w:val="-2"/>
        </w:rPr>
        <w:t>2020</w:t>
      </w:r>
      <w:r>
        <w:rPr>
          <w:spacing w:val="-43"/>
        </w:rPr>
        <w:t xml:space="preserve"> </w:t>
      </w:r>
      <w:r>
        <w:rPr>
          <w:spacing w:val="-2"/>
        </w:rPr>
        <w:t>年和</w:t>
      </w:r>
      <w:r>
        <w:rPr>
          <w:spacing w:val="-41"/>
        </w:rPr>
        <w:t xml:space="preserve"> </w:t>
      </w:r>
      <w:r>
        <w:rPr>
          <w:spacing w:val="-2"/>
        </w:rPr>
        <w:t>2019</w:t>
      </w:r>
      <w:r>
        <w:rPr>
          <w:spacing w:val="-44"/>
        </w:rPr>
        <w:t xml:space="preserve"> </w:t>
      </w:r>
      <w:r>
        <w:rPr>
          <w:spacing w:val="-2"/>
        </w:rPr>
        <w:t>年公司成本费用项目以及每个项目所占营业收入的百分比变化情况：</w:t>
      </w:r>
    </w:p>
    <w:p>
      <w:pPr>
        <w:spacing w:line="160" w:lineRule="exact"/>
        <w:rPr/>
      </w:pPr>
      <w:r/>
    </w:p>
    <w:tbl>
      <w:tblPr>
        <w:tblStyle w:val="TableNormal"/>
        <w:tblW w:w="8226" w:type="dxa"/>
        <w:tblInd w:w="51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394"/>
        <w:gridCol w:w="1206"/>
        <w:gridCol w:w="1208"/>
        <w:gridCol w:w="1207"/>
        <w:gridCol w:w="1211"/>
      </w:tblGrid>
      <w:tr>
        <w:trPr>
          <w:trHeight w:val="611" w:hRule="atLeast"/>
        </w:trPr>
        <w:tc>
          <w:tcPr>
            <w:tcW w:w="3394" w:type="dxa"/>
            <w:vAlign w:val="top"/>
            <w:vMerge w:val="restart"/>
            <w:tcBorders>
              <w:bottom w:val="nil"/>
              <w:right w:val="single" w:color="000000" w:sz="2" w:space="0"/>
              <w:top w:val="single" w:color="000000" w:sz="2" w:space="0"/>
            </w:tcBorders>
          </w:tcPr>
          <w:p>
            <w:pPr>
              <w:spacing w:line="303" w:lineRule="auto"/>
              <w:rPr>
                <w:rFonts w:ascii="Arial"/>
                <w:sz w:val="21"/>
              </w:rPr>
            </w:pPr>
            <w:r/>
          </w:p>
          <w:p>
            <w:pPr>
              <w:spacing w:line="303" w:lineRule="auto"/>
              <w:rPr>
                <w:rFonts w:ascii="Arial"/>
                <w:sz w:val="21"/>
              </w:rPr>
            </w:pPr>
            <w:r/>
          </w:p>
          <w:p>
            <w:pPr>
              <w:pStyle w:val="TableText"/>
              <w:ind w:left="667"/>
              <w:spacing w:before="68" w:line="220" w:lineRule="auto"/>
              <w:rPr/>
            </w:pPr>
            <w:r>
              <w:rPr>
                <w:spacing w:val="-2"/>
              </w:rPr>
              <w:t>（单位：人民币亿元）</w:t>
            </w:r>
          </w:p>
        </w:tc>
        <w:tc>
          <w:tcPr>
            <w:tcW w:w="2414" w:type="dxa"/>
            <w:vAlign w:val="top"/>
            <w:gridSpan w:val="2"/>
            <w:tcBorders>
              <w:left w:val="single" w:color="000000" w:sz="2" w:space="0"/>
              <w:right w:val="single" w:color="000000" w:sz="2" w:space="0"/>
              <w:top w:val="single" w:color="000000" w:sz="2" w:space="0"/>
              <w:bottom w:val="single" w:color="000000" w:sz="6" w:space="0"/>
            </w:tcBorders>
          </w:tcPr>
          <w:p>
            <w:pPr>
              <w:pStyle w:val="TableText"/>
              <w:ind w:left="874"/>
              <w:spacing w:before="199" w:line="221" w:lineRule="auto"/>
              <w:rPr/>
            </w:pPr>
            <w:r>
              <w:rPr>
                <w:spacing w:val="-2"/>
              </w:rPr>
              <w:t>2020</w:t>
            </w:r>
            <w:r>
              <w:rPr>
                <w:spacing w:val="-45"/>
              </w:rPr>
              <w:t xml:space="preserve"> </w:t>
            </w:r>
            <w:r>
              <w:rPr>
                <w:spacing w:val="-2"/>
              </w:rPr>
              <w:t>年</w:t>
            </w:r>
          </w:p>
        </w:tc>
        <w:tc>
          <w:tcPr>
            <w:tcW w:w="2418" w:type="dxa"/>
            <w:vAlign w:val="top"/>
            <w:gridSpan w:val="2"/>
            <w:tcBorders>
              <w:left w:val="single" w:color="000000" w:sz="2" w:space="0"/>
              <w:top w:val="single" w:color="000000" w:sz="2" w:space="0"/>
              <w:bottom w:val="single" w:color="000000" w:sz="6" w:space="0"/>
            </w:tcBorders>
          </w:tcPr>
          <w:p>
            <w:pPr>
              <w:pStyle w:val="TableText"/>
              <w:ind w:left="875"/>
              <w:spacing w:before="199" w:line="221" w:lineRule="auto"/>
              <w:rPr/>
            </w:pPr>
            <w:r>
              <w:rPr>
                <w:spacing w:val="-2"/>
              </w:rPr>
              <w:t>2019</w:t>
            </w:r>
            <w:r>
              <w:rPr>
                <w:spacing w:val="-45"/>
              </w:rPr>
              <w:t xml:space="preserve"> </w:t>
            </w:r>
            <w:r>
              <w:rPr>
                <w:spacing w:val="-2"/>
              </w:rPr>
              <w:t>年</w:t>
            </w:r>
          </w:p>
        </w:tc>
      </w:tr>
      <w:tr>
        <w:trPr>
          <w:trHeight w:val="935" w:hRule="atLeast"/>
        </w:trPr>
        <w:tc>
          <w:tcPr>
            <w:tcW w:w="3394" w:type="dxa"/>
            <w:vAlign w:val="top"/>
            <w:vMerge w:val="continue"/>
            <w:tcBorders>
              <w:bottom w:val="single" w:color="000000" w:sz="2" w:space="0"/>
              <w:right w:val="single" w:color="000000" w:sz="2" w:space="0"/>
              <w:top w:val="nil"/>
            </w:tcBorders>
          </w:tcPr>
          <w:p>
            <w:pPr>
              <w:rPr>
                <w:rFonts w:ascii="Arial"/>
                <w:sz w:val="21"/>
              </w:rPr>
            </w:pPr>
            <w:r/>
          </w:p>
        </w:tc>
        <w:tc>
          <w:tcPr>
            <w:tcW w:w="1206" w:type="dxa"/>
            <w:vAlign w:val="top"/>
            <w:tcBorders>
              <w:left w:val="single" w:color="000000" w:sz="2" w:space="0"/>
              <w:bottom w:val="single" w:color="000000" w:sz="2" w:space="0"/>
              <w:top w:val="single" w:color="000000" w:sz="6" w:space="0"/>
            </w:tcBorders>
          </w:tcPr>
          <w:p>
            <w:pPr>
              <w:spacing w:line="289" w:lineRule="auto"/>
              <w:rPr>
                <w:rFonts w:ascii="Arial"/>
                <w:sz w:val="21"/>
              </w:rPr>
            </w:pPr>
            <w:r/>
          </w:p>
          <w:p>
            <w:pPr>
              <w:pStyle w:val="TableText"/>
              <w:ind w:left="196"/>
              <w:spacing w:before="68" w:line="221" w:lineRule="auto"/>
              <w:rPr/>
            </w:pPr>
            <w:r>
              <w:rPr>
                <w:spacing w:val="-4"/>
              </w:rPr>
              <w:t>累计发生</w:t>
            </w:r>
          </w:p>
        </w:tc>
        <w:tc>
          <w:tcPr>
            <w:tcW w:w="1208" w:type="dxa"/>
            <w:vAlign w:val="top"/>
            <w:tcBorders>
              <w:bottom w:val="single" w:color="000000" w:sz="2" w:space="0"/>
              <w:right w:val="single" w:color="000000" w:sz="2" w:space="0"/>
              <w:top w:val="single" w:color="000000" w:sz="6" w:space="0"/>
            </w:tcBorders>
          </w:tcPr>
          <w:p>
            <w:pPr>
              <w:pStyle w:val="TableText"/>
              <w:ind w:left="192"/>
              <w:spacing w:before="47" w:line="221" w:lineRule="auto"/>
              <w:rPr/>
            </w:pPr>
            <w:r>
              <w:rPr>
                <w:spacing w:val="-2"/>
              </w:rPr>
              <w:t>所占营业</w:t>
            </w:r>
          </w:p>
          <w:p>
            <w:pPr>
              <w:pStyle w:val="TableText"/>
              <w:ind w:left="199"/>
              <w:spacing w:before="59" w:line="221" w:lineRule="auto"/>
              <w:rPr/>
            </w:pPr>
            <w:r>
              <w:rPr>
                <w:spacing w:val="-4"/>
              </w:rPr>
              <w:t>收入百分</w:t>
            </w:r>
          </w:p>
          <w:p>
            <w:pPr>
              <w:pStyle w:val="TableText"/>
              <w:ind w:left="529"/>
              <w:spacing w:before="61" w:line="223" w:lineRule="auto"/>
              <w:rPr/>
            </w:pPr>
            <w:r>
              <w:rPr/>
              <w:t>比</w:t>
            </w:r>
          </w:p>
        </w:tc>
        <w:tc>
          <w:tcPr>
            <w:tcW w:w="1207" w:type="dxa"/>
            <w:vAlign w:val="top"/>
            <w:tcBorders>
              <w:left w:val="single" w:color="000000" w:sz="2" w:space="0"/>
              <w:bottom w:val="single" w:color="000000" w:sz="2" w:space="0"/>
              <w:top w:val="single" w:color="000000" w:sz="6" w:space="0"/>
            </w:tcBorders>
          </w:tcPr>
          <w:p>
            <w:pPr>
              <w:spacing w:line="289" w:lineRule="auto"/>
              <w:rPr>
                <w:rFonts w:ascii="Arial"/>
                <w:sz w:val="21"/>
              </w:rPr>
            </w:pPr>
            <w:r/>
          </w:p>
          <w:p>
            <w:pPr>
              <w:pStyle w:val="TableText"/>
              <w:ind w:left="197"/>
              <w:spacing w:before="68" w:line="221" w:lineRule="auto"/>
              <w:rPr/>
            </w:pPr>
            <w:r>
              <w:rPr>
                <w:spacing w:val="-4"/>
              </w:rPr>
              <w:t>累计发生</w:t>
            </w:r>
          </w:p>
        </w:tc>
        <w:tc>
          <w:tcPr>
            <w:tcW w:w="1211" w:type="dxa"/>
            <w:vAlign w:val="top"/>
            <w:tcBorders>
              <w:bottom w:val="single" w:color="000000" w:sz="2" w:space="0"/>
              <w:top w:val="single" w:color="000000" w:sz="6" w:space="0"/>
            </w:tcBorders>
          </w:tcPr>
          <w:p>
            <w:pPr>
              <w:pStyle w:val="TableText"/>
              <w:ind w:left="192"/>
              <w:spacing w:before="47" w:line="221" w:lineRule="auto"/>
              <w:rPr/>
            </w:pPr>
            <w:r>
              <w:rPr>
                <w:spacing w:val="-2"/>
              </w:rPr>
              <w:t>所占营业</w:t>
            </w:r>
          </w:p>
          <w:p>
            <w:pPr>
              <w:pStyle w:val="TableText"/>
              <w:ind w:left="199"/>
              <w:spacing w:before="59" w:line="221" w:lineRule="auto"/>
              <w:rPr/>
            </w:pPr>
            <w:r>
              <w:rPr>
                <w:spacing w:val="-4"/>
              </w:rPr>
              <w:t>收入百分</w:t>
            </w:r>
          </w:p>
          <w:p>
            <w:pPr>
              <w:pStyle w:val="TableText"/>
              <w:ind w:left="529"/>
              <w:spacing w:before="61" w:line="223" w:lineRule="auto"/>
              <w:rPr/>
            </w:pPr>
            <w:r>
              <w:rPr/>
              <w:t>比</w:t>
            </w:r>
          </w:p>
        </w:tc>
      </w:tr>
      <w:tr>
        <w:trPr>
          <w:trHeight w:val="361" w:hRule="atLeast"/>
        </w:trPr>
        <w:tc>
          <w:tcPr>
            <w:tcW w:w="3394" w:type="dxa"/>
            <w:vAlign w:val="top"/>
            <w:tcBorders>
              <w:right w:val="single" w:color="000000" w:sz="2" w:space="0"/>
              <w:top w:val="single" w:color="FFFFFF" w:sz="2" w:space="0"/>
            </w:tcBorders>
          </w:tcPr>
          <w:p>
            <w:pPr>
              <w:pStyle w:val="TableText"/>
              <w:ind w:left="132"/>
              <w:spacing w:before="86" w:line="220" w:lineRule="auto"/>
              <w:rPr/>
            </w:pPr>
            <w:r>
              <w:rPr>
                <w:b/>
                <w:bCs/>
                <w:spacing w:val="-3"/>
              </w:rPr>
              <w:t>成本费用合计</w:t>
            </w:r>
          </w:p>
        </w:tc>
        <w:tc>
          <w:tcPr>
            <w:tcW w:w="1206" w:type="dxa"/>
            <w:vAlign w:val="top"/>
            <w:tcBorders>
              <w:left w:val="single" w:color="000000" w:sz="2" w:space="0"/>
              <w:top w:val="single" w:color="000000" w:sz="2" w:space="0"/>
            </w:tcBorders>
          </w:tcPr>
          <w:p>
            <w:pPr>
              <w:ind w:left="290"/>
              <w:spacing w:before="102" w:line="20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2,839.5</w:t>
            </w:r>
          </w:p>
        </w:tc>
        <w:tc>
          <w:tcPr>
            <w:tcW w:w="1208" w:type="dxa"/>
            <w:vAlign w:val="top"/>
            <w:tcBorders>
              <w:right w:val="single" w:color="000000" w:sz="2" w:space="0"/>
              <w:top w:val="single" w:color="000000" w:sz="2" w:space="0"/>
            </w:tcBorders>
          </w:tcPr>
          <w:p>
            <w:pPr>
              <w:ind w:left="288"/>
              <w:spacing w:before="105"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93.45%</w:t>
            </w:r>
          </w:p>
        </w:tc>
        <w:tc>
          <w:tcPr>
            <w:tcW w:w="1207" w:type="dxa"/>
            <w:vAlign w:val="top"/>
            <w:tcBorders>
              <w:left w:val="single" w:color="000000" w:sz="2" w:space="0"/>
              <w:top w:val="single" w:color="000000" w:sz="2" w:space="0"/>
            </w:tcBorders>
          </w:tcPr>
          <w:p>
            <w:pPr>
              <w:ind w:left="290"/>
              <w:spacing w:before="102" w:line="20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2,730.8</w:t>
            </w:r>
          </w:p>
        </w:tc>
        <w:tc>
          <w:tcPr>
            <w:tcW w:w="1211" w:type="dxa"/>
            <w:vAlign w:val="top"/>
            <w:tcBorders>
              <w:top w:val="single" w:color="000000" w:sz="2" w:space="0"/>
            </w:tcBorders>
          </w:tcPr>
          <w:p>
            <w:pPr>
              <w:ind w:left="288"/>
              <w:spacing w:before="105"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94.00%</w:t>
            </w:r>
          </w:p>
        </w:tc>
      </w:tr>
      <w:tr>
        <w:trPr>
          <w:trHeight w:val="345" w:hRule="atLeast"/>
        </w:trPr>
        <w:tc>
          <w:tcPr>
            <w:tcW w:w="3394" w:type="dxa"/>
            <w:vAlign w:val="top"/>
            <w:tcBorders>
              <w:right w:val="single" w:color="000000" w:sz="2" w:space="0"/>
            </w:tcBorders>
          </w:tcPr>
          <w:p>
            <w:pPr>
              <w:pStyle w:val="TableText"/>
              <w:ind w:left="131"/>
              <w:spacing w:before="71" w:line="220" w:lineRule="auto"/>
              <w:rPr/>
            </w:pPr>
            <w:r>
              <w:rPr>
                <w:spacing w:val="-1"/>
              </w:rPr>
              <w:t>其中：网间结算成本</w:t>
            </w:r>
          </w:p>
        </w:tc>
        <w:tc>
          <w:tcPr>
            <w:tcW w:w="1206" w:type="dxa"/>
            <w:vAlign w:val="top"/>
            <w:tcBorders>
              <w:left w:val="single" w:color="000000" w:sz="2" w:space="0"/>
            </w:tcBorders>
          </w:tcPr>
          <w:p>
            <w:pPr>
              <w:ind w:left="389"/>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105.7</w:t>
            </w:r>
          </w:p>
        </w:tc>
        <w:tc>
          <w:tcPr>
            <w:tcW w:w="1208" w:type="dxa"/>
            <w:vAlign w:val="top"/>
            <w:tcBorders>
              <w:right w:val="single" w:color="000000" w:sz="2" w:space="0"/>
            </w:tcBorders>
          </w:tcPr>
          <w:p>
            <w:pPr>
              <w:ind w:left="341"/>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3.48%</w:t>
            </w:r>
          </w:p>
        </w:tc>
        <w:tc>
          <w:tcPr>
            <w:tcW w:w="1207" w:type="dxa"/>
            <w:vAlign w:val="top"/>
            <w:tcBorders>
              <w:left w:val="single" w:color="000000" w:sz="2" w:space="0"/>
            </w:tcBorders>
          </w:tcPr>
          <w:p>
            <w:pPr>
              <w:ind w:left="390"/>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115.1</w:t>
            </w:r>
          </w:p>
        </w:tc>
        <w:tc>
          <w:tcPr>
            <w:tcW w:w="1211" w:type="dxa"/>
            <w:vAlign w:val="top"/>
          </w:tcPr>
          <w:p>
            <w:pPr>
              <w:ind w:left="341"/>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3.96%</w:t>
            </w:r>
          </w:p>
        </w:tc>
      </w:tr>
      <w:tr>
        <w:trPr>
          <w:trHeight w:val="344" w:hRule="atLeast"/>
        </w:trPr>
        <w:tc>
          <w:tcPr>
            <w:tcW w:w="3394" w:type="dxa"/>
            <w:vAlign w:val="top"/>
            <w:tcBorders>
              <w:right w:val="single" w:color="000000" w:sz="2" w:space="0"/>
            </w:tcBorders>
          </w:tcPr>
          <w:p>
            <w:pPr>
              <w:pStyle w:val="TableText"/>
              <w:ind w:left="763"/>
              <w:spacing w:before="68" w:line="221" w:lineRule="auto"/>
              <w:rPr/>
            </w:pPr>
            <w:r>
              <w:rPr>
                <w:spacing w:val="-4"/>
              </w:rPr>
              <w:t>折旧及摊销（注</w:t>
            </w:r>
            <w:r>
              <w:rPr>
                <w:spacing w:val="-25"/>
              </w:rPr>
              <w:t xml:space="preserve"> </w:t>
            </w:r>
            <w:r>
              <w:rPr>
                <w:spacing w:val="-4"/>
              </w:rPr>
              <w:t>1）</w:t>
            </w:r>
          </w:p>
        </w:tc>
        <w:tc>
          <w:tcPr>
            <w:tcW w:w="1206" w:type="dxa"/>
            <w:vAlign w:val="top"/>
            <w:tcBorders>
              <w:left w:val="single" w:color="000000" w:sz="2" w:space="0"/>
            </w:tcBorders>
          </w:tcPr>
          <w:p>
            <w:pPr>
              <w:ind w:left="377"/>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830.3</w:t>
            </w:r>
          </w:p>
        </w:tc>
        <w:tc>
          <w:tcPr>
            <w:tcW w:w="1208" w:type="dxa"/>
            <w:vAlign w:val="top"/>
            <w:tcBorders>
              <w:right w:val="single" w:color="000000" w:sz="2" w:space="0"/>
            </w:tcBorders>
          </w:tcPr>
          <w:p>
            <w:pPr>
              <w:ind w:left="284"/>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27.33%</w:t>
            </w:r>
          </w:p>
        </w:tc>
        <w:tc>
          <w:tcPr>
            <w:tcW w:w="1207" w:type="dxa"/>
            <w:vAlign w:val="top"/>
            <w:tcBorders>
              <w:left w:val="single" w:color="000000" w:sz="2" w:space="0"/>
            </w:tcBorders>
          </w:tcPr>
          <w:p>
            <w:pPr>
              <w:ind w:left="378"/>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836.1</w:t>
            </w:r>
          </w:p>
        </w:tc>
        <w:tc>
          <w:tcPr>
            <w:tcW w:w="1211" w:type="dxa"/>
            <w:vAlign w:val="top"/>
          </w:tcPr>
          <w:p>
            <w:pPr>
              <w:ind w:left="284"/>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28.78%</w:t>
            </w:r>
          </w:p>
        </w:tc>
      </w:tr>
      <w:tr>
        <w:trPr>
          <w:trHeight w:val="346" w:hRule="atLeast"/>
        </w:trPr>
        <w:tc>
          <w:tcPr>
            <w:tcW w:w="3394" w:type="dxa"/>
            <w:vAlign w:val="top"/>
            <w:tcBorders>
              <w:right w:val="single" w:color="000000" w:sz="2" w:space="0"/>
            </w:tcBorders>
          </w:tcPr>
          <w:p>
            <w:pPr>
              <w:pStyle w:val="TableText"/>
              <w:ind w:left="778"/>
              <w:spacing w:before="70" w:line="220" w:lineRule="auto"/>
              <w:rPr/>
            </w:pPr>
            <w:r>
              <w:rPr>
                <w:spacing w:val="-3"/>
              </w:rPr>
              <w:t>网络运行及支撑成本</w:t>
            </w:r>
          </w:p>
        </w:tc>
        <w:tc>
          <w:tcPr>
            <w:tcW w:w="1206" w:type="dxa"/>
            <w:vAlign w:val="top"/>
            <w:tcBorders>
              <w:left w:val="single" w:color="000000" w:sz="2" w:space="0"/>
            </w:tcBorders>
          </w:tcPr>
          <w:p>
            <w:pPr>
              <w:ind w:left="368"/>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462.9</w:t>
            </w:r>
          </w:p>
        </w:tc>
        <w:tc>
          <w:tcPr>
            <w:tcW w:w="1208" w:type="dxa"/>
            <w:vAlign w:val="top"/>
            <w:tcBorders>
              <w:right w:val="single" w:color="000000" w:sz="2" w:space="0"/>
            </w:tcBorders>
          </w:tcPr>
          <w:p>
            <w:pPr>
              <w:ind w:left="304"/>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15.23%</w:t>
            </w:r>
          </w:p>
        </w:tc>
        <w:tc>
          <w:tcPr>
            <w:tcW w:w="1207" w:type="dxa"/>
            <w:vAlign w:val="top"/>
            <w:tcBorders>
              <w:left w:val="single" w:color="000000" w:sz="2" w:space="0"/>
            </w:tcBorders>
          </w:tcPr>
          <w:p>
            <w:pPr>
              <w:ind w:left="368"/>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432.4</w:t>
            </w:r>
          </w:p>
        </w:tc>
        <w:tc>
          <w:tcPr>
            <w:tcW w:w="1211" w:type="dxa"/>
            <w:vAlign w:val="top"/>
          </w:tcPr>
          <w:p>
            <w:pPr>
              <w:ind w:left="304"/>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14.88%</w:t>
            </w:r>
          </w:p>
        </w:tc>
      </w:tr>
      <w:tr>
        <w:trPr>
          <w:trHeight w:val="345" w:hRule="atLeast"/>
        </w:trPr>
        <w:tc>
          <w:tcPr>
            <w:tcW w:w="3394" w:type="dxa"/>
            <w:vAlign w:val="top"/>
            <w:tcBorders>
              <w:right w:val="single" w:color="000000" w:sz="2" w:space="0"/>
            </w:tcBorders>
          </w:tcPr>
          <w:p>
            <w:pPr>
              <w:pStyle w:val="TableText"/>
              <w:ind w:left="763"/>
              <w:spacing w:before="70" w:line="220" w:lineRule="auto"/>
              <w:rPr/>
            </w:pPr>
            <w:r>
              <w:rPr>
                <w:spacing w:val="-4"/>
              </w:rPr>
              <w:t>人工成本（注</w:t>
            </w:r>
            <w:r>
              <w:rPr>
                <w:spacing w:val="-28"/>
              </w:rPr>
              <w:t xml:space="preserve"> </w:t>
            </w:r>
            <w:r>
              <w:rPr>
                <w:spacing w:val="-4"/>
              </w:rPr>
              <w:t>1）</w:t>
            </w:r>
          </w:p>
        </w:tc>
        <w:tc>
          <w:tcPr>
            <w:tcW w:w="1206" w:type="dxa"/>
            <w:vAlign w:val="top"/>
            <w:tcBorders>
              <w:left w:val="single" w:color="000000" w:sz="2" w:space="0"/>
            </w:tcBorders>
          </w:tcPr>
          <w:p>
            <w:pPr>
              <w:ind w:left="374"/>
              <w:spacing w:before="89"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557.4</w:t>
            </w:r>
          </w:p>
        </w:tc>
        <w:tc>
          <w:tcPr>
            <w:tcW w:w="1208" w:type="dxa"/>
            <w:vAlign w:val="top"/>
            <w:tcBorders>
              <w:right w:val="single" w:color="000000" w:sz="2" w:space="0"/>
            </w:tcBorders>
          </w:tcPr>
          <w:p>
            <w:pPr>
              <w:ind w:left="304"/>
              <w:spacing w:before="89"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18.35%</w:t>
            </w:r>
          </w:p>
        </w:tc>
        <w:tc>
          <w:tcPr>
            <w:tcW w:w="1207" w:type="dxa"/>
            <w:vAlign w:val="top"/>
            <w:tcBorders>
              <w:left w:val="single" w:color="000000" w:sz="2" w:space="0"/>
            </w:tcBorders>
          </w:tcPr>
          <w:p>
            <w:pPr>
              <w:ind w:left="375"/>
              <w:spacing w:before="89"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505.2</w:t>
            </w:r>
          </w:p>
        </w:tc>
        <w:tc>
          <w:tcPr>
            <w:tcW w:w="1211" w:type="dxa"/>
            <w:vAlign w:val="top"/>
          </w:tcPr>
          <w:p>
            <w:pPr>
              <w:ind w:left="304"/>
              <w:spacing w:before="89"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17.39%</w:t>
            </w:r>
          </w:p>
        </w:tc>
      </w:tr>
      <w:tr>
        <w:trPr>
          <w:trHeight w:val="344" w:hRule="atLeast"/>
        </w:trPr>
        <w:tc>
          <w:tcPr>
            <w:tcW w:w="3394" w:type="dxa"/>
            <w:vAlign w:val="top"/>
            <w:tcBorders>
              <w:right w:val="single" w:color="000000" w:sz="2" w:space="0"/>
            </w:tcBorders>
          </w:tcPr>
          <w:p>
            <w:pPr>
              <w:pStyle w:val="TableText"/>
              <w:ind w:left="762"/>
              <w:spacing w:before="71" w:line="220" w:lineRule="auto"/>
              <w:rPr/>
            </w:pPr>
            <w:r>
              <w:rPr>
                <w:spacing w:val="-1"/>
              </w:rPr>
              <w:t>销售通信产品成本</w:t>
            </w:r>
          </w:p>
        </w:tc>
        <w:tc>
          <w:tcPr>
            <w:tcW w:w="1206" w:type="dxa"/>
            <w:vAlign w:val="top"/>
            <w:tcBorders>
              <w:left w:val="single" w:color="000000" w:sz="2" w:space="0"/>
            </w:tcBorders>
          </w:tcPr>
          <w:p>
            <w:pPr>
              <w:ind w:left="369"/>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268.6</w:t>
            </w:r>
          </w:p>
        </w:tc>
        <w:tc>
          <w:tcPr>
            <w:tcW w:w="1208" w:type="dxa"/>
            <w:vAlign w:val="top"/>
            <w:tcBorders>
              <w:right w:val="single" w:color="000000" w:sz="2" w:space="0"/>
            </w:tcBorders>
          </w:tcPr>
          <w:p>
            <w:pPr>
              <w:ind w:left="345"/>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8.84%</w:t>
            </w:r>
          </w:p>
        </w:tc>
        <w:tc>
          <w:tcPr>
            <w:tcW w:w="1207" w:type="dxa"/>
            <w:vAlign w:val="top"/>
            <w:tcBorders>
              <w:left w:val="single" w:color="000000" w:sz="2" w:space="0"/>
            </w:tcBorders>
          </w:tcPr>
          <w:p>
            <w:pPr>
              <w:ind w:left="370"/>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264.1</w:t>
            </w:r>
          </w:p>
        </w:tc>
        <w:tc>
          <w:tcPr>
            <w:tcW w:w="1211" w:type="dxa"/>
            <w:vAlign w:val="top"/>
          </w:tcPr>
          <w:p>
            <w:pPr>
              <w:ind w:left="341"/>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9.09%</w:t>
            </w:r>
          </w:p>
        </w:tc>
      </w:tr>
      <w:tr>
        <w:trPr>
          <w:trHeight w:val="326" w:hRule="atLeast"/>
        </w:trPr>
        <w:tc>
          <w:tcPr>
            <w:tcW w:w="3394" w:type="dxa"/>
            <w:vAlign w:val="top"/>
            <w:tcBorders>
              <w:right w:val="single" w:color="000000" w:sz="2" w:space="0"/>
            </w:tcBorders>
          </w:tcPr>
          <w:p>
            <w:pPr>
              <w:pStyle w:val="TableText"/>
              <w:ind w:left="762"/>
              <w:spacing w:before="70" w:line="216" w:lineRule="auto"/>
              <w:rPr/>
            </w:pPr>
            <w:r>
              <w:rPr>
                <w:spacing w:val="-2"/>
              </w:rPr>
              <w:t>销售费用</w:t>
            </w:r>
          </w:p>
        </w:tc>
        <w:tc>
          <w:tcPr>
            <w:tcW w:w="1206" w:type="dxa"/>
            <w:vAlign w:val="top"/>
            <w:tcBorders>
              <w:left w:val="single" w:color="000000" w:sz="2" w:space="0"/>
            </w:tcBorders>
          </w:tcPr>
          <w:p>
            <w:pPr>
              <w:ind w:left="373"/>
              <w:spacing w:before="89"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304.6</w:t>
            </w:r>
          </w:p>
        </w:tc>
        <w:tc>
          <w:tcPr>
            <w:tcW w:w="1208" w:type="dxa"/>
            <w:vAlign w:val="top"/>
            <w:tcBorders>
              <w:right w:val="single" w:color="000000" w:sz="2" w:space="0"/>
            </w:tcBorders>
          </w:tcPr>
          <w:p>
            <w:pPr>
              <w:ind w:left="304"/>
              <w:spacing w:before="89"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10.03%</w:t>
            </w:r>
          </w:p>
        </w:tc>
        <w:tc>
          <w:tcPr>
            <w:tcW w:w="1207" w:type="dxa"/>
            <w:vAlign w:val="top"/>
            <w:tcBorders>
              <w:left w:val="single" w:color="000000" w:sz="2" w:space="0"/>
            </w:tcBorders>
          </w:tcPr>
          <w:p>
            <w:pPr>
              <w:ind w:left="374"/>
              <w:spacing w:before="89"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335.4</w:t>
            </w:r>
          </w:p>
        </w:tc>
        <w:tc>
          <w:tcPr>
            <w:tcW w:w="1211" w:type="dxa"/>
            <w:vAlign w:val="top"/>
          </w:tcPr>
          <w:p>
            <w:pPr>
              <w:ind w:left="304"/>
              <w:spacing w:before="89"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11.55%</w:t>
            </w:r>
          </w:p>
        </w:tc>
      </w:tr>
      <w:tr>
        <w:trPr>
          <w:trHeight w:val="638" w:hRule="atLeast"/>
        </w:trPr>
        <w:tc>
          <w:tcPr>
            <w:tcW w:w="3394" w:type="dxa"/>
            <w:vAlign w:val="top"/>
            <w:tcBorders>
              <w:right w:val="single" w:color="000000" w:sz="2" w:space="0"/>
            </w:tcBorders>
          </w:tcPr>
          <w:p>
            <w:pPr>
              <w:pStyle w:val="TableText"/>
              <w:ind w:left="136" w:right="324" w:firstLine="625"/>
              <w:spacing w:before="56" w:line="251" w:lineRule="auto"/>
              <w:rPr/>
            </w:pPr>
            <w:r>
              <w:rPr>
                <w:spacing w:val="-1"/>
              </w:rPr>
              <w:t>其他营业成本及管理费用</w:t>
            </w:r>
            <w:r>
              <w:rPr>
                <w:spacing w:val="4"/>
              </w:rPr>
              <w:t xml:space="preserve"> </w:t>
            </w:r>
            <w:r>
              <w:rPr>
                <w:spacing w:val="10"/>
              </w:rPr>
              <w:t>（注2）</w:t>
            </w:r>
          </w:p>
        </w:tc>
        <w:tc>
          <w:tcPr>
            <w:tcW w:w="1206" w:type="dxa"/>
            <w:vAlign w:val="top"/>
            <w:tcBorders>
              <w:left w:val="single" w:color="000000" w:sz="2" w:space="0"/>
            </w:tcBorders>
          </w:tcPr>
          <w:p>
            <w:pPr>
              <w:ind w:left="373"/>
              <w:spacing w:before="24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307.7</w:t>
            </w:r>
          </w:p>
        </w:tc>
        <w:tc>
          <w:tcPr>
            <w:tcW w:w="1208" w:type="dxa"/>
            <w:vAlign w:val="top"/>
            <w:tcBorders>
              <w:right w:val="single" w:color="000000" w:sz="2" w:space="0"/>
            </w:tcBorders>
          </w:tcPr>
          <w:p>
            <w:pPr>
              <w:ind w:left="304"/>
              <w:spacing w:before="24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10.12%</w:t>
            </w:r>
          </w:p>
        </w:tc>
        <w:tc>
          <w:tcPr>
            <w:tcW w:w="1207" w:type="dxa"/>
            <w:vAlign w:val="top"/>
            <w:tcBorders>
              <w:left w:val="single" w:color="000000" w:sz="2" w:space="0"/>
            </w:tcBorders>
          </w:tcPr>
          <w:p>
            <w:pPr>
              <w:ind w:left="370"/>
              <w:spacing w:before="24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235.3</w:t>
            </w:r>
          </w:p>
        </w:tc>
        <w:tc>
          <w:tcPr>
            <w:tcW w:w="1211" w:type="dxa"/>
            <w:vAlign w:val="top"/>
          </w:tcPr>
          <w:p>
            <w:pPr>
              <w:ind w:left="345"/>
              <w:spacing w:before="24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8.10%</w:t>
            </w:r>
          </w:p>
        </w:tc>
      </w:tr>
      <w:tr>
        <w:trPr>
          <w:trHeight w:val="346" w:hRule="atLeast"/>
        </w:trPr>
        <w:tc>
          <w:tcPr>
            <w:tcW w:w="3394" w:type="dxa"/>
            <w:vAlign w:val="top"/>
            <w:tcBorders>
              <w:bottom w:val="single" w:color="000000" w:sz="2" w:space="0"/>
              <w:right w:val="single" w:color="000000" w:sz="2" w:space="0"/>
            </w:tcBorders>
          </w:tcPr>
          <w:p>
            <w:pPr>
              <w:pStyle w:val="TableText"/>
              <w:ind w:left="762"/>
              <w:spacing w:before="75" w:line="221" w:lineRule="auto"/>
              <w:rPr/>
            </w:pPr>
            <w:r>
              <w:pict>
                <v:shape id="_x0000_s58" style="position:absolute;margin-left:-169.575pt;margin-top:16.8501pt;mso-position-vertical-relative:top-margin-area;mso-position-horizontal-relative:right-margin-area;width:169.5pt;height:0.25pt;z-index:251658240;" fillcolor="#000000" filled="true" stroked="false" coordsize="3390,5" coordorigin="0,0" path="m0,4l3389,4l3389,0l0,0l0,4xe"/>
              </w:pict>
            </w:r>
            <w:r>
              <w:rPr>
                <w:spacing w:val="-2"/>
              </w:rPr>
              <w:t>财务费用</w:t>
            </w:r>
          </w:p>
        </w:tc>
        <w:tc>
          <w:tcPr>
            <w:tcW w:w="1206" w:type="dxa"/>
            <w:vAlign w:val="top"/>
            <w:tcBorders>
              <w:left w:val="single" w:color="000000" w:sz="2" w:space="0"/>
              <w:bottom w:val="single" w:color="000000" w:sz="2" w:space="0"/>
            </w:tcBorders>
          </w:tcPr>
          <w:p>
            <w:pPr>
              <w:ind w:left="474"/>
              <w:spacing w:before="95" w:line="187" w:lineRule="auto"/>
              <w:rPr>
                <w:rFonts w:ascii="Times New Roman" w:hAnsi="Times New Roman" w:eastAsia="Times New Roman" w:cs="Times New Roman"/>
                <w:sz w:val="21"/>
                <w:szCs w:val="21"/>
              </w:rPr>
            </w:pPr>
            <w:r>
              <w:pict>
                <v:shape id="_x0000_s60" style="position:absolute;margin-left:-59.814pt;margin-top:16.8501pt;mso-position-vertical-relative:top-margin-area;mso-position-horizontal-relative:right-margin-area;width:59.95pt;height:0.25pt;z-index:251662336;" fillcolor="#000000" filled="true" stroked="false" coordsize="1199,5" coordorigin="0,0" path="m0,4l1198,4l1198,0l0,0l0,4xem1183,4l1198,4l1198,0l1183,0l1183,4xe"/>
              </w:pict>
            </w:r>
            <w:r>
              <w:rPr>
                <w:rFonts w:ascii="Times New Roman" w:hAnsi="Times New Roman" w:eastAsia="Times New Roman" w:cs="Times New Roman"/>
                <w:sz w:val="21"/>
                <w:szCs w:val="21"/>
                <w:spacing w:val="-1"/>
              </w:rPr>
              <w:t>2.3</w:t>
            </w:r>
          </w:p>
        </w:tc>
        <w:tc>
          <w:tcPr>
            <w:tcW w:w="1208" w:type="dxa"/>
            <w:vAlign w:val="top"/>
            <w:tcBorders>
              <w:bottom w:val="single" w:color="000000" w:sz="2" w:space="0"/>
              <w:right w:val="single" w:color="000000" w:sz="2" w:space="0"/>
            </w:tcBorders>
          </w:tcPr>
          <w:p>
            <w:pPr>
              <w:ind w:left="340"/>
              <w:spacing w:before="95" w:line="187" w:lineRule="auto"/>
              <w:rPr>
                <w:rFonts w:ascii="Times New Roman" w:hAnsi="Times New Roman" w:eastAsia="Times New Roman" w:cs="Times New Roman"/>
                <w:sz w:val="21"/>
                <w:szCs w:val="21"/>
              </w:rPr>
            </w:pPr>
            <w:r>
              <w:pict>
                <v:shape id="_x0000_s62" style="position:absolute;margin-left:-60.189pt;margin-top:16.8501pt;mso-position-vertical-relative:top-margin-area;mso-position-horizontal-relative:right-margin-area;width:60.15pt;height:0.25pt;z-index:251660288;" fillcolor="#000000" filled="true" stroked="false" coordsize="1203,5" coordorigin="0,0" path="m0,4l1202,4l1202,0l0,0l0,4xe"/>
              </w:pict>
            </w:r>
            <w:r>
              <w:rPr>
                <w:rFonts w:ascii="Times New Roman" w:hAnsi="Times New Roman" w:eastAsia="Times New Roman" w:cs="Times New Roman"/>
                <w:sz w:val="21"/>
                <w:szCs w:val="21"/>
                <w:spacing w:val="-1"/>
              </w:rPr>
              <w:t>0.07%</w:t>
            </w:r>
          </w:p>
        </w:tc>
        <w:tc>
          <w:tcPr>
            <w:tcW w:w="1207" w:type="dxa"/>
            <w:vAlign w:val="top"/>
            <w:tcBorders>
              <w:left w:val="single" w:color="000000" w:sz="2" w:space="0"/>
              <w:bottom w:val="single" w:color="000000" w:sz="2" w:space="0"/>
            </w:tcBorders>
          </w:tcPr>
          <w:p>
            <w:pPr>
              <w:ind w:left="479"/>
              <w:spacing w:before="95" w:line="187" w:lineRule="auto"/>
              <w:rPr>
                <w:rFonts w:ascii="Times New Roman" w:hAnsi="Times New Roman" w:eastAsia="Times New Roman" w:cs="Times New Roman"/>
                <w:sz w:val="21"/>
                <w:szCs w:val="21"/>
              </w:rPr>
            </w:pPr>
            <w:r>
              <w:pict>
                <v:shape id="_x0000_s64" style="position:absolute;margin-left:-59.824pt;margin-top:16.8501pt;mso-position-vertical-relative:top-margin-area;mso-position-horizontal-relative:right-margin-area;width:60.05pt;height:0.25pt;z-index:251661312;" fillcolor="#000000" filled="true" stroked="false" coordsize="1200,5" coordorigin="0,0" path="m0,4l1200,4l1200,0l0,0l0,4xem1186,4l1200,4l1200,0l1186,0l1186,4xe"/>
              </w:pict>
            </w:r>
            <w:r>
              <w:rPr>
                <w:rFonts w:ascii="Times New Roman" w:hAnsi="Times New Roman" w:eastAsia="Times New Roman" w:cs="Times New Roman"/>
                <w:sz w:val="21"/>
                <w:szCs w:val="21"/>
                <w:spacing w:val="-2"/>
              </w:rPr>
              <w:t>7.2</w:t>
            </w:r>
          </w:p>
        </w:tc>
        <w:tc>
          <w:tcPr>
            <w:tcW w:w="1211" w:type="dxa"/>
            <w:vAlign w:val="top"/>
            <w:tcBorders>
              <w:bottom w:val="single" w:color="000000" w:sz="2" w:space="0"/>
            </w:tcBorders>
          </w:tcPr>
          <w:p>
            <w:pPr>
              <w:ind w:left="340"/>
              <w:spacing w:before="95" w:line="187" w:lineRule="auto"/>
              <w:rPr>
                <w:rFonts w:ascii="Times New Roman" w:hAnsi="Times New Roman" w:eastAsia="Times New Roman" w:cs="Times New Roman"/>
                <w:sz w:val="21"/>
                <w:szCs w:val="21"/>
              </w:rPr>
            </w:pPr>
            <w:r>
              <w:pict>
                <v:shape id="_x0000_s66" style="position:absolute;margin-left:-60.344pt;margin-top:16.8501pt;mso-position-vertical-relative:top-margin-area;mso-position-horizontal-relative:right-margin-area;width:60.4pt;height:0.25pt;z-index:251659264;" fillcolor="#000000" filled="true" stroked="false" coordsize="1208,5" coordorigin="0,0" path="m0,4l1207,4l1207,0l0,0l0,4xe"/>
              </w:pict>
            </w:r>
            <w:r>
              <w:rPr>
                <w:rFonts w:ascii="Times New Roman" w:hAnsi="Times New Roman" w:eastAsia="Times New Roman" w:cs="Times New Roman"/>
                <w:sz w:val="21"/>
                <w:szCs w:val="21"/>
                <w:spacing w:val="-1"/>
              </w:rPr>
              <w:t>0.25%</w:t>
            </w:r>
          </w:p>
        </w:tc>
      </w:tr>
    </w:tbl>
    <w:p>
      <w:pPr>
        <w:pStyle w:val="BodyText"/>
        <w:ind w:left="44" w:right="2" w:firstLine="402"/>
        <w:spacing w:before="197" w:line="224" w:lineRule="auto"/>
        <w:rPr>
          <w:sz w:val="22"/>
          <w:szCs w:val="22"/>
        </w:rPr>
      </w:pPr>
      <w:r>
        <w:rPr>
          <w:sz w:val="22"/>
          <w:szCs w:val="22"/>
          <w:i/>
          <w:iCs/>
          <w:spacing w:val="-7"/>
        </w:rPr>
        <w:t>注1：上述“折旧及摊销”和“人工成本”为营业成本、管理费用和</w:t>
      </w:r>
      <w:r>
        <w:rPr>
          <w:sz w:val="22"/>
          <w:szCs w:val="22"/>
          <w:i/>
          <w:iCs/>
          <w:spacing w:val="-8"/>
        </w:rPr>
        <w:t>研发费用中相同性质的数据</w:t>
      </w:r>
      <w:r>
        <w:rPr>
          <w:sz w:val="22"/>
          <w:szCs w:val="22"/>
        </w:rPr>
        <w:t xml:space="preserve"> </w:t>
      </w:r>
      <w:r>
        <w:rPr>
          <w:sz w:val="22"/>
          <w:szCs w:val="22"/>
          <w:i/>
          <w:iCs/>
          <w:spacing w:val="4"/>
        </w:rPr>
        <w:t>的总额。</w:t>
      </w:r>
    </w:p>
    <w:p>
      <w:pPr>
        <w:pStyle w:val="BodyText"/>
        <w:ind w:left="27" w:firstLine="419"/>
        <w:spacing w:before="183" w:line="223" w:lineRule="auto"/>
        <w:rPr>
          <w:sz w:val="22"/>
          <w:szCs w:val="22"/>
        </w:rPr>
      </w:pPr>
      <w:r>
        <w:rPr>
          <w:sz w:val="22"/>
          <w:szCs w:val="22"/>
          <w:i/>
          <w:iCs/>
          <w:spacing w:val="-7"/>
        </w:rPr>
        <w:t>注2：上述“其他营业成本及管理费用”为营业成本、管理费用和研发费</w:t>
      </w:r>
      <w:r>
        <w:rPr>
          <w:sz w:val="22"/>
          <w:szCs w:val="22"/>
          <w:i/>
          <w:iCs/>
          <w:spacing w:val="-8"/>
        </w:rPr>
        <w:t>用合计扣除网间结算成</w:t>
      </w:r>
      <w:r>
        <w:rPr>
          <w:sz w:val="22"/>
          <w:szCs w:val="22"/>
        </w:rPr>
        <w:t xml:space="preserve"> </w:t>
      </w:r>
      <w:r>
        <w:rPr>
          <w:sz w:val="22"/>
          <w:szCs w:val="22"/>
          <w:i/>
          <w:iCs/>
          <w:spacing w:val="-8"/>
        </w:rPr>
        <w:t>本、折旧及摊销、网络运行及支撑成本、人工成本及销</w:t>
      </w:r>
      <w:r>
        <w:rPr>
          <w:sz w:val="22"/>
          <w:szCs w:val="22"/>
          <w:i/>
          <w:iCs/>
          <w:spacing w:val="-9"/>
        </w:rPr>
        <w:t>售通信产品成本后的数据。</w:t>
      </w:r>
    </w:p>
    <w:p>
      <w:pPr>
        <w:spacing w:line="335" w:lineRule="auto"/>
        <w:rPr>
          <w:rFonts w:ascii="Arial"/>
          <w:sz w:val="21"/>
        </w:rPr>
      </w:pPr>
      <w:r/>
    </w:p>
    <w:p>
      <w:pPr>
        <w:pStyle w:val="BodyText"/>
        <w:ind w:left="477"/>
        <w:spacing w:before="68" w:line="220" w:lineRule="auto"/>
        <w:rPr/>
      </w:pPr>
      <w:r>
        <w:rPr>
          <w:b/>
          <w:bCs/>
          <w:spacing w:val="-6"/>
        </w:rPr>
        <w:t>1）网间结算成本</w:t>
      </w:r>
    </w:p>
    <w:p>
      <w:pPr>
        <w:pStyle w:val="BodyText"/>
        <w:ind w:left="44" w:right="36" w:firstLine="367"/>
        <w:spacing w:before="265" w:line="304" w:lineRule="auto"/>
        <w:rPr/>
      </w:pPr>
      <w:r>
        <w:rPr>
          <w:spacing w:val="-3"/>
        </w:rPr>
        <w:t>2020</w:t>
      </w:r>
      <w:r>
        <w:rPr>
          <w:spacing w:val="-46"/>
        </w:rPr>
        <w:t xml:space="preserve"> </w:t>
      </w:r>
      <w:r>
        <w:rPr>
          <w:spacing w:val="-3"/>
        </w:rPr>
        <w:t>年公司受话务量下降影响，网间结算成本发生人民币</w:t>
      </w:r>
      <w:r>
        <w:rPr>
          <w:spacing w:val="-28"/>
        </w:rPr>
        <w:t xml:space="preserve"> </w:t>
      </w:r>
      <w:r>
        <w:rPr>
          <w:spacing w:val="-3"/>
        </w:rPr>
        <w:t>105.7</w:t>
      </w:r>
      <w:r>
        <w:rPr>
          <w:spacing w:val="-43"/>
        </w:rPr>
        <w:t xml:space="preserve"> </w:t>
      </w:r>
      <w:r>
        <w:rPr>
          <w:spacing w:val="-3"/>
        </w:rPr>
        <w:t>亿元，同比下降</w:t>
      </w:r>
      <w:r>
        <w:rPr>
          <w:spacing w:val="-43"/>
        </w:rPr>
        <w:t xml:space="preserve"> </w:t>
      </w:r>
      <w:r>
        <w:rPr>
          <w:spacing w:val="-3"/>
        </w:rPr>
        <w:t>8.2%</w:t>
      </w:r>
      <w:r>
        <w:rPr>
          <w:spacing w:val="-4"/>
        </w:rPr>
        <w:t>，所占营业</w:t>
      </w:r>
      <w:r>
        <w:rPr/>
        <w:t xml:space="preserve"> </w:t>
      </w:r>
      <w:r>
        <w:rPr>
          <w:spacing w:val="-2"/>
        </w:rPr>
        <w:t>收入的比重由上年的</w:t>
      </w:r>
      <w:r>
        <w:rPr>
          <w:spacing w:val="-34"/>
        </w:rPr>
        <w:t xml:space="preserve"> </w:t>
      </w:r>
      <w:r>
        <w:rPr>
          <w:spacing w:val="-2"/>
        </w:rPr>
        <w:t>3.96%下降至</w:t>
      </w:r>
      <w:r>
        <w:rPr>
          <w:spacing w:val="-40"/>
        </w:rPr>
        <w:t xml:space="preserve"> </w:t>
      </w:r>
      <w:r>
        <w:rPr>
          <w:spacing w:val="-2"/>
        </w:rPr>
        <w:t>3.48%。</w:t>
      </w:r>
    </w:p>
    <w:p>
      <w:pPr>
        <w:pStyle w:val="BodyText"/>
        <w:ind w:left="464"/>
        <w:spacing w:before="186" w:line="221" w:lineRule="auto"/>
        <w:rPr/>
      </w:pPr>
      <w:r>
        <w:rPr>
          <w:b/>
          <w:bCs/>
          <w:spacing w:val="-5"/>
        </w:rPr>
        <w:t>2）折旧及摊销</w:t>
      </w:r>
    </w:p>
    <w:p>
      <w:pPr>
        <w:pStyle w:val="BodyText"/>
        <w:ind w:left="54" w:right="35" w:firstLine="357"/>
        <w:spacing w:before="265" w:line="303" w:lineRule="auto"/>
        <w:rPr/>
      </w:pPr>
      <w:r>
        <w:rPr>
          <w:spacing w:val="-1"/>
        </w:rPr>
        <w:t>2020</w:t>
      </w:r>
      <w:r>
        <w:rPr>
          <w:spacing w:val="-46"/>
        </w:rPr>
        <w:t xml:space="preserve"> </w:t>
      </w:r>
      <w:r>
        <w:rPr>
          <w:spacing w:val="-1"/>
        </w:rPr>
        <w:t>年公司资产折旧及摊销发生人民币830.3</w:t>
      </w:r>
      <w:r>
        <w:rPr>
          <w:spacing w:val="-45"/>
        </w:rPr>
        <w:t xml:space="preserve"> </w:t>
      </w:r>
      <w:r>
        <w:rPr>
          <w:spacing w:val="-1"/>
        </w:rPr>
        <w:t>亿元</w:t>
      </w:r>
      <w:r>
        <w:rPr>
          <w:spacing w:val="-2"/>
        </w:rPr>
        <w:t>，同比降低</w:t>
      </w:r>
      <w:r>
        <w:rPr>
          <w:spacing w:val="-43"/>
        </w:rPr>
        <w:t xml:space="preserve"> </w:t>
      </w:r>
      <w:r>
        <w:rPr>
          <w:spacing w:val="-2"/>
        </w:rPr>
        <w:t>0.7%，所占营业收入的比重由上年</w:t>
      </w:r>
      <w:r>
        <w:rPr/>
        <w:t xml:space="preserve"> </w:t>
      </w:r>
      <w:r>
        <w:rPr>
          <w:spacing w:val="-3"/>
        </w:rPr>
        <w:t>的</w:t>
      </w:r>
      <w:r>
        <w:rPr>
          <w:spacing w:val="-37"/>
        </w:rPr>
        <w:t xml:space="preserve"> </w:t>
      </w:r>
      <w:r>
        <w:rPr>
          <w:spacing w:val="-3"/>
        </w:rPr>
        <w:t>28.78%下降至</w:t>
      </w:r>
      <w:r>
        <w:rPr>
          <w:spacing w:val="-41"/>
        </w:rPr>
        <w:t xml:space="preserve"> </w:t>
      </w:r>
      <w:r>
        <w:rPr>
          <w:spacing w:val="-3"/>
        </w:rPr>
        <w:t>27.33%。</w:t>
      </w:r>
    </w:p>
    <w:p>
      <w:pPr>
        <w:pStyle w:val="BodyText"/>
        <w:ind w:left="466"/>
        <w:spacing w:before="186" w:line="220" w:lineRule="auto"/>
        <w:rPr/>
      </w:pPr>
      <w:r>
        <w:rPr>
          <w:b/>
          <w:bCs/>
          <w:spacing w:val="-4"/>
        </w:rPr>
        <w:t>3）网络运行及支撑成本</w:t>
      </w:r>
    </w:p>
    <w:p>
      <w:pPr>
        <w:pStyle w:val="BodyText"/>
        <w:ind w:left="38" w:right="51" w:firstLine="372"/>
        <w:spacing w:before="265" w:line="303" w:lineRule="auto"/>
        <w:rPr/>
      </w:pPr>
      <w:r>
        <w:rPr>
          <w:spacing w:val="-2"/>
        </w:rPr>
        <w:t>2020</w:t>
      </w:r>
      <w:r>
        <w:rPr>
          <w:spacing w:val="-39"/>
        </w:rPr>
        <w:t xml:space="preserve"> </w:t>
      </w:r>
      <w:r>
        <w:rPr>
          <w:spacing w:val="-2"/>
        </w:rPr>
        <w:t>年公司网络运行及支撑成本发生人民币462.9</w:t>
      </w:r>
      <w:r>
        <w:rPr>
          <w:spacing w:val="-45"/>
        </w:rPr>
        <w:t xml:space="preserve"> </w:t>
      </w:r>
      <w:r>
        <w:rPr>
          <w:spacing w:val="-2"/>
        </w:rPr>
        <w:t>亿元，同比增长</w:t>
      </w:r>
      <w:r>
        <w:rPr>
          <w:spacing w:val="-39"/>
        </w:rPr>
        <w:t xml:space="preserve"> </w:t>
      </w:r>
      <w:r>
        <w:rPr>
          <w:spacing w:val="-2"/>
        </w:rPr>
        <w:t>7.1%，所占营业收入的比重由</w:t>
      </w:r>
      <w:r>
        <w:rPr/>
        <w:t xml:space="preserve"> </w:t>
      </w:r>
      <w:r>
        <w:rPr>
          <w:spacing w:val="-1"/>
        </w:rPr>
        <w:t>上年的</w:t>
      </w:r>
      <w:r>
        <w:rPr>
          <w:spacing w:val="-28"/>
        </w:rPr>
        <w:t xml:space="preserve"> </w:t>
      </w:r>
      <w:r>
        <w:rPr>
          <w:spacing w:val="-1"/>
        </w:rPr>
        <w:t>14.88%变化至</w:t>
      </w:r>
      <w:r>
        <w:rPr>
          <w:spacing w:val="-29"/>
        </w:rPr>
        <w:t xml:space="preserve"> </w:t>
      </w:r>
      <w:r>
        <w:rPr>
          <w:spacing w:val="-1"/>
        </w:rPr>
        <w:t>15.23%，主要由于铁塔使用费、能耗成本、房屋设</w:t>
      </w:r>
      <w:r>
        <w:rPr>
          <w:spacing w:val="-2"/>
        </w:rPr>
        <w:t>备租赁成本增加。</w:t>
      </w:r>
    </w:p>
    <w:p>
      <w:pPr>
        <w:spacing w:line="303" w:lineRule="auto"/>
        <w:sectPr>
          <w:headerReference w:type="default" r:id="rId31"/>
          <w:footerReference w:type="default" r:id="rId32"/>
          <w:pgSz w:w="11907" w:h="16839"/>
          <w:pgMar w:top="1377" w:right="1241" w:bottom="1374" w:left="1390" w:header="837" w:footer="1212" w:gutter="0"/>
        </w:sectPr>
        <w:rPr/>
      </w:pPr>
    </w:p>
    <w:p>
      <w:pPr>
        <w:pStyle w:val="BodyText"/>
        <w:ind w:left="460"/>
        <w:spacing w:before="258" w:line="220" w:lineRule="auto"/>
        <w:rPr/>
      </w:pPr>
      <w:r>
        <w:rPr>
          <w:b/>
          <w:bCs/>
          <w:spacing w:val="-4"/>
        </w:rPr>
        <w:t>4）人工成本</w:t>
      </w:r>
    </w:p>
    <w:p>
      <w:pPr>
        <w:pStyle w:val="BodyText"/>
        <w:ind w:left="37" w:right="23" w:firstLine="373"/>
        <w:spacing w:before="265" w:line="303" w:lineRule="auto"/>
        <w:rPr/>
      </w:pPr>
      <w:r>
        <w:rPr>
          <w:spacing w:val="-1"/>
        </w:rPr>
        <w:t>2020</w:t>
      </w:r>
      <w:r>
        <w:rPr>
          <w:spacing w:val="-20"/>
        </w:rPr>
        <w:t xml:space="preserve"> </w:t>
      </w:r>
      <w:r>
        <w:rPr>
          <w:spacing w:val="-1"/>
        </w:rPr>
        <w:t>年随着公司经营业绩上升，同时加大引入创新人才,人工成本发生人民币 557.4</w:t>
      </w:r>
      <w:r>
        <w:rPr>
          <w:spacing w:val="-22"/>
        </w:rPr>
        <w:t xml:space="preserve"> </w:t>
      </w:r>
      <w:r>
        <w:rPr>
          <w:spacing w:val="-1"/>
        </w:rPr>
        <w:t>亿元，同比</w:t>
      </w:r>
      <w:r>
        <w:rPr/>
        <w:t xml:space="preserve"> </w:t>
      </w:r>
      <w:r>
        <w:rPr>
          <w:spacing w:val="-2"/>
        </w:rPr>
        <w:t>增长</w:t>
      </w:r>
      <w:r>
        <w:rPr>
          <w:spacing w:val="-28"/>
        </w:rPr>
        <w:t xml:space="preserve"> </w:t>
      </w:r>
      <w:r>
        <w:rPr>
          <w:spacing w:val="-2"/>
        </w:rPr>
        <w:t>10.3%，所占营业收入的比重由上年的</w:t>
      </w:r>
      <w:r>
        <w:rPr>
          <w:spacing w:val="-28"/>
        </w:rPr>
        <w:t xml:space="preserve"> </w:t>
      </w:r>
      <w:r>
        <w:rPr>
          <w:spacing w:val="-2"/>
        </w:rPr>
        <w:t>17.39%变化至</w:t>
      </w:r>
      <w:r>
        <w:rPr>
          <w:spacing w:val="-28"/>
        </w:rPr>
        <w:t xml:space="preserve"> </w:t>
      </w:r>
      <w:r>
        <w:rPr>
          <w:spacing w:val="-2"/>
        </w:rPr>
        <w:t>1</w:t>
      </w:r>
      <w:r>
        <w:rPr>
          <w:spacing w:val="-3"/>
        </w:rPr>
        <w:t>8.35%。</w:t>
      </w:r>
    </w:p>
    <w:p>
      <w:pPr>
        <w:pStyle w:val="BodyText"/>
        <w:ind w:left="466"/>
        <w:spacing w:before="186" w:line="220" w:lineRule="auto"/>
        <w:rPr/>
      </w:pPr>
      <w:r>
        <w:rPr>
          <w:b/>
          <w:bCs/>
          <w:spacing w:val="-4"/>
        </w:rPr>
        <w:t>5）销售通信产品成本</w:t>
      </w:r>
    </w:p>
    <w:p>
      <w:pPr>
        <w:pStyle w:val="BodyText"/>
        <w:ind w:left="38" w:right="23" w:firstLine="372"/>
        <w:spacing w:before="265" w:line="303" w:lineRule="auto"/>
        <w:rPr/>
      </w:pPr>
      <w:r>
        <w:rPr>
          <w:spacing w:val="-2"/>
        </w:rPr>
        <w:t>2020</w:t>
      </w:r>
      <w:r>
        <w:rPr>
          <w:spacing w:val="-35"/>
        </w:rPr>
        <w:t xml:space="preserve"> </w:t>
      </w:r>
      <w:r>
        <w:rPr>
          <w:spacing w:val="-2"/>
        </w:rPr>
        <w:t>年公司销售通信产品成本发生人民币</w:t>
      </w:r>
      <w:r>
        <w:rPr>
          <w:spacing w:val="-41"/>
        </w:rPr>
        <w:t xml:space="preserve"> </w:t>
      </w:r>
      <w:r>
        <w:rPr>
          <w:spacing w:val="-2"/>
        </w:rPr>
        <w:t>268.6</w:t>
      </w:r>
      <w:r>
        <w:rPr>
          <w:spacing w:val="-43"/>
        </w:rPr>
        <w:t xml:space="preserve"> </w:t>
      </w:r>
      <w:r>
        <w:rPr>
          <w:spacing w:val="-2"/>
        </w:rPr>
        <w:t>亿元，同期销售通信产品收入为人民币</w:t>
      </w:r>
      <w:r>
        <w:rPr>
          <w:spacing w:val="-41"/>
        </w:rPr>
        <w:t xml:space="preserve"> </w:t>
      </w:r>
      <w:r>
        <w:rPr>
          <w:spacing w:val="-2"/>
        </w:rPr>
        <w:t>280.2</w:t>
      </w:r>
      <w:r>
        <w:rPr>
          <w:spacing w:val="-43"/>
        </w:rPr>
        <w:t xml:space="preserve"> </w:t>
      </w:r>
      <w:r>
        <w:rPr>
          <w:spacing w:val="-2"/>
        </w:rPr>
        <w:t>亿</w:t>
      </w:r>
      <w:r>
        <w:rPr/>
        <w:t xml:space="preserve"> </w:t>
      </w:r>
      <w:r>
        <w:rPr>
          <w:spacing w:val="-3"/>
        </w:rPr>
        <w:t>元，销售通信产品毛利为人民币</w:t>
      </w:r>
      <w:r>
        <w:rPr>
          <w:spacing w:val="-21"/>
        </w:rPr>
        <w:t xml:space="preserve"> </w:t>
      </w:r>
      <w:r>
        <w:rPr>
          <w:spacing w:val="-3"/>
        </w:rPr>
        <w:t>11.6</w:t>
      </w:r>
      <w:r>
        <w:rPr>
          <w:spacing w:val="-43"/>
        </w:rPr>
        <w:t xml:space="preserve"> </w:t>
      </w:r>
      <w:r>
        <w:rPr>
          <w:spacing w:val="-3"/>
        </w:rPr>
        <w:t>亿元。</w:t>
      </w:r>
    </w:p>
    <w:p>
      <w:pPr>
        <w:pStyle w:val="BodyText"/>
        <w:ind w:left="463"/>
        <w:spacing w:before="187" w:line="221" w:lineRule="auto"/>
        <w:rPr/>
      </w:pPr>
      <w:r>
        <w:rPr>
          <w:b/>
          <w:bCs/>
          <w:spacing w:val="-7"/>
        </w:rPr>
        <w:t>6）销售费用</w:t>
      </w:r>
    </w:p>
    <w:p>
      <w:pPr>
        <w:pStyle w:val="BodyText"/>
        <w:ind w:left="53" w:right="28" w:firstLine="358"/>
        <w:spacing w:before="264" w:line="304" w:lineRule="auto"/>
        <w:rPr/>
      </w:pPr>
      <w:r>
        <w:rPr/>
        <w:t>2020</w:t>
      </w:r>
      <w:r>
        <w:rPr>
          <w:spacing w:val="-46"/>
        </w:rPr>
        <w:t xml:space="preserve"> </w:t>
      </w:r>
      <w:r>
        <w:rPr/>
        <w:t>年随着公司推进数字化转型，创新线上商业模式，销售费用发生人民币304.6</w:t>
      </w:r>
      <w:r>
        <w:rPr>
          <w:spacing w:val="-45"/>
        </w:rPr>
        <w:t xml:space="preserve"> </w:t>
      </w:r>
      <w:r>
        <w:rPr/>
        <w:t>亿元，</w:t>
      </w:r>
      <w:r>
        <w:rPr>
          <w:spacing w:val="-1"/>
        </w:rPr>
        <w:t>同比下</w:t>
      </w:r>
      <w:r>
        <w:rPr/>
        <w:t xml:space="preserve"> </w:t>
      </w:r>
      <w:r>
        <w:rPr>
          <w:spacing w:val="-2"/>
        </w:rPr>
        <w:t>降</w:t>
      </w:r>
      <w:r>
        <w:rPr>
          <w:spacing w:val="-44"/>
        </w:rPr>
        <w:t xml:space="preserve"> </w:t>
      </w:r>
      <w:r>
        <w:rPr>
          <w:spacing w:val="-2"/>
        </w:rPr>
        <w:t>9.2%，所占营业收入的比重由上年的</w:t>
      </w:r>
      <w:r>
        <w:rPr>
          <w:spacing w:val="-28"/>
        </w:rPr>
        <w:t xml:space="preserve"> </w:t>
      </w:r>
      <w:r>
        <w:rPr>
          <w:spacing w:val="-2"/>
        </w:rPr>
        <w:t>11.5</w:t>
      </w:r>
      <w:r>
        <w:rPr>
          <w:spacing w:val="-3"/>
        </w:rPr>
        <w:t>5%下降至</w:t>
      </w:r>
      <w:r>
        <w:rPr>
          <w:spacing w:val="-28"/>
        </w:rPr>
        <w:t xml:space="preserve"> </w:t>
      </w:r>
      <w:r>
        <w:rPr>
          <w:spacing w:val="-3"/>
        </w:rPr>
        <w:t>10.03%。</w:t>
      </w:r>
    </w:p>
    <w:p>
      <w:pPr>
        <w:pStyle w:val="BodyText"/>
        <w:ind w:left="466"/>
        <w:spacing w:before="186" w:line="220" w:lineRule="auto"/>
        <w:rPr/>
      </w:pPr>
      <w:r>
        <w:rPr>
          <w:b/>
          <w:bCs/>
          <w:spacing w:val="-3"/>
        </w:rPr>
        <w:t>7）其他营业成本及管理费用</w:t>
      </w:r>
    </w:p>
    <w:p>
      <w:pPr>
        <w:pStyle w:val="BodyText"/>
        <w:ind w:left="36" w:right="23" w:firstLine="375"/>
        <w:spacing w:before="265" w:line="303" w:lineRule="auto"/>
        <w:rPr/>
      </w:pPr>
      <w:r>
        <w:rPr>
          <w:spacing w:val="-2"/>
        </w:rPr>
        <w:t>2020</w:t>
      </w:r>
      <w:r>
        <w:rPr>
          <w:spacing w:val="-15"/>
        </w:rPr>
        <w:t xml:space="preserve"> </w:t>
      </w:r>
      <w:r>
        <w:rPr>
          <w:spacing w:val="-2"/>
        </w:rPr>
        <w:t>年公司其他营业成本及管理费用发生人民币</w:t>
      </w:r>
      <w:r>
        <w:rPr>
          <w:spacing w:val="-25"/>
        </w:rPr>
        <w:t xml:space="preserve"> </w:t>
      </w:r>
      <w:r>
        <w:rPr>
          <w:spacing w:val="-2"/>
        </w:rPr>
        <w:t>307.7</w:t>
      </w:r>
      <w:r>
        <w:rPr>
          <w:spacing w:val="-29"/>
        </w:rPr>
        <w:t xml:space="preserve"> </w:t>
      </w:r>
      <w:r>
        <w:rPr>
          <w:spacing w:val="-2"/>
        </w:rPr>
        <w:t>亿元，同比增长</w:t>
      </w:r>
      <w:r>
        <w:rPr>
          <w:spacing w:val="-25"/>
        </w:rPr>
        <w:t xml:space="preserve"> </w:t>
      </w:r>
      <w:r>
        <w:rPr>
          <w:spacing w:val="-2"/>
        </w:rPr>
        <w:t>30.8%，主要是由于 ICT</w:t>
      </w:r>
      <w:r>
        <w:rPr/>
        <w:t xml:space="preserve"> </w:t>
      </w:r>
      <w:r>
        <w:rPr/>
        <w:t>业务快速增长导致相关服务成本增加，以及加大对创新业务技术支撑的投</w:t>
      </w:r>
      <w:r>
        <w:rPr>
          <w:spacing w:val="-1"/>
        </w:rPr>
        <w:t>入。</w:t>
      </w:r>
    </w:p>
    <w:p>
      <w:pPr>
        <w:pStyle w:val="BodyText"/>
        <w:ind w:left="462"/>
        <w:spacing w:before="187" w:line="221" w:lineRule="auto"/>
        <w:rPr/>
      </w:pPr>
      <w:r>
        <w:rPr>
          <w:b/>
          <w:bCs/>
          <w:spacing w:val="-7"/>
        </w:rPr>
        <w:t>8）财务费用</w:t>
      </w:r>
    </w:p>
    <w:p>
      <w:pPr>
        <w:pStyle w:val="BodyText"/>
        <w:ind w:left="47" w:right="26" w:firstLine="363"/>
        <w:spacing w:before="264" w:line="305" w:lineRule="auto"/>
        <w:rPr/>
      </w:pPr>
      <w:r>
        <w:rPr/>
        <w:t>2020</w:t>
      </w:r>
      <w:r>
        <w:rPr>
          <w:spacing w:val="-46"/>
        </w:rPr>
        <w:t xml:space="preserve"> </w:t>
      </w:r>
      <w:r>
        <w:rPr/>
        <w:t>年公司财务费用发生人民币</w:t>
      </w:r>
      <w:r>
        <w:rPr>
          <w:spacing w:val="-41"/>
        </w:rPr>
        <w:t xml:space="preserve"> </w:t>
      </w:r>
      <w:r>
        <w:rPr/>
        <w:t>2.3</w:t>
      </w:r>
      <w:r>
        <w:rPr>
          <w:spacing w:val="-46"/>
        </w:rPr>
        <w:t xml:space="preserve"> </w:t>
      </w:r>
      <w:r>
        <w:rPr/>
        <w:t>亿元，同比减</w:t>
      </w:r>
      <w:r>
        <w:rPr>
          <w:spacing w:val="-1"/>
        </w:rPr>
        <w:t>少人民币4.9</w:t>
      </w:r>
      <w:r>
        <w:rPr>
          <w:spacing w:val="-43"/>
        </w:rPr>
        <w:t xml:space="preserve"> </w:t>
      </w:r>
      <w:r>
        <w:rPr>
          <w:spacing w:val="-1"/>
        </w:rPr>
        <w:t>亿元，主要是带息债务下降的影</w:t>
      </w:r>
      <w:r>
        <w:rPr/>
        <w:t xml:space="preserve"> </w:t>
      </w:r>
      <w:r>
        <w:rPr>
          <w:spacing w:val="-12"/>
        </w:rPr>
        <w:t>响。</w:t>
      </w:r>
    </w:p>
    <w:p>
      <w:pPr>
        <w:pStyle w:val="BodyText"/>
        <w:ind w:left="460"/>
        <w:spacing w:before="182" w:line="221" w:lineRule="auto"/>
        <w:rPr/>
      </w:pPr>
      <w:r>
        <w:rPr>
          <w:b/>
          <w:bCs/>
          <w:spacing w:val="-4"/>
        </w:rPr>
        <w:t>4.</w:t>
      </w:r>
      <w:r>
        <w:rPr>
          <w:spacing w:val="9"/>
        </w:rPr>
        <w:t xml:space="preserve"> </w:t>
      </w:r>
      <w:r>
        <w:rPr>
          <w:b/>
          <w:bCs/>
          <w:spacing w:val="-4"/>
        </w:rPr>
        <w:t>盈利水平</w:t>
      </w:r>
    </w:p>
    <w:p>
      <w:pPr>
        <w:pStyle w:val="BodyText"/>
        <w:ind w:left="477"/>
        <w:spacing w:before="266" w:line="221" w:lineRule="auto"/>
        <w:rPr/>
      </w:pPr>
      <w:r>
        <w:rPr>
          <w:b/>
          <w:bCs/>
          <w:spacing w:val="-8"/>
        </w:rPr>
        <w:t>1）税前利润</w:t>
      </w:r>
    </w:p>
    <w:p>
      <w:pPr>
        <w:pStyle w:val="BodyText"/>
        <w:ind w:left="52" w:right="23" w:firstLine="358"/>
        <w:spacing w:before="264" w:line="303" w:lineRule="auto"/>
        <w:rPr/>
      </w:pPr>
      <w:r>
        <w:rPr/>
        <w:t>2020 年公司得益于发展质量和盈利能力持续提升，税前利润实现人民币 159.6 亿元，同比增长</w:t>
      </w:r>
      <w:r>
        <w:rPr>
          <w:spacing w:val="16"/>
        </w:rPr>
        <w:t xml:space="preserve"> </w:t>
      </w:r>
      <w:r>
        <w:rPr>
          <w:spacing w:val="-4"/>
        </w:rPr>
        <w:t>13.7%。</w:t>
      </w:r>
    </w:p>
    <w:p>
      <w:pPr>
        <w:pStyle w:val="BodyText"/>
        <w:ind w:left="464"/>
        <w:spacing w:before="187" w:line="221" w:lineRule="auto"/>
        <w:rPr/>
      </w:pPr>
      <w:r>
        <w:rPr>
          <w:b/>
          <w:bCs/>
          <w:spacing w:val="-5"/>
        </w:rPr>
        <w:t>2）所得税</w:t>
      </w:r>
    </w:p>
    <w:p>
      <w:pPr>
        <w:pStyle w:val="BodyText"/>
        <w:ind w:left="411"/>
        <w:spacing w:before="265" w:line="220" w:lineRule="auto"/>
        <w:rPr/>
      </w:pPr>
      <w:r>
        <w:rPr>
          <w:spacing w:val="-1"/>
        </w:rPr>
        <w:t>2020</w:t>
      </w:r>
      <w:r>
        <w:rPr>
          <w:spacing w:val="-45"/>
        </w:rPr>
        <w:t xml:space="preserve"> </w:t>
      </w:r>
      <w:r>
        <w:rPr>
          <w:spacing w:val="-1"/>
        </w:rPr>
        <w:t>年公司的所得税为人民币</w:t>
      </w:r>
      <w:r>
        <w:rPr>
          <w:spacing w:val="-40"/>
        </w:rPr>
        <w:t xml:space="preserve"> </w:t>
      </w:r>
      <w:r>
        <w:rPr>
          <w:spacing w:val="-1"/>
        </w:rPr>
        <w:t>34.3</w:t>
      </w:r>
      <w:r>
        <w:rPr>
          <w:spacing w:val="-45"/>
        </w:rPr>
        <w:t xml:space="preserve"> </w:t>
      </w:r>
      <w:r>
        <w:rPr>
          <w:spacing w:val="-1"/>
        </w:rPr>
        <w:t>亿元</w:t>
      </w:r>
      <w:r>
        <w:rPr>
          <w:spacing w:val="-2"/>
        </w:rPr>
        <w:t>，全年实际税率为</w:t>
      </w:r>
      <w:r>
        <w:rPr>
          <w:spacing w:val="-42"/>
        </w:rPr>
        <w:t xml:space="preserve"> </w:t>
      </w:r>
      <w:r>
        <w:rPr>
          <w:spacing w:val="-2"/>
        </w:rPr>
        <w:t>21.5%。</w:t>
      </w:r>
    </w:p>
    <w:p>
      <w:pPr>
        <w:pStyle w:val="BodyText"/>
        <w:ind w:left="466"/>
        <w:spacing w:before="265" w:line="221" w:lineRule="auto"/>
        <w:rPr/>
      </w:pPr>
      <w:r>
        <w:rPr>
          <w:b/>
          <w:bCs/>
          <w:spacing w:val="-6"/>
        </w:rPr>
        <w:t>3）年度盈利</w:t>
      </w:r>
    </w:p>
    <w:p>
      <w:pPr>
        <w:pStyle w:val="BodyText"/>
        <w:ind w:left="38" w:right="52" w:firstLine="372"/>
        <w:spacing w:before="265" w:line="304" w:lineRule="auto"/>
        <w:rPr/>
      </w:pPr>
      <w:r>
        <w:rPr>
          <w:spacing w:val="-3"/>
        </w:rPr>
        <w:t>2020</w:t>
      </w:r>
      <w:r>
        <w:rPr>
          <w:spacing w:val="-46"/>
        </w:rPr>
        <w:t xml:space="preserve"> </w:t>
      </w:r>
      <w:r>
        <w:rPr>
          <w:spacing w:val="-3"/>
        </w:rPr>
        <w:t>年公司归属于母公司净利润实现人民币</w:t>
      </w:r>
      <w:r>
        <w:rPr>
          <w:spacing w:val="-40"/>
        </w:rPr>
        <w:t xml:space="preserve"> </w:t>
      </w:r>
      <w:r>
        <w:rPr>
          <w:spacing w:val="-3"/>
        </w:rPr>
        <w:t>55.2</w:t>
      </w:r>
      <w:r>
        <w:rPr>
          <w:spacing w:val="-45"/>
        </w:rPr>
        <w:t xml:space="preserve"> </w:t>
      </w:r>
      <w:r>
        <w:rPr>
          <w:spacing w:val="-3"/>
        </w:rPr>
        <w:t>亿</w:t>
      </w:r>
      <w:r>
        <w:rPr>
          <w:spacing w:val="-4"/>
        </w:rPr>
        <w:t>元，同比增长</w:t>
      </w:r>
      <w:r>
        <w:rPr>
          <w:spacing w:val="-31"/>
        </w:rPr>
        <w:t xml:space="preserve"> </w:t>
      </w:r>
      <w:r>
        <w:rPr>
          <w:spacing w:val="-4"/>
        </w:rPr>
        <w:t>10.8%。每股基本盈利为人民币</w:t>
      </w:r>
      <w:r>
        <w:rPr/>
        <w:t xml:space="preserve"> </w:t>
      </w:r>
      <w:r>
        <w:rPr>
          <w:spacing w:val="-3"/>
        </w:rPr>
        <w:t>0.178</w:t>
      </w:r>
      <w:r>
        <w:rPr>
          <w:spacing w:val="-33"/>
        </w:rPr>
        <w:t xml:space="preserve"> </w:t>
      </w:r>
      <w:r>
        <w:rPr>
          <w:spacing w:val="-3"/>
        </w:rPr>
        <w:t>元，同比增长</w:t>
      </w:r>
      <w:r>
        <w:rPr>
          <w:spacing w:val="-31"/>
        </w:rPr>
        <w:t xml:space="preserve"> </w:t>
      </w:r>
      <w:r>
        <w:rPr>
          <w:spacing w:val="-3"/>
        </w:rPr>
        <w:t>10.6%。</w:t>
      </w:r>
    </w:p>
    <w:p>
      <w:pPr>
        <w:pStyle w:val="BodyText"/>
        <w:ind w:left="466"/>
        <w:spacing w:before="219" w:line="183" w:lineRule="auto"/>
        <w:rPr/>
      </w:pPr>
      <w:r>
        <w:rPr>
          <w:b/>
          <w:bCs/>
          <w:spacing w:val="-3"/>
        </w:rPr>
        <w:t>5.EBITDA</w:t>
      </w:r>
    </w:p>
    <w:p>
      <w:pPr>
        <w:pStyle w:val="BodyText"/>
        <w:ind w:left="41" w:right="24" w:firstLine="370"/>
        <w:spacing w:before="274" w:line="303" w:lineRule="auto"/>
        <w:rPr/>
      </w:pPr>
      <w:r>
        <w:rPr>
          <w:spacing w:val="-2"/>
        </w:rPr>
        <w:t>2020</w:t>
      </w:r>
      <w:r>
        <w:rPr>
          <w:spacing w:val="-19"/>
        </w:rPr>
        <w:t xml:space="preserve"> </w:t>
      </w:r>
      <w:r>
        <w:rPr>
          <w:spacing w:val="-2"/>
        </w:rPr>
        <w:t>年公司</w:t>
      </w:r>
      <w:r>
        <w:rPr>
          <w:spacing w:val="-22"/>
        </w:rPr>
        <w:t xml:space="preserve"> </w:t>
      </w:r>
      <w:r>
        <w:rPr>
          <w:spacing w:val="-2"/>
        </w:rPr>
        <w:t>EBITDA 为人民币 939.3</w:t>
      </w:r>
      <w:r>
        <w:rPr>
          <w:spacing w:val="-20"/>
        </w:rPr>
        <w:t xml:space="preserve"> </w:t>
      </w:r>
      <w:r>
        <w:rPr>
          <w:spacing w:val="-2"/>
        </w:rPr>
        <w:t>亿元，同比降低 0.</w:t>
      </w:r>
      <w:r>
        <w:rPr>
          <w:spacing w:val="-3"/>
        </w:rPr>
        <w:t>8%，EBITDA 占主营业务收入的百分比为</w:t>
      </w:r>
      <w:r>
        <w:rPr/>
        <w:t xml:space="preserve"> </w:t>
      </w:r>
      <w:r>
        <w:rPr>
          <w:spacing w:val="-4"/>
        </w:rPr>
        <w:t>34.1%，同比减少</w:t>
      </w:r>
      <w:r>
        <w:rPr>
          <w:spacing w:val="-21"/>
        </w:rPr>
        <w:t xml:space="preserve"> </w:t>
      </w:r>
      <w:r>
        <w:rPr>
          <w:spacing w:val="-4"/>
        </w:rPr>
        <w:t>1.8</w:t>
      </w:r>
      <w:r>
        <w:rPr>
          <w:spacing w:val="-44"/>
        </w:rPr>
        <w:t xml:space="preserve"> </w:t>
      </w:r>
      <w:r>
        <w:rPr>
          <w:spacing w:val="-4"/>
        </w:rPr>
        <w:t>个百分点。</w:t>
      </w:r>
    </w:p>
    <w:p>
      <w:pPr>
        <w:pStyle w:val="BodyText"/>
        <w:ind w:left="463"/>
        <w:spacing w:before="187" w:line="220" w:lineRule="auto"/>
        <w:rPr/>
      </w:pPr>
      <w:r>
        <w:rPr>
          <w:b/>
          <w:bCs/>
          <w:spacing w:val="-3"/>
        </w:rPr>
        <w:t>6.资本开支及现金流</w:t>
      </w:r>
    </w:p>
    <w:p>
      <w:pPr>
        <w:spacing w:line="220" w:lineRule="auto"/>
        <w:sectPr>
          <w:headerReference w:type="default" r:id="rId29"/>
          <w:footerReference w:type="default" r:id="rId33"/>
          <w:pgSz w:w="11907" w:h="16839"/>
          <w:pgMar w:top="1377" w:right="1243" w:bottom="1375" w:left="1390" w:header="837" w:footer="1212" w:gutter="0"/>
        </w:sectPr>
        <w:rPr/>
      </w:pPr>
    </w:p>
    <w:p>
      <w:pPr>
        <w:pStyle w:val="BodyText"/>
        <w:ind w:left="35" w:right="108" w:firstLine="376"/>
        <w:spacing w:before="258" w:line="307" w:lineRule="auto"/>
        <w:jc w:val="both"/>
        <w:rPr/>
      </w:pPr>
      <w:r>
        <w:rPr/>
        <w:t>2020</w:t>
      </w:r>
      <w:r>
        <w:rPr>
          <w:spacing w:val="-46"/>
        </w:rPr>
        <w:t xml:space="preserve"> </w:t>
      </w:r>
      <w:r>
        <w:rPr/>
        <w:t>年公司各项资本开支合计人民币676.5</w:t>
      </w:r>
      <w:r>
        <w:rPr>
          <w:spacing w:val="-43"/>
        </w:rPr>
        <w:t xml:space="preserve"> </w:t>
      </w:r>
      <w:r>
        <w:rPr/>
        <w:t>亿元，主要用于移动网络、宽带及数据、</w:t>
      </w:r>
      <w:r>
        <w:rPr>
          <w:spacing w:val="-1"/>
        </w:rPr>
        <w:t>基础设施及</w:t>
      </w:r>
      <w:r>
        <w:rPr/>
        <w:t xml:space="preserve"> </w:t>
      </w:r>
      <w:r>
        <w:rPr>
          <w:spacing w:val="-2"/>
        </w:rPr>
        <w:t>传送网建设等方面。2020</w:t>
      </w:r>
      <w:r>
        <w:rPr>
          <w:spacing w:val="-45"/>
        </w:rPr>
        <w:t xml:space="preserve"> </w:t>
      </w:r>
      <w:r>
        <w:rPr>
          <w:spacing w:val="-2"/>
        </w:rPr>
        <w:t>年公司经营活动现金流量净</w:t>
      </w:r>
      <w:r>
        <w:rPr>
          <w:spacing w:val="-3"/>
        </w:rPr>
        <w:t>额为人民币</w:t>
      </w:r>
      <w:r>
        <w:rPr>
          <w:spacing w:val="-28"/>
        </w:rPr>
        <w:t xml:space="preserve"> </w:t>
      </w:r>
      <w:r>
        <w:rPr>
          <w:spacing w:val="-3"/>
        </w:rPr>
        <w:t>1,073.3</w:t>
      </w:r>
      <w:r>
        <w:rPr>
          <w:spacing w:val="-43"/>
        </w:rPr>
        <w:t xml:space="preserve"> </w:t>
      </w:r>
      <w:r>
        <w:rPr>
          <w:spacing w:val="-3"/>
        </w:rPr>
        <w:t>亿元，扣除本年资本开支后</w:t>
      </w:r>
      <w:r>
        <w:rPr/>
        <w:t xml:space="preserve"> </w:t>
      </w:r>
      <w:r>
        <w:rPr>
          <w:spacing w:val="-4"/>
        </w:rPr>
        <w:t>自由现金</w:t>
      </w:r>
      <w:r>
        <w:rPr>
          <w:spacing w:val="-37"/>
        </w:rPr>
        <w:t xml:space="preserve"> </w:t>
      </w:r>
      <w:r>
        <w:rPr>
          <w:sz w:val="11"/>
          <w:szCs w:val="11"/>
          <w:spacing w:val="-4"/>
          <w:position w:val="10"/>
        </w:rPr>
        <w:t>1</w:t>
      </w:r>
      <w:r>
        <w:rPr>
          <w:sz w:val="11"/>
          <w:szCs w:val="11"/>
          <w:spacing w:val="-17"/>
          <w:position w:val="10"/>
        </w:rPr>
        <w:t xml:space="preserve"> </w:t>
      </w:r>
      <w:r>
        <w:rPr>
          <w:spacing w:val="-4"/>
        </w:rPr>
        <w:t>为人民币</w:t>
      </w:r>
      <w:r>
        <w:rPr>
          <w:spacing w:val="-40"/>
        </w:rPr>
        <w:t xml:space="preserve"> </w:t>
      </w:r>
      <w:r>
        <w:rPr>
          <w:spacing w:val="-4"/>
        </w:rPr>
        <w:t>396.8</w:t>
      </w:r>
      <w:r>
        <w:rPr>
          <w:spacing w:val="-45"/>
        </w:rPr>
        <w:t xml:space="preserve"> </w:t>
      </w:r>
      <w:r>
        <w:rPr>
          <w:spacing w:val="-4"/>
        </w:rPr>
        <w:t>亿元。</w:t>
      </w:r>
    </w:p>
    <w:p>
      <w:pPr>
        <w:pStyle w:val="BodyText"/>
        <w:ind w:left="415"/>
        <w:spacing w:before="188" w:line="220" w:lineRule="auto"/>
        <w:rPr/>
      </w:pPr>
      <w:r>
        <w:rPr>
          <w:spacing w:val="-2"/>
        </w:rPr>
        <w:t>下表列出了公司</w:t>
      </w:r>
      <w:r>
        <w:rPr>
          <w:spacing w:val="-29"/>
        </w:rPr>
        <w:t xml:space="preserve"> </w:t>
      </w:r>
      <w:r>
        <w:rPr>
          <w:spacing w:val="-2"/>
        </w:rPr>
        <w:t>2020</w:t>
      </w:r>
      <w:r>
        <w:rPr>
          <w:spacing w:val="-42"/>
        </w:rPr>
        <w:t xml:space="preserve"> </w:t>
      </w:r>
      <w:r>
        <w:rPr>
          <w:spacing w:val="-2"/>
        </w:rPr>
        <w:t>年主要资本开支项目情况：</w:t>
      </w:r>
    </w:p>
    <w:p>
      <w:pPr>
        <w:spacing w:line="159" w:lineRule="exact"/>
        <w:rPr/>
      </w:pPr>
      <w:r/>
    </w:p>
    <w:tbl>
      <w:tblPr>
        <w:tblStyle w:val="TableNormal"/>
        <w:tblW w:w="9205" w:type="dxa"/>
        <w:tblInd w:w="14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146"/>
        <w:gridCol w:w="2242"/>
        <w:gridCol w:w="2817"/>
      </w:tblGrid>
      <w:tr>
        <w:trPr>
          <w:trHeight w:val="330" w:hRule="atLeast"/>
        </w:trPr>
        <w:tc>
          <w:tcPr>
            <w:tcW w:w="4146" w:type="dxa"/>
            <w:vAlign w:val="top"/>
            <w:vMerge w:val="restart"/>
            <w:tcBorders>
              <w:bottom w:val="nil"/>
              <w:right w:val="single" w:color="000000" w:sz="2" w:space="0"/>
              <w:top w:val="single" w:color="000000" w:sz="2" w:space="0"/>
            </w:tcBorders>
          </w:tcPr>
          <w:p>
            <w:pPr>
              <w:pStyle w:val="TableText"/>
              <w:ind w:left="1044"/>
              <w:spacing w:before="223" w:line="220" w:lineRule="auto"/>
              <w:rPr/>
            </w:pPr>
            <w:r>
              <w:rPr>
                <w:spacing w:val="-2"/>
              </w:rPr>
              <w:t>（单位：人民币亿元）</w:t>
            </w:r>
          </w:p>
        </w:tc>
        <w:tc>
          <w:tcPr>
            <w:tcW w:w="5059" w:type="dxa"/>
            <w:vAlign w:val="top"/>
            <w:gridSpan w:val="2"/>
            <w:tcBorders>
              <w:left w:val="single" w:color="000000" w:sz="2" w:space="0"/>
              <w:right w:val="single" w:color="000000" w:sz="2" w:space="0"/>
              <w:top w:val="single" w:color="000000" w:sz="2" w:space="0"/>
            </w:tcBorders>
          </w:tcPr>
          <w:p>
            <w:pPr>
              <w:pStyle w:val="TableText"/>
              <w:ind w:left="2188"/>
              <w:spacing w:before="60" w:line="221" w:lineRule="auto"/>
              <w:rPr/>
            </w:pPr>
            <w:r>
              <w:rPr>
                <w:rFonts w:ascii="Times New Roman" w:hAnsi="Times New Roman" w:eastAsia="Times New Roman" w:cs="Times New Roman"/>
                <w:spacing w:val="-1"/>
              </w:rPr>
              <w:t>2020</w:t>
            </w:r>
            <w:r>
              <w:rPr>
                <w:rFonts w:ascii="Times New Roman" w:hAnsi="Times New Roman" w:eastAsia="Times New Roman" w:cs="Times New Roman"/>
                <w:spacing w:val="8"/>
              </w:rPr>
              <w:t xml:space="preserve"> </w:t>
            </w:r>
            <w:r>
              <w:rPr>
                <w:spacing w:val="-1"/>
              </w:rPr>
              <w:t>年</w:t>
            </w:r>
          </w:p>
        </w:tc>
      </w:tr>
      <w:tr>
        <w:trPr>
          <w:trHeight w:val="324" w:hRule="atLeast"/>
        </w:trPr>
        <w:tc>
          <w:tcPr>
            <w:tcW w:w="4146" w:type="dxa"/>
            <w:vAlign w:val="top"/>
            <w:vMerge w:val="continue"/>
            <w:tcBorders>
              <w:bottom w:val="single" w:color="000000" w:sz="2" w:space="0"/>
              <w:right w:val="single" w:color="000000" w:sz="2" w:space="0"/>
              <w:top w:val="nil"/>
            </w:tcBorders>
          </w:tcPr>
          <w:p>
            <w:pPr>
              <w:rPr>
                <w:rFonts w:ascii="Arial"/>
                <w:sz w:val="21"/>
              </w:rPr>
            </w:pPr>
            <w:r/>
          </w:p>
        </w:tc>
        <w:tc>
          <w:tcPr>
            <w:tcW w:w="2242" w:type="dxa"/>
            <w:vAlign w:val="top"/>
            <w:tcBorders>
              <w:left w:val="single" w:color="000000" w:sz="2" w:space="0"/>
              <w:bottom w:val="single" w:color="000000" w:sz="2" w:space="0"/>
            </w:tcBorders>
          </w:tcPr>
          <w:p>
            <w:pPr>
              <w:pStyle w:val="TableText"/>
              <w:ind w:left="550"/>
              <w:spacing w:before="59" w:line="221" w:lineRule="auto"/>
              <w:rPr/>
            </w:pPr>
            <w:r>
              <w:rPr>
                <w:spacing w:val="-4"/>
              </w:rPr>
              <w:t>累计支出</w:t>
            </w:r>
          </w:p>
        </w:tc>
        <w:tc>
          <w:tcPr>
            <w:tcW w:w="2817" w:type="dxa"/>
            <w:vAlign w:val="top"/>
            <w:tcBorders>
              <w:bottom w:val="single" w:color="000000" w:sz="2" w:space="0"/>
              <w:right w:val="single" w:color="000000" w:sz="2" w:space="0"/>
            </w:tcBorders>
          </w:tcPr>
          <w:p>
            <w:pPr>
              <w:pStyle w:val="TableText"/>
              <w:ind w:left="1077"/>
              <w:spacing w:before="59" w:line="222" w:lineRule="auto"/>
              <w:rPr/>
            </w:pPr>
            <w:r>
              <w:rPr>
                <w:spacing w:val="-11"/>
              </w:rPr>
              <w:t>占比</w:t>
            </w:r>
          </w:p>
        </w:tc>
      </w:tr>
      <w:tr>
        <w:trPr>
          <w:trHeight w:val="310" w:hRule="atLeast"/>
        </w:trPr>
        <w:tc>
          <w:tcPr>
            <w:tcW w:w="4146" w:type="dxa"/>
            <w:vAlign w:val="top"/>
            <w:tcBorders>
              <w:right w:val="single" w:color="000000" w:sz="2" w:space="0"/>
              <w:top w:val="single" w:color="000000" w:sz="2" w:space="0"/>
            </w:tcBorders>
          </w:tcPr>
          <w:p>
            <w:pPr>
              <w:pStyle w:val="TableText"/>
              <w:ind w:left="131"/>
              <w:spacing w:before="52" w:line="218" w:lineRule="auto"/>
              <w:rPr/>
            </w:pPr>
            <w:r>
              <w:rPr>
                <w:b/>
                <w:bCs/>
                <w:spacing w:val="-4"/>
              </w:rPr>
              <w:t>合计</w:t>
            </w:r>
          </w:p>
        </w:tc>
        <w:tc>
          <w:tcPr>
            <w:tcW w:w="2242" w:type="dxa"/>
            <w:vAlign w:val="top"/>
            <w:tcBorders>
              <w:left w:val="single" w:color="000000" w:sz="2" w:space="0"/>
              <w:top w:val="single" w:color="000000" w:sz="2" w:space="0"/>
            </w:tcBorders>
          </w:tcPr>
          <w:p>
            <w:pPr>
              <w:ind w:left="726"/>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676.5</w:t>
            </w:r>
          </w:p>
        </w:tc>
        <w:tc>
          <w:tcPr>
            <w:tcW w:w="2817" w:type="dxa"/>
            <w:vAlign w:val="top"/>
            <w:tcBorders>
              <w:right w:val="single" w:color="000000" w:sz="2" w:space="0"/>
              <w:top w:val="single" w:color="000000" w:sz="2" w:space="0"/>
            </w:tcBorders>
          </w:tcPr>
          <w:p>
            <w:pPr>
              <w:ind w:left="892"/>
              <w:spacing w:before="8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100.00%</w:t>
            </w:r>
          </w:p>
        </w:tc>
      </w:tr>
      <w:tr>
        <w:trPr>
          <w:trHeight w:val="344" w:hRule="atLeast"/>
        </w:trPr>
        <w:tc>
          <w:tcPr>
            <w:tcW w:w="4146" w:type="dxa"/>
            <w:vAlign w:val="top"/>
            <w:tcBorders>
              <w:right w:val="single" w:color="000000" w:sz="2" w:space="0"/>
            </w:tcBorders>
          </w:tcPr>
          <w:p>
            <w:pPr>
              <w:pStyle w:val="TableText"/>
              <w:ind w:left="131"/>
              <w:spacing w:before="54" w:line="221" w:lineRule="auto"/>
              <w:rPr/>
            </w:pPr>
            <w:r>
              <w:rPr>
                <w:spacing w:val="-1"/>
              </w:rPr>
              <w:t>其中：移动网络</w:t>
            </w:r>
          </w:p>
        </w:tc>
        <w:tc>
          <w:tcPr>
            <w:tcW w:w="2242" w:type="dxa"/>
            <w:vAlign w:val="top"/>
            <w:tcBorders>
              <w:left w:val="single" w:color="000000" w:sz="2" w:space="0"/>
            </w:tcBorders>
          </w:tcPr>
          <w:p>
            <w:pPr>
              <w:ind w:left="725"/>
              <w:spacing w:before="9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381.7</w:t>
            </w:r>
          </w:p>
        </w:tc>
        <w:tc>
          <w:tcPr>
            <w:tcW w:w="2817" w:type="dxa"/>
            <w:vAlign w:val="top"/>
            <w:tcBorders>
              <w:right w:val="single" w:color="000000" w:sz="2" w:space="0"/>
            </w:tcBorders>
          </w:tcPr>
          <w:p>
            <w:pPr>
              <w:ind w:left="931"/>
              <w:spacing w:before="87" w:line="23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56.42%</w:t>
            </w:r>
          </w:p>
        </w:tc>
      </w:tr>
      <w:tr>
        <w:trPr>
          <w:trHeight w:val="376" w:hRule="atLeast"/>
        </w:trPr>
        <w:tc>
          <w:tcPr>
            <w:tcW w:w="4146" w:type="dxa"/>
            <w:vAlign w:val="top"/>
            <w:tcBorders>
              <w:right w:val="single" w:color="000000" w:sz="2" w:space="0"/>
            </w:tcBorders>
          </w:tcPr>
          <w:p>
            <w:pPr>
              <w:pStyle w:val="TableText"/>
              <w:ind w:left="772"/>
              <w:spacing w:before="86" w:line="221" w:lineRule="auto"/>
              <w:rPr/>
            </w:pPr>
            <w:r>
              <w:rPr>
                <w:spacing w:val="-4"/>
              </w:rPr>
              <w:t>宽带及数据</w:t>
            </w:r>
          </w:p>
        </w:tc>
        <w:tc>
          <w:tcPr>
            <w:tcW w:w="2242" w:type="dxa"/>
            <w:vAlign w:val="top"/>
            <w:tcBorders>
              <w:left w:val="single" w:color="000000" w:sz="2" w:space="0"/>
            </w:tcBorders>
          </w:tcPr>
          <w:p>
            <w:pPr>
              <w:ind w:left="741"/>
              <w:spacing w:before="91"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101.5</w:t>
            </w:r>
          </w:p>
        </w:tc>
        <w:tc>
          <w:tcPr>
            <w:tcW w:w="2817" w:type="dxa"/>
            <w:vAlign w:val="top"/>
            <w:tcBorders>
              <w:right w:val="single" w:color="000000" w:sz="2" w:space="0"/>
            </w:tcBorders>
          </w:tcPr>
          <w:p>
            <w:pPr>
              <w:ind w:left="946"/>
              <w:spacing w:before="91"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15.01%</w:t>
            </w:r>
          </w:p>
        </w:tc>
      </w:tr>
      <w:tr>
        <w:trPr>
          <w:trHeight w:val="381" w:hRule="atLeast"/>
        </w:trPr>
        <w:tc>
          <w:tcPr>
            <w:tcW w:w="4146" w:type="dxa"/>
            <w:vAlign w:val="top"/>
            <w:tcBorders>
              <w:right w:val="single" w:color="000000" w:sz="2" w:space="0"/>
            </w:tcBorders>
          </w:tcPr>
          <w:p>
            <w:pPr>
              <w:pStyle w:val="TableText"/>
              <w:ind w:left="761"/>
              <w:spacing w:before="87" w:line="220" w:lineRule="auto"/>
              <w:rPr/>
            </w:pPr>
            <w:r>
              <w:rPr>
                <w:spacing w:val="-1"/>
              </w:rPr>
              <w:t>基础设施及传送网</w:t>
            </w:r>
          </w:p>
        </w:tc>
        <w:tc>
          <w:tcPr>
            <w:tcW w:w="2242" w:type="dxa"/>
            <w:vAlign w:val="top"/>
            <w:tcBorders>
              <w:left w:val="single" w:color="000000" w:sz="2" w:space="0"/>
            </w:tcBorders>
          </w:tcPr>
          <w:p>
            <w:pPr>
              <w:ind w:left="741"/>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110.4</w:t>
            </w:r>
          </w:p>
        </w:tc>
        <w:tc>
          <w:tcPr>
            <w:tcW w:w="2817" w:type="dxa"/>
            <w:vAlign w:val="top"/>
            <w:tcBorders>
              <w:right w:val="single" w:color="000000" w:sz="2" w:space="0"/>
            </w:tcBorders>
          </w:tcPr>
          <w:p>
            <w:pPr>
              <w:ind w:left="946"/>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16.32%</w:t>
            </w:r>
          </w:p>
        </w:tc>
      </w:tr>
      <w:tr>
        <w:trPr>
          <w:trHeight w:val="375" w:hRule="atLeast"/>
        </w:trPr>
        <w:tc>
          <w:tcPr>
            <w:tcW w:w="4146" w:type="dxa"/>
            <w:vAlign w:val="top"/>
            <w:tcBorders>
              <w:bottom w:val="single" w:color="000000" w:sz="2" w:space="0"/>
              <w:right w:val="single" w:color="000000" w:sz="2" w:space="0"/>
            </w:tcBorders>
          </w:tcPr>
          <w:p>
            <w:pPr>
              <w:pStyle w:val="TableText"/>
              <w:ind w:left="762"/>
              <w:spacing w:before="106" w:line="221" w:lineRule="auto"/>
              <w:rPr/>
            </w:pPr>
            <w:r>
              <w:rPr>
                <w:spacing w:val="-2"/>
              </w:rPr>
              <w:t>其他</w:t>
            </w:r>
          </w:p>
        </w:tc>
        <w:tc>
          <w:tcPr>
            <w:tcW w:w="2242" w:type="dxa"/>
            <w:vAlign w:val="top"/>
            <w:tcBorders>
              <w:left w:val="single" w:color="000000" w:sz="2" w:space="0"/>
              <w:bottom w:val="single" w:color="000000" w:sz="2" w:space="0"/>
            </w:tcBorders>
          </w:tcPr>
          <w:p>
            <w:pPr>
              <w:ind w:left="782"/>
              <w:spacing w:before="9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82.9</w:t>
            </w:r>
          </w:p>
        </w:tc>
        <w:tc>
          <w:tcPr>
            <w:tcW w:w="2817" w:type="dxa"/>
            <w:vAlign w:val="top"/>
            <w:tcBorders>
              <w:bottom w:val="single" w:color="000000" w:sz="2" w:space="0"/>
              <w:right w:val="single" w:color="000000" w:sz="2" w:space="0"/>
            </w:tcBorders>
          </w:tcPr>
          <w:p>
            <w:pPr>
              <w:ind w:left="946"/>
              <w:spacing w:before="98"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12.25%</w:t>
            </w:r>
          </w:p>
        </w:tc>
      </w:tr>
    </w:tbl>
    <w:p>
      <w:pPr>
        <w:pStyle w:val="BodyText"/>
        <w:ind w:left="466"/>
        <w:spacing w:before="262" w:line="221" w:lineRule="auto"/>
        <w:rPr/>
      </w:pPr>
      <w:r>
        <w:rPr>
          <w:b/>
          <w:bCs/>
          <w:spacing w:val="-3"/>
        </w:rPr>
        <w:t>7.资产负债情况</w:t>
      </w:r>
    </w:p>
    <w:p>
      <w:pPr>
        <w:pStyle w:val="BodyText"/>
        <w:ind w:left="38" w:right="107" w:firstLine="369"/>
        <w:spacing w:before="263" w:line="312" w:lineRule="auto"/>
        <w:jc w:val="both"/>
        <w:rPr/>
      </w:pPr>
      <w:r>
        <w:rPr>
          <w:spacing w:val="-2"/>
        </w:rPr>
        <w:t>截至</w:t>
      </w:r>
      <w:r>
        <w:rPr>
          <w:spacing w:val="-24"/>
        </w:rPr>
        <w:t xml:space="preserve"> </w:t>
      </w:r>
      <w:r>
        <w:rPr>
          <w:spacing w:val="-2"/>
        </w:rPr>
        <w:t>2020</w:t>
      </w:r>
      <w:r>
        <w:rPr>
          <w:spacing w:val="-46"/>
        </w:rPr>
        <w:t xml:space="preserve"> </w:t>
      </w:r>
      <w:r>
        <w:rPr>
          <w:spacing w:val="-2"/>
        </w:rPr>
        <w:t>年底，公司资产总额由上年底的人民币</w:t>
      </w:r>
      <w:r>
        <w:rPr>
          <w:spacing w:val="-39"/>
        </w:rPr>
        <w:t xml:space="preserve"> </w:t>
      </w:r>
      <w:r>
        <w:rPr>
          <w:spacing w:val="-2"/>
        </w:rPr>
        <w:t>5,642.3</w:t>
      </w:r>
      <w:r>
        <w:rPr>
          <w:spacing w:val="-46"/>
        </w:rPr>
        <w:t xml:space="preserve"> </w:t>
      </w:r>
      <w:r>
        <w:rPr>
          <w:spacing w:val="-2"/>
        </w:rPr>
        <w:t>亿元变化至人民币5,824.8</w:t>
      </w:r>
      <w:r>
        <w:rPr>
          <w:spacing w:val="-43"/>
        </w:rPr>
        <w:t xml:space="preserve"> </w:t>
      </w:r>
      <w:r>
        <w:rPr>
          <w:spacing w:val="-2"/>
        </w:rPr>
        <w:t>亿元，负债</w:t>
      </w:r>
      <w:r>
        <w:rPr/>
        <w:t xml:space="preserve"> </w:t>
      </w:r>
      <w:r>
        <w:rPr>
          <w:spacing w:val="-1"/>
        </w:rPr>
        <w:t>总额由上年底的人民币</w:t>
      </w:r>
      <w:r>
        <w:rPr>
          <w:spacing w:val="-30"/>
        </w:rPr>
        <w:t xml:space="preserve"> </w:t>
      </w:r>
      <w:r>
        <w:rPr>
          <w:spacing w:val="-1"/>
        </w:rPr>
        <w:t>2,407.3</w:t>
      </w:r>
      <w:r>
        <w:rPr>
          <w:spacing w:val="-40"/>
        </w:rPr>
        <w:t xml:space="preserve"> </w:t>
      </w:r>
      <w:r>
        <w:rPr>
          <w:spacing w:val="-1"/>
        </w:rPr>
        <w:t>亿元变化至人民币</w:t>
      </w:r>
      <w:r>
        <w:rPr>
          <w:spacing w:val="-37"/>
        </w:rPr>
        <w:t xml:space="preserve"> </w:t>
      </w:r>
      <w:r>
        <w:rPr>
          <w:spacing w:val="-1"/>
        </w:rPr>
        <w:t>2,510.0</w:t>
      </w:r>
      <w:r>
        <w:rPr>
          <w:spacing w:val="-40"/>
        </w:rPr>
        <w:t xml:space="preserve"> </w:t>
      </w:r>
      <w:r>
        <w:rPr>
          <w:spacing w:val="-1"/>
        </w:rPr>
        <w:t>亿元，资产负债率由上年底的</w:t>
      </w:r>
      <w:r>
        <w:rPr>
          <w:spacing w:val="-43"/>
        </w:rPr>
        <w:t xml:space="preserve"> </w:t>
      </w:r>
      <w:r>
        <w:rPr>
          <w:spacing w:val="-1"/>
        </w:rPr>
        <w:t>42.7%变化</w:t>
      </w:r>
      <w:r>
        <w:rPr/>
        <w:t xml:space="preserve"> </w:t>
      </w:r>
      <w:r>
        <w:rPr>
          <w:spacing w:val="-3"/>
        </w:rPr>
        <w:t>至</w:t>
      </w:r>
      <w:r>
        <w:rPr>
          <w:spacing w:val="-41"/>
        </w:rPr>
        <w:t xml:space="preserve"> </w:t>
      </w:r>
      <w:r>
        <w:rPr>
          <w:spacing w:val="-3"/>
        </w:rPr>
        <w:t>43.1%。</w:t>
      </w:r>
    </w:p>
    <w:p>
      <w:pPr>
        <w:pStyle w:val="BodyText"/>
        <w:ind w:left="39" w:right="132" w:firstLine="12"/>
        <w:spacing w:before="121" w:line="288" w:lineRule="auto"/>
        <w:rPr>
          <w:sz w:val="19"/>
          <w:szCs w:val="19"/>
        </w:rPr>
      </w:pPr>
      <w:r>
        <w:rPr>
          <w:sz w:val="19"/>
          <w:szCs w:val="19"/>
          <w:spacing w:val="6"/>
        </w:rPr>
        <w:t>附注</w:t>
      </w:r>
      <w:r>
        <w:rPr>
          <w:sz w:val="19"/>
          <w:szCs w:val="19"/>
          <w:spacing w:val="-22"/>
        </w:rPr>
        <w:t xml:space="preserve"> </w:t>
      </w:r>
      <w:r>
        <w:rPr>
          <w:sz w:val="19"/>
          <w:szCs w:val="19"/>
          <w:spacing w:val="6"/>
        </w:rPr>
        <w:t>1</w:t>
      </w:r>
      <w:r>
        <w:rPr>
          <w:sz w:val="19"/>
          <w:szCs w:val="19"/>
          <w:spacing w:val="-56"/>
        </w:rPr>
        <w:t xml:space="preserve"> </w:t>
      </w:r>
      <w:r>
        <w:rPr>
          <w:sz w:val="19"/>
          <w:szCs w:val="19"/>
          <w:spacing w:val="6"/>
        </w:rPr>
        <w:t>:</w:t>
      </w:r>
      <w:r>
        <w:rPr>
          <w:sz w:val="19"/>
          <w:szCs w:val="19"/>
          <w:spacing w:val="-53"/>
        </w:rPr>
        <w:t xml:space="preserve"> </w:t>
      </w:r>
      <w:r>
        <w:rPr>
          <w:sz w:val="19"/>
          <w:szCs w:val="19"/>
          <w:spacing w:val="6"/>
        </w:rPr>
        <w:t>自由现金流反映了扣除资本开支的经营现金流，但它并非公认会计原则财务指标，并无</w:t>
      </w:r>
      <w:r>
        <w:rPr>
          <w:sz w:val="19"/>
          <w:szCs w:val="19"/>
          <w:spacing w:val="5"/>
        </w:rPr>
        <w:t>统一定义，</w:t>
      </w:r>
      <w:r>
        <w:rPr>
          <w:sz w:val="19"/>
          <w:szCs w:val="19"/>
        </w:rPr>
        <w:t xml:space="preserve"> </w:t>
      </w:r>
      <w:r>
        <w:rPr>
          <w:sz w:val="19"/>
          <w:szCs w:val="19"/>
          <w:spacing w:val="7"/>
        </w:rPr>
        <w:t>故未必可与其他公司的类似指标作比较。</w:t>
      </w:r>
    </w:p>
    <w:p>
      <w:pPr>
        <w:spacing w:line="250" w:lineRule="auto"/>
        <w:rPr>
          <w:rFonts w:ascii="Arial"/>
          <w:sz w:val="21"/>
        </w:rPr>
      </w:pPr>
      <w:r/>
    </w:p>
    <w:p>
      <w:pPr>
        <w:spacing w:line="250" w:lineRule="auto"/>
        <w:rPr>
          <w:rFonts w:ascii="Arial"/>
          <w:sz w:val="21"/>
        </w:rPr>
      </w:pPr>
      <w:r/>
    </w:p>
    <w:p>
      <w:pPr>
        <w:pStyle w:val="BodyText"/>
        <w:ind w:left="43"/>
        <w:spacing w:before="69" w:line="221" w:lineRule="auto"/>
        <w:rPr/>
      </w:pPr>
      <w:r>
        <w:rPr>
          <w:b/>
          <w:bCs/>
          <w:spacing w:val="-3"/>
        </w:rPr>
        <w:t>（二）导致暂停上市的原因</w:t>
      </w:r>
    </w:p>
    <w:p>
      <w:pPr>
        <w:pStyle w:val="BodyText"/>
        <w:ind w:left="58"/>
        <w:spacing w:before="140" w:line="222" w:lineRule="auto"/>
        <w:rPr/>
      </w:pPr>
      <w:r>
        <w:rPr>
          <w:spacing w:val="-13"/>
        </w:rPr>
        <w:t>□适用</w:t>
      </w:r>
      <w:r>
        <w:rPr>
          <w:spacing w:val="31"/>
        </w:rPr>
        <w:t xml:space="preserve">  </w:t>
      </w:r>
      <w:r>
        <w:rPr>
          <w:spacing w:val="-13"/>
        </w:rPr>
        <w:t>√不适用</w:t>
      </w:r>
    </w:p>
    <w:p>
      <w:pPr>
        <w:spacing w:line="377" w:lineRule="auto"/>
        <w:rPr>
          <w:rFonts w:ascii="Arial"/>
          <w:sz w:val="21"/>
        </w:rPr>
      </w:pPr>
      <w:r/>
    </w:p>
    <w:p>
      <w:pPr>
        <w:pStyle w:val="BodyText"/>
        <w:ind w:left="43"/>
        <w:spacing w:before="69" w:line="221" w:lineRule="auto"/>
        <w:rPr/>
      </w:pPr>
      <w:r>
        <w:rPr>
          <w:b/>
          <w:bCs/>
          <w:spacing w:val="-3"/>
        </w:rPr>
        <w:t>（三）面临终止上市的情况和原因</w:t>
      </w:r>
    </w:p>
    <w:p>
      <w:pPr>
        <w:pStyle w:val="BodyText"/>
        <w:ind w:left="58"/>
        <w:spacing w:before="140" w:line="222" w:lineRule="auto"/>
        <w:rPr/>
      </w:pPr>
      <w:r>
        <w:rPr>
          <w:spacing w:val="-13"/>
        </w:rPr>
        <w:t>□适用</w:t>
      </w:r>
      <w:r>
        <w:rPr>
          <w:spacing w:val="31"/>
        </w:rPr>
        <w:t xml:space="preserve">  </w:t>
      </w:r>
      <w:r>
        <w:rPr>
          <w:spacing w:val="-13"/>
        </w:rPr>
        <w:t>√不适用</w:t>
      </w:r>
    </w:p>
    <w:p>
      <w:pPr>
        <w:spacing w:line="377" w:lineRule="auto"/>
        <w:rPr>
          <w:rFonts w:ascii="Arial"/>
          <w:sz w:val="21"/>
        </w:rPr>
      </w:pPr>
      <w:r/>
    </w:p>
    <w:p>
      <w:pPr>
        <w:pStyle w:val="BodyText"/>
        <w:ind w:left="43"/>
        <w:spacing w:before="69" w:line="219" w:lineRule="auto"/>
        <w:rPr/>
      </w:pPr>
      <w:r>
        <w:rPr>
          <w:b/>
          <w:bCs/>
          <w:spacing w:val="-2"/>
        </w:rPr>
        <w:t>（四）公司对会计政策、会计估计变更原因及影响的分析说明</w:t>
      </w:r>
    </w:p>
    <w:p>
      <w:pPr>
        <w:pStyle w:val="BodyText"/>
        <w:ind w:left="88"/>
        <w:spacing w:before="142" w:line="222" w:lineRule="auto"/>
        <w:rPr/>
      </w:pPr>
      <w:r>
        <w:rPr>
          <w:spacing w:val="-13"/>
        </w:rPr>
        <w:t>√适用</w:t>
      </w:r>
      <w:r>
        <w:rPr>
          <w:spacing w:val="16"/>
        </w:rPr>
        <w:t xml:space="preserve">  </w:t>
      </w:r>
      <w:r>
        <w:rPr>
          <w:spacing w:val="-13"/>
        </w:rPr>
        <w:t>□不适用</w:t>
      </w:r>
    </w:p>
    <w:p>
      <w:pPr>
        <w:pStyle w:val="BodyText"/>
        <w:ind w:left="457"/>
        <w:spacing w:before="215" w:line="220" w:lineRule="auto"/>
        <w:rPr/>
      </w:pPr>
      <w:r>
        <w:rPr/>
        <w:t>本集团于2020年生效的企业会计准则相关</w:t>
      </w:r>
      <w:r>
        <w:rPr>
          <w:spacing w:val="-1"/>
        </w:rPr>
        <w:t>规定如下：</w:t>
      </w:r>
    </w:p>
    <w:p>
      <w:pPr>
        <w:pStyle w:val="BodyText"/>
        <w:ind w:left="455"/>
        <w:spacing w:before="219" w:line="220" w:lineRule="auto"/>
        <w:rPr/>
      </w:pPr>
      <w:r>
        <w:rPr>
          <w:spacing w:val="-3"/>
        </w:rPr>
        <w:t>-   《企业会计准则解释第13号》</w:t>
      </w:r>
      <w:r>
        <w:rPr>
          <w:spacing w:val="-59"/>
        </w:rPr>
        <w:t xml:space="preserve"> </w:t>
      </w:r>
      <w:r>
        <w:rPr>
          <w:spacing w:val="-3"/>
        </w:rPr>
        <w:t>(财会</w:t>
      </w:r>
      <w:r>
        <w:rPr>
          <w:spacing w:val="40"/>
        </w:rPr>
        <w:t xml:space="preserve"> </w:t>
      </w:r>
      <w:r>
        <w:rPr>
          <w:spacing w:val="-3"/>
        </w:rPr>
        <w:t>[2019] 21号)</w:t>
      </w:r>
      <w:r>
        <w:rPr>
          <w:spacing w:val="41"/>
        </w:rPr>
        <w:t xml:space="preserve"> </w:t>
      </w:r>
      <w:r>
        <w:rPr>
          <w:spacing w:val="-3"/>
        </w:rPr>
        <w:t>(“解释第</w:t>
      </w:r>
      <w:r>
        <w:rPr>
          <w:spacing w:val="-4"/>
        </w:rPr>
        <w:t>13号”)</w:t>
      </w:r>
    </w:p>
    <w:p>
      <w:pPr>
        <w:pStyle w:val="BodyText"/>
        <w:ind w:left="460" w:right="2393" w:hanging="5"/>
        <w:spacing w:before="218" w:line="315" w:lineRule="auto"/>
        <w:rPr/>
      </w:pPr>
      <w:r>
        <w:rPr>
          <w:spacing w:val="-2"/>
        </w:rPr>
        <w:t>-   《新冠肺炎疫情相关租金减让会计处理规定》</w:t>
      </w:r>
      <w:r>
        <w:rPr>
          <w:spacing w:val="-61"/>
        </w:rPr>
        <w:t xml:space="preserve"> </w:t>
      </w:r>
      <w:r>
        <w:rPr>
          <w:spacing w:val="-2"/>
        </w:rPr>
        <w:t>(财会</w:t>
      </w:r>
      <w:r>
        <w:rPr>
          <w:spacing w:val="39"/>
        </w:rPr>
        <w:t xml:space="preserve"> </w:t>
      </w:r>
      <w:r>
        <w:rPr>
          <w:spacing w:val="-3"/>
        </w:rPr>
        <w:t>[2020] 10号)</w:t>
      </w:r>
      <w:r>
        <w:rPr/>
        <w:t xml:space="preserve"> </w:t>
      </w:r>
      <w:r>
        <w:rPr>
          <w:spacing w:val="-3"/>
        </w:rPr>
        <w:t>具体影响详见财务报告。</w:t>
      </w:r>
    </w:p>
    <w:p>
      <w:pPr>
        <w:spacing w:line="267" w:lineRule="auto"/>
        <w:rPr>
          <w:rFonts w:ascii="Arial"/>
          <w:sz w:val="21"/>
        </w:rPr>
      </w:pPr>
      <w:r/>
    </w:p>
    <w:p>
      <w:pPr>
        <w:spacing w:line="268" w:lineRule="auto"/>
        <w:rPr>
          <w:rFonts w:ascii="Arial"/>
          <w:sz w:val="21"/>
        </w:rPr>
      </w:pPr>
      <w:r/>
    </w:p>
    <w:p>
      <w:pPr>
        <w:pStyle w:val="BodyText"/>
        <w:ind w:left="43"/>
        <w:spacing w:before="69" w:line="220" w:lineRule="auto"/>
        <w:rPr/>
      </w:pPr>
      <w:r>
        <w:rPr>
          <w:b/>
          <w:bCs/>
          <w:spacing w:val="-2"/>
        </w:rPr>
        <w:t>（五）公司对重大会计差错更正原因及影响的分析</w:t>
      </w:r>
      <w:r>
        <w:rPr>
          <w:b/>
          <w:bCs/>
          <w:spacing w:val="-3"/>
        </w:rPr>
        <w:t>说明</w:t>
      </w:r>
    </w:p>
    <w:p>
      <w:pPr>
        <w:pStyle w:val="BodyText"/>
        <w:ind w:left="58"/>
        <w:spacing w:before="141" w:line="222" w:lineRule="auto"/>
        <w:rPr/>
      </w:pPr>
      <w:r>
        <w:rPr>
          <w:spacing w:val="-13"/>
        </w:rPr>
        <w:t>□适用</w:t>
      </w:r>
      <w:r>
        <w:rPr>
          <w:spacing w:val="31"/>
        </w:rPr>
        <w:t xml:space="preserve">  </w:t>
      </w:r>
      <w:r>
        <w:rPr>
          <w:spacing w:val="-13"/>
        </w:rPr>
        <w:t>√不适用</w:t>
      </w:r>
    </w:p>
    <w:p>
      <w:pPr>
        <w:spacing w:line="222" w:lineRule="auto"/>
        <w:sectPr>
          <w:headerReference w:type="default" r:id="rId34"/>
          <w:footerReference w:type="default" r:id="rId35"/>
          <w:pgSz w:w="11907" w:h="16839"/>
          <w:pgMar w:top="1377" w:right="1159" w:bottom="1374" w:left="1390" w:header="837" w:footer="1212" w:gutter="0"/>
        </w:sectPr>
        <w:rPr/>
      </w:pPr>
    </w:p>
    <w:p>
      <w:pPr>
        <w:pStyle w:val="BodyText"/>
        <w:ind w:left="43"/>
        <w:spacing w:before="280" w:line="219" w:lineRule="auto"/>
        <w:rPr/>
      </w:pPr>
      <w:r>
        <w:rPr>
          <w:b/>
          <w:bCs/>
          <w:spacing w:val="-2"/>
        </w:rPr>
        <w:t>（六）与上年度财务报告相比，对财务报表合并范</w:t>
      </w:r>
      <w:r>
        <w:rPr>
          <w:b/>
          <w:bCs/>
          <w:spacing w:val="-3"/>
        </w:rPr>
        <w:t>围发生变化的，公司应当作出具体说明。</w:t>
      </w:r>
    </w:p>
    <w:p>
      <w:pPr>
        <w:pStyle w:val="BodyText"/>
        <w:ind w:left="88"/>
        <w:spacing w:before="218" w:line="222" w:lineRule="auto"/>
        <w:rPr/>
      </w:pPr>
      <w:r>
        <w:rPr>
          <w:spacing w:val="-13"/>
        </w:rPr>
        <w:t>√适用</w:t>
      </w:r>
      <w:r>
        <w:rPr>
          <w:spacing w:val="32"/>
        </w:rPr>
        <w:t xml:space="preserve"> </w:t>
      </w:r>
      <w:r>
        <w:rPr>
          <w:spacing w:val="-13"/>
        </w:rPr>
        <w:t>□不适用</w:t>
      </w:r>
    </w:p>
    <w:p>
      <w:pPr>
        <w:pStyle w:val="BodyText"/>
        <w:ind w:left="469"/>
        <w:spacing w:before="294" w:line="220" w:lineRule="auto"/>
        <w:rPr/>
      </w:pPr>
      <w:r>
        <w:rPr>
          <w:spacing w:val="-1"/>
        </w:rPr>
        <w:t>除新设若干子公司外，2020</w:t>
      </w:r>
      <w:r>
        <w:rPr>
          <w:spacing w:val="-42"/>
        </w:rPr>
        <w:t xml:space="preserve"> </w:t>
      </w:r>
      <w:r>
        <w:rPr>
          <w:spacing w:val="-1"/>
        </w:rPr>
        <w:t>年本集团合并范围未发生变更。</w:t>
      </w:r>
    </w:p>
    <w:sectPr>
      <w:headerReference w:type="default" r:id="rId29"/>
      <w:footerReference w:type="default" r:id="rId36"/>
      <w:pgSz w:w="11907" w:h="16839"/>
      <w:pgMar w:top="1377" w:right="1243" w:bottom="1375" w:left="1390" w:header="837" w:footer="12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15"/>
      <w:spacing w:line="166" w:lineRule="auto"/>
      <w:rPr>
        <w:rFonts w:ascii="Calibri" w:hAnsi="Calibri" w:eastAsia="Calibri" w:cs="Calibri"/>
        <w:sz w:val="18"/>
        <w:szCs w:val="18"/>
      </w:rPr>
    </w:pPr>
    <w:r>
      <w:rPr>
        <w:rFonts w:ascii="Calibri" w:hAnsi="Calibri" w:eastAsia="Calibri" w:cs="Calibri"/>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7" w:lineRule="auto"/>
      <w:rPr>
        <w:rFonts w:ascii="Calibri" w:hAnsi="Calibri" w:eastAsia="Calibri" w:cs="Calibri"/>
        <w:sz w:val="18"/>
        <w:szCs w:val="18"/>
      </w:rPr>
    </w:pPr>
    <w:r>
      <w:rPr>
        <w:rFonts w:ascii="Calibri" w:hAnsi="Calibri" w:eastAsia="Calibri" w:cs="Calibri"/>
        <w:sz w:val="18"/>
        <w:szCs w:val="18"/>
        <w:spacing w:val="-4"/>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6" w:lineRule="auto"/>
      <w:rPr>
        <w:rFonts w:ascii="Calibri" w:hAnsi="Calibri" w:eastAsia="Calibri" w:cs="Calibri"/>
        <w:sz w:val="18"/>
        <w:szCs w:val="18"/>
      </w:rPr>
    </w:pPr>
    <w:r>
      <w:rPr>
        <w:rFonts w:ascii="Calibri" w:hAnsi="Calibri" w:eastAsia="Calibri" w:cs="Calibri"/>
        <w:sz w:val="18"/>
        <w:szCs w:val="18"/>
        <w:spacing w:val="-4"/>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7" w:lineRule="auto"/>
      <w:rPr>
        <w:rFonts w:ascii="Calibri" w:hAnsi="Calibri" w:eastAsia="Calibri" w:cs="Calibri"/>
        <w:sz w:val="18"/>
        <w:szCs w:val="18"/>
      </w:rPr>
    </w:pPr>
    <w:r>
      <w:rPr>
        <w:rFonts w:ascii="Calibri" w:hAnsi="Calibri" w:eastAsia="Calibri" w:cs="Calibri"/>
        <w:sz w:val="18"/>
        <w:szCs w:val="18"/>
        <w:spacing w:val="-4"/>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7" w:lineRule="auto"/>
      <w:rPr>
        <w:rFonts w:ascii="Calibri" w:hAnsi="Calibri" w:eastAsia="Calibri" w:cs="Calibri"/>
        <w:sz w:val="18"/>
        <w:szCs w:val="18"/>
      </w:rPr>
    </w:pPr>
    <w:r>
      <w:rPr>
        <w:rFonts w:ascii="Calibri" w:hAnsi="Calibri" w:eastAsia="Calibri" w:cs="Calibri"/>
        <w:sz w:val="18"/>
        <w:szCs w:val="18"/>
        <w:spacing w:val="-4"/>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6" w:lineRule="auto"/>
      <w:rPr>
        <w:rFonts w:ascii="Calibri" w:hAnsi="Calibri" w:eastAsia="Calibri" w:cs="Calibri"/>
        <w:sz w:val="18"/>
        <w:szCs w:val="18"/>
      </w:rPr>
    </w:pPr>
    <w:r>
      <w:rPr>
        <w:rFonts w:ascii="Calibri" w:hAnsi="Calibri" w:eastAsia="Calibri" w:cs="Calibri"/>
        <w:sz w:val="18"/>
        <w:szCs w:val="18"/>
        <w:spacing w:val="-4"/>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6" w:lineRule="auto"/>
      <w:rPr>
        <w:rFonts w:ascii="Calibri" w:hAnsi="Calibri" w:eastAsia="Calibri" w:cs="Calibri"/>
        <w:sz w:val="18"/>
        <w:szCs w:val="18"/>
      </w:rPr>
    </w:pPr>
    <w:r>
      <w:rPr>
        <w:rFonts w:ascii="Calibri" w:hAnsi="Calibri" w:eastAsia="Calibri" w:cs="Calibri"/>
        <w:sz w:val="18"/>
        <w:szCs w:val="18"/>
        <w:spacing w:val="-4"/>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7" w:lineRule="auto"/>
      <w:rPr>
        <w:rFonts w:ascii="Calibri" w:hAnsi="Calibri" w:eastAsia="Calibri" w:cs="Calibri"/>
        <w:sz w:val="18"/>
        <w:szCs w:val="18"/>
      </w:rPr>
    </w:pPr>
    <w:r>
      <w:rPr>
        <w:rFonts w:ascii="Calibri" w:hAnsi="Calibri" w:eastAsia="Calibri" w:cs="Calibri"/>
        <w:sz w:val="18"/>
        <w:szCs w:val="18"/>
        <w:spacing w:val="-4"/>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1"/>
      <w:spacing w:line="166" w:lineRule="auto"/>
      <w:rPr>
        <w:rFonts w:ascii="Calibri" w:hAnsi="Calibri" w:eastAsia="Calibri" w:cs="Calibri"/>
        <w:sz w:val="18"/>
        <w:szCs w:val="18"/>
      </w:rPr>
    </w:pPr>
    <w:r>
      <w:rPr>
        <w:rFonts w:ascii="Calibri" w:hAnsi="Calibri" w:eastAsia="Calibri" w:cs="Calibri"/>
        <w:sz w:val="18"/>
        <w:szCs w:val="18"/>
        <w:spacing w:val="-5"/>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7" w:lineRule="auto"/>
      <w:rPr>
        <w:rFonts w:ascii="Calibri" w:hAnsi="Calibri" w:eastAsia="Calibri" w:cs="Calibri"/>
        <w:sz w:val="18"/>
        <w:szCs w:val="18"/>
      </w:rPr>
    </w:pPr>
    <w:r>
      <w:rPr>
        <w:rFonts w:ascii="Calibri" w:hAnsi="Calibri" w:eastAsia="Calibri" w:cs="Calibri"/>
        <w:sz w:val="18"/>
        <w:szCs w:val="18"/>
        <w:spacing w:val="-4"/>
      </w:rPr>
      <w:t>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83"/>
      <w:spacing w:line="167" w:lineRule="auto"/>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41"/>
      <w:spacing w:line="167" w:lineRule="auto"/>
      <w:rPr>
        <w:rFonts w:ascii="Calibri" w:hAnsi="Calibri" w:eastAsia="Calibri" w:cs="Calibri"/>
        <w:sz w:val="18"/>
        <w:szCs w:val="18"/>
      </w:rPr>
    </w:pPr>
    <w:r>
      <w:rPr>
        <w:rFonts w:ascii="Calibri" w:hAnsi="Calibri" w:eastAsia="Calibri" w:cs="Calibri"/>
        <w:sz w:val="18"/>
        <w:szCs w:val="18"/>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421"/>
      <w:spacing w:line="166" w:lineRule="auto"/>
      <w:rPr>
        <w:rFonts w:ascii="Calibri" w:hAnsi="Calibri" w:eastAsia="Calibri" w:cs="Calibri"/>
        <w:sz w:val="18"/>
        <w:szCs w:val="18"/>
      </w:rPr>
    </w:pPr>
    <w:r>
      <w:rPr>
        <w:rFonts w:ascii="Calibri" w:hAnsi="Calibri" w:eastAsia="Calibri" w:cs="Calibri"/>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426"/>
      <w:spacing w:line="165" w:lineRule="auto"/>
      <w:rPr>
        <w:rFonts w:ascii="Calibri" w:hAnsi="Calibri" w:eastAsia="Calibri" w:cs="Calibri"/>
        <w:sz w:val="18"/>
        <w:szCs w:val="18"/>
      </w:rPr>
    </w:pPr>
    <w:r>
      <w:rPr>
        <w:rFonts w:ascii="Calibri" w:hAnsi="Calibri" w:eastAsia="Calibri" w:cs="Calibri"/>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8"/>
      <w:spacing w:line="167" w:lineRule="auto"/>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426"/>
      <w:spacing w:line="165" w:lineRule="auto"/>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6"/>
      <w:spacing w:line="167" w:lineRule="auto"/>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6"/>
      <w:spacing w:line="167" w:lineRule="auto"/>
      <w:rPr>
        <w:rFonts w:ascii="Calibri" w:hAnsi="Calibri" w:eastAsia="Calibri" w:cs="Calibri"/>
        <w:sz w:val="18"/>
        <w:szCs w:val="18"/>
      </w:rPr>
    </w:pPr>
    <w:r>
      <w:rPr>
        <w:rFonts w:ascii="Calibri" w:hAnsi="Calibri" w:eastAsia="Calibri" w:cs="Calibri"/>
        <w:sz w:val="18"/>
        <w:szCs w:val="18"/>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36"/>
      <w:spacing w:before="281" w:line="220" w:lineRule="auto"/>
      <w:rPr>
        <w:rFonts w:ascii="SimSun" w:hAnsi="SimSun" w:eastAsia="SimSun" w:cs="SimSun"/>
        <w:sz w:val="18"/>
        <w:szCs w:val="18"/>
      </w:rPr>
    </w:pPr>
    <w:r>
      <w:pict>
        <v:shape id="_x0000_s2" style="position:absolute;margin-left:88.584pt;margin-top:67.3201pt;mso-position-vertical-relative:page;mso-position-horizontal-relative:page;width:444.55pt;height:0.75pt;z-index:251660288;" o:allowincell="f" fillcolor="#000000" filled="true" stroked="false" coordsize="8890,15" coordorigin="0,0" path="m0,14l8890,14l8890,0l0,0l0,14xe"/>
      </w:pict>
    </w:r>
    <w:r>
      <w:pict>
        <v:shape id="_x0000_s4" style="position:absolute;margin-left:357.3pt;margin-top:13.0756pt;mso-position-vertical-relative:text;mso-position-horizontal-relative:text;width:84.9pt;height:12.65pt;z-index:251658240;" filled="false" stroked="false" type="#_x0000_t202">
          <v:fill on="false"/>
          <v:stroke on="false"/>
          <v:path/>
          <v:imagedata o:title=""/>
          <o:lock v:ext="edit" aspectratio="false"/>
          <v:textbox inset="0mm,0mm,0mm,0mm">
            <w:txbxContent>
              <w:p>
                <w:pPr>
                  <w:ind w:left="20"/>
                  <w:spacing w:before="20" w:line="218" w:lineRule="auto"/>
                  <w:rPr>
                    <w:rFonts w:ascii="SimSun" w:hAnsi="SimSun" w:eastAsia="SimSun" w:cs="SimSun"/>
                    <w:sz w:val="18"/>
                    <w:szCs w:val="18"/>
                  </w:rPr>
                </w:pPr>
                <w:r>
                  <w:rPr>
                    <w:rFonts w:ascii="Calibri" w:hAnsi="Calibri" w:eastAsia="Calibri" w:cs="Calibri"/>
                    <w:sz w:val="18"/>
                    <w:szCs w:val="18"/>
                    <w:spacing w:val="-2"/>
                  </w:rPr>
                  <w:t>2020</w:t>
                </w:r>
                <w:r>
                  <w:rPr>
                    <w:rFonts w:ascii="Calibri" w:hAnsi="Calibri" w:eastAsia="Calibri" w:cs="Calibri"/>
                    <w:sz w:val="18"/>
                    <w:szCs w:val="18"/>
                    <w:spacing w:val="14"/>
                    <w:w w:val="101"/>
                  </w:rPr>
                  <w:t xml:space="preserve"> </w:t>
                </w:r>
                <w:r>
                  <w:rPr>
                    <w:rFonts w:ascii="SimSun" w:hAnsi="SimSun" w:eastAsia="SimSun" w:cs="SimSun"/>
                    <w:sz w:val="18"/>
                    <w:szCs w:val="18"/>
                    <w:spacing w:val="-2"/>
                  </w:rPr>
                  <w:t>年年度报告摘要</w:t>
                </w:r>
              </w:p>
            </w:txbxContent>
          </v:textbox>
        </v:shape>
      </w:pict>
    </w:r>
    <w:r>
      <w:drawing>
        <wp:anchor distT="0" distB="0" distL="0" distR="0" simplePos="0" relativeHeight="251659264" behindDoc="0" locked="0" layoutInCell="0" allowOverlap="1">
          <wp:simplePos x="0" y="0"/>
          <wp:positionH relativeFrom="page">
            <wp:posOffset>1167130</wp:posOffset>
          </wp:positionH>
          <wp:positionV relativeFrom="page">
            <wp:posOffset>542290</wp:posOffset>
          </wp:positionV>
          <wp:extent cx="352425" cy="26670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2425" cy="266700"/>
                  </a:xfrm>
                  <a:prstGeom prst="rect">
                    <a:avLst/>
                  </a:prstGeom>
                </pic:spPr>
              </pic:pic>
            </a:graphicData>
          </a:graphic>
        </wp:anchor>
      </w:drawing>
    </w:r>
    <w:r>
      <w:rPr>
        <w:rFonts w:ascii="SimSun" w:hAnsi="SimSun" w:eastAsia="SimSun" w:cs="SimSun"/>
        <w:sz w:val="18"/>
        <w:szCs w:val="18"/>
        <w:spacing w:val="-2"/>
      </w:rPr>
      <w:t>中国联合网络通信股份有限公司</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38" style="position:absolute;margin-left:69.504pt;margin-top:67.3201pt;mso-position-vertical-relative:page;mso-position-horizontal-relative:page;width:463.65pt;height:0.75pt;z-index:251691008;" o:allowincell="f" fillcolor="#000000" filled="true" stroked="false" coordsize="9272,15" coordorigin="0,0" path="m0,14l9272,14l9272,0l0,0l0,14xe"/>
      </w:pict>
    </w:r>
    <w:r>
      <w:pict>
        <v:shape id="_x0000_s40" style="position:absolute;margin-left:366.75pt;margin-top:13.0756pt;mso-position-vertical-relative:text;mso-position-horizontal-relative:text;width:84.95pt;height:12.65pt;z-index:25168896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89984"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26" name="IM 26"/>
          <wp:cNvGraphicFramePr/>
          <a:graphic>
            <a:graphicData uri="http://schemas.openxmlformats.org/drawingml/2006/picture">
              <pic:pic>
                <pic:nvPicPr>
                  <pic:cNvPr id="26" name="IM 26"/>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42" style="position:absolute;margin-left:69.504pt;margin-top:67.3201pt;mso-position-vertical-relative:page;mso-position-horizontal-relative:page;width:463.65pt;height:0.75pt;z-index:251694080;" o:allowincell="f" fillcolor="#000000" filled="true" stroked="false" coordsize="9272,15" coordorigin="0,0" path="m0,14l9272,14l9272,0l0,0l0,14xe"/>
      </w:pict>
    </w:r>
    <w:r>
      <w:pict>
        <v:shape id="_x0000_s44" style="position:absolute;margin-left:366.75pt;margin-top:13.0756pt;mso-position-vertical-relative:text;mso-position-horizontal-relative:text;width:84.95pt;height:12.65pt;z-index:25169203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93056"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28" name="IM 28"/>
          <wp:cNvGraphicFramePr/>
          <a:graphic>
            <a:graphicData uri="http://schemas.openxmlformats.org/drawingml/2006/picture">
              <pic:pic>
                <pic:nvPicPr>
                  <pic:cNvPr id="28" name="IM 28"/>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46" style="position:absolute;margin-left:69.504pt;margin-top:67.3201pt;mso-position-vertical-relative:page;mso-position-horizontal-relative:page;width:463.65pt;height:0.75pt;z-index:251697152;" o:allowincell="f" fillcolor="#000000" filled="true" stroked="false" coordsize="9272,15" coordorigin="0,0" path="m0,14l9272,14l9272,0l0,0l0,14xe"/>
      </w:pict>
    </w:r>
    <w:r>
      <w:pict>
        <v:shape id="_x0000_s48" style="position:absolute;margin-left:366.75pt;margin-top:13.0756pt;mso-position-vertical-relative:text;mso-position-horizontal-relative:text;width:84.95pt;height:12.65pt;z-index:25169510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96128"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30" name="IM 30"/>
          <wp:cNvGraphicFramePr/>
          <a:graphic>
            <a:graphicData uri="http://schemas.openxmlformats.org/drawingml/2006/picture">
              <pic:pic>
                <pic:nvPicPr>
                  <pic:cNvPr id="30" name="IM 30"/>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50" style="position:absolute;margin-left:69.504pt;margin-top:67.3201pt;mso-position-vertical-relative:page;mso-position-horizontal-relative:page;width:463.65pt;height:0.75pt;z-index:251700224;" o:allowincell="f" fillcolor="#000000" filled="true" stroked="false" coordsize="9272,15" coordorigin="0,0" path="m0,14l9272,14l9272,0l0,0l0,14xe"/>
      </w:pict>
    </w:r>
    <w:r>
      <w:pict>
        <v:shape id="_x0000_s52" style="position:absolute;margin-left:366.75pt;margin-top:13.0756pt;mso-position-vertical-relative:text;mso-position-horizontal-relative:text;width:84.95pt;height:12.65pt;z-index:251698176;"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99200"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32" name="IM 32"/>
          <wp:cNvGraphicFramePr/>
          <a:graphic>
            <a:graphicData uri="http://schemas.openxmlformats.org/drawingml/2006/picture">
              <pic:pic>
                <pic:nvPicPr>
                  <pic:cNvPr id="32" name="IM 32"/>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54" style="position:absolute;margin-left:69.504pt;margin-top:67.3201pt;mso-position-vertical-relative:page;mso-position-horizontal-relative:page;width:463.65pt;height:0.75pt;z-index:251703296;" o:allowincell="f" fillcolor="#000000" filled="true" stroked="false" coordsize="9272,15" coordorigin="0,0" path="m0,14l9272,14l9272,0l0,0l0,14xe"/>
      </w:pict>
    </w:r>
    <w:r>
      <w:pict>
        <v:shape id="_x0000_s56" style="position:absolute;margin-left:366.75pt;margin-top:13.0756pt;mso-position-vertical-relative:text;mso-position-horizontal-relative:text;width:84.95pt;height:12.65pt;z-index:25170124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702272"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34" name="IM 34"/>
          <wp:cNvGraphicFramePr/>
          <a:graphic>
            <a:graphicData uri="http://schemas.openxmlformats.org/drawingml/2006/picture">
              <pic:pic>
                <pic:nvPicPr>
                  <pic:cNvPr id="34" name="IM 34"/>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68" style="position:absolute;margin-left:69.504pt;margin-top:67.3201pt;mso-position-vertical-relative:page;mso-position-horizontal-relative:page;width:463.65pt;height:0.75pt;z-index:251709440;" o:allowincell="f" fillcolor="#000000" filled="true" stroked="false" coordsize="9272,15" coordorigin="0,0" path="m0,14l9272,14l9272,0l0,0l0,14xe"/>
      </w:pict>
    </w:r>
    <w:r>
      <w:pict>
        <v:shape id="_x0000_s70" style="position:absolute;margin-left:366.75pt;margin-top:13.0756pt;mso-position-vertical-relative:text;mso-position-horizontal-relative:text;width:84.95pt;height:12.65pt;z-index:25170739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708416"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36" name="IM 36"/>
          <wp:cNvGraphicFramePr/>
          <a:graphic>
            <a:graphicData uri="http://schemas.openxmlformats.org/drawingml/2006/picture">
              <pic:pic>
                <pic:nvPicPr>
                  <pic:cNvPr id="36" name="IM 36"/>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10"/>
      <w:spacing w:before="281" w:line="220" w:lineRule="auto"/>
      <w:rPr>
        <w:sz w:val="18"/>
        <w:szCs w:val="18"/>
      </w:rPr>
    </w:pPr>
    <w:r>
      <w:pict>
        <v:shape id="_x0000_s6" style="position:absolute;margin-left:69.504pt;margin-top:67.3201pt;mso-position-vertical-relative:page;mso-position-horizontal-relative:page;width:463.65pt;height:0.75pt;z-index:251663360;" o:allowincell="f" fillcolor="#000000" filled="true" stroked="false" coordsize="9272,15" coordorigin="0,0" path="m0,14l9272,14l9272,0l0,0l0,14xe"/>
      </w:pict>
    </w:r>
    <w:r>
      <w:pict>
        <v:shape id="_x0000_s8" style="position:absolute;margin-left:370.95pt;margin-top:13.0756pt;mso-position-vertical-relative:text;mso-position-horizontal-relative:text;width:84.95pt;height:12.65pt;z-index:25166131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62336"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69"/>
      <w:spacing w:before="281" w:line="220" w:lineRule="auto"/>
      <w:rPr>
        <w:sz w:val="18"/>
        <w:szCs w:val="18"/>
      </w:rPr>
    </w:pPr>
    <w:r>
      <w:pict>
        <v:shape id="_x0000_s10" style="position:absolute;margin-left:69.504pt;margin-top:67.3201pt;mso-position-vertical-relative:page;mso-position-horizontal-relative:page;width:463.65pt;height:0.75pt;z-index:251666432;" o:allowincell="f" fillcolor="#000000" filled="true" stroked="false" coordsize="9272,15" coordorigin="0,0" path="m0,14l9272,14l9272,0l0,0l0,14xe"/>
      </w:pict>
    </w:r>
    <w:r>
      <w:pict>
        <v:shape id="_x0000_s12" style="position:absolute;margin-left:393.894pt;margin-top:13.0756pt;mso-position-vertical-relative:text;mso-position-horizontal-relative:text;width:84.95pt;height:12.65pt;z-index:25166438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65408"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754"/>
      <w:spacing w:before="281" w:line="220" w:lineRule="auto"/>
      <w:rPr>
        <w:sz w:val="18"/>
        <w:szCs w:val="18"/>
      </w:rPr>
    </w:pPr>
    <w:r>
      <w:pict>
        <v:shape id="_x0000_s14" style="position:absolute;margin-left:69.504pt;margin-top:67.3201pt;mso-position-vertical-relative:page;mso-position-horizontal-relative:page;width:463.65pt;height:0.75pt;z-index:251669504;" o:allowincell="f" fillcolor="#000000" filled="true" stroked="false" coordsize="9272,15" coordorigin="0,0" path="m0,14l9272,14l9272,0l0,0l0,14xe"/>
      </w:pict>
    </w:r>
    <w:r>
      <w:pict>
        <v:shape id="_x0000_s16" style="position:absolute;margin-left:408.174pt;margin-top:13.0756pt;mso-position-vertical-relative:text;mso-position-horizontal-relative:text;width:84.95pt;height:12.65pt;z-index:251667456;"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68480"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18" style="position:absolute;margin-left:69.504pt;margin-top:67.3201pt;mso-position-vertical-relative:page;mso-position-horizontal-relative:page;width:463.65pt;height:0.75pt;z-index:251675648;" o:allowincell="f" fillcolor="#000000" filled="true" stroked="false" coordsize="9272,15" coordorigin="0,0" path="m0,14l9272,14l9272,0l0,0l0,14xe"/>
      </w:pict>
    </w:r>
    <w:r>
      <w:pict>
        <v:shape id="_x0000_s20" style="position:absolute;margin-left:366.75pt;margin-top:13.0756pt;mso-position-vertical-relative:text;mso-position-horizontal-relative:text;width:84.95pt;height:12.65pt;z-index:25167360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74624"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754"/>
      <w:spacing w:before="281" w:line="220" w:lineRule="auto"/>
      <w:rPr>
        <w:sz w:val="18"/>
        <w:szCs w:val="18"/>
      </w:rPr>
    </w:pPr>
    <w:r>
      <w:pict>
        <v:shape id="_x0000_s22" style="position:absolute;margin-left:69.504pt;margin-top:67.3201pt;mso-position-vertical-relative:page;mso-position-horizontal-relative:page;width:463.65pt;height:0.75pt;z-index:251678720;" o:allowincell="f" fillcolor="#000000" filled="true" stroked="false" coordsize="9272,15" coordorigin="0,0" path="m0,14l9272,14l9272,0l0,0l0,14xe"/>
      </w:pict>
    </w:r>
    <w:r>
      <w:pict>
        <v:shape id="_x0000_s24" style="position:absolute;margin-left:408.174pt;margin-top:13.0756pt;mso-position-vertical-relative:text;mso-position-horizontal-relative:text;width:84.95pt;height:12.65pt;z-index:25167667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77696"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18" name="IM 18"/>
          <wp:cNvGraphicFramePr/>
          <a:graphic>
            <a:graphicData uri="http://schemas.openxmlformats.org/drawingml/2006/picture">
              <pic:pic>
                <pic:nvPicPr>
                  <pic:cNvPr id="18" name="IM 18"/>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26" style="position:absolute;margin-left:69.504pt;margin-top:67.3201pt;mso-position-vertical-relative:page;mso-position-horizontal-relative:page;width:463.65pt;height:0.75pt;z-index:251681792;" o:allowincell="f" fillcolor="#000000" filled="true" stroked="false" coordsize="9272,15" coordorigin="0,0" path="m0,14l9272,14l9272,0l0,0l0,14xe"/>
      </w:pict>
    </w:r>
    <w:r>
      <w:pict>
        <v:shape id="_x0000_s28" style="position:absolute;margin-left:366.75pt;margin-top:13.0756pt;mso-position-vertical-relative:text;mso-position-horizontal-relative:text;width:84.95pt;height:12.65pt;z-index:25167974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80768"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30" style="position:absolute;margin-left:69.504pt;margin-top:67.3201pt;mso-position-vertical-relative:page;mso-position-horizontal-relative:page;width:463.65pt;height:0.75pt;z-index:251684864;" o:allowincell="f" fillcolor="#000000" filled="true" stroked="false" coordsize="9272,15" coordorigin="0,0" path="m0,14l9272,14l9272,0l0,0l0,14xe"/>
      </w:pict>
    </w:r>
    <w:r>
      <w:pict>
        <v:shape id="_x0000_s32" style="position:absolute;margin-left:366.75pt;margin-top:13.0756pt;mso-position-vertical-relative:text;mso-position-horizontal-relative:text;width:84.95pt;height:12.65pt;z-index:251682816;"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83840"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26"/>
      <w:spacing w:before="281" w:line="220" w:lineRule="auto"/>
      <w:rPr>
        <w:sz w:val="18"/>
        <w:szCs w:val="18"/>
      </w:rPr>
    </w:pPr>
    <w:r>
      <w:pict>
        <v:shape id="_x0000_s34" style="position:absolute;margin-left:69.504pt;margin-top:67.3201pt;mso-position-vertical-relative:page;mso-position-horizontal-relative:page;width:463.65pt;height:0.75pt;z-index:251687936;" o:allowincell="f" fillcolor="#000000" filled="true" stroked="false" coordsize="9272,15" coordorigin="0,0" path="m0,14l9272,14l9272,0l0,0l0,14xe"/>
      </w:pict>
    </w:r>
    <w:r>
      <w:pict>
        <v:shape id="_x0000_s36" style="position:absolute;margin-left:366.75pt;margin-top:13.0756pt;mso-position-vertical-relative:text;mso-position-horizontal-relative:text;width:84.95pt;height:12.65pt;z-index:25168588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2020</w:t>
                </w:r>
                <w:r>
                  <w:rPr>
                    <w:rFonts w:ascii="Calibri" w:hAnsi="Calibri" w:eastAsia="Calibri" w:cs="Calibri"/>
                    <w:sz w:val="18"/>
                    <w:szCs w:val="18"/>
                    <w:spacing w:val="15"/>
                  </w:rPr>
                  <w:t xml:space="preserve"> </w:t>
                </w:r>
                <w:r>
                  <w:rPr>
                    <w:sz w:val="18"/>
                    <w:szCs w:val="18"/>
                    <w:spacing w:val="-2"/>
                  </w:rPr>
                  <w:t>年年度报告摘要</w:t>
                </w:r>
              </w:p>
            </w:txbxContent>
          </v:textbox>
        </v:shape>
      </w:pict>
    </w:r>
    <w:r>
      <w:drawing>
        <wp:anchor distT="0" distB="0" distL="0" distR="0" simplePos="0" relativeHeight="251686912" behindDoc="0" locked="0" layoutInCell="0" allowOverlap="1">
          <wp:simplePos x="0" y="0"/>
          <wp:positionH relativeFrom="page">
            <wp:posOffset>1045210</wp:posOffset>
          </wp:positionH>
          <wp:positionV relativeFrom="page">
            <wp:posOffset>542290</wp:posOffset>
          </wp:positionV>
          <wp:extent cx="352425" cy="266700"/>
          <wp:effectExtent l="0" t="0" r="0" b="0"/>
          <wp:wrapNone/>
          <wp:docPr id="24" name="IM 24"/>
          <wp:cNvGraphicFramePr/>
          <a:graphic>
            <a:graphicData uri="http://schemas.openxmlformats.org/drawingml/2006/picture">
              <pic:pic>
                <pic:nvPicPr>
                  <pic:cNvPr id="24" name="IM 24"/>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4.xml"/><Relationship Id="rId7" Type="http://schemas.openxmlformats.org/officeDocument/2006/relationships/footer" Target="footer3.xml"/><Relationship Id="rId6" Type="http://schemas.openxmlformats.org/officeDocument/2006/relationships/header" Target="header3.xml"/><Relationship Id="rId5" Type="http://schemas.openxmlformats.org/officeDocument/2006/relationships/footer" Target="footer2.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styles" Target="styles.xml"/><Relationship Id="rId37" Type="http://schemas.openxmlformats.org/officeDocument/2006/relationships/settings" Target="settings.xml"/><Relationship Id="rId36" Type="http://schemas.openxmlformats.org/officeDocument/2006/relationships/footer" Target="footer18.xml"/><Relationship Id="rId35" Type="http://schemas.openxmlformats.org/officeDocument/2006/relationships/footer" Target="footer17.xml"/><Relationship Id="rId34" Type="http://schemas.openxmlformats.org/officeDocument/2006/relationships/header" Target="header15.xml"/><Relationship Id="rId33" Type="http://schemas.openxmlformats.org/officeDocument/2006/relationships/footer" Target="footer16.xml"/><Relationship Id="rId32" Type="http://schemas.openxmlformats.org/officeDocument/2006/relationships/footer" Target="footer15.xml"/><Relationship Id="rId31" Type="http://schemas.openxmlformats.org/officeDocument/2006/relationships/header" Target="header14.xml"/><Relationship Id="rId30" Type="http://schemas.openxmlformats.org/officeDocument/2006/relationships/footer" Target="footer14.xml"/><Relationship Id="rId3" Type="http://schemas.openxmlformats.org/officeDocument/2006/relationships/image" Target="media/image2.jpeg"/><Relationship Id="rId29" Type="http://schemas.openxmlformats.org/officeDocument/2006/relationships/header" Target="header13.xml"/><Relationship Id="rId28" Type="http://schemas.openxmlformats.org/officeDocument/2006/relationships/footer" Target="footer13.xml"/><Relationship Id="rId27" Type="http://schemas.openxmlformats.org/officeDocument/2006/relationships/header" Target="header12.xml"/><Relationship Id="rId26" Type="http://schemas.openxmlformats.org/officeDocument/2006/relationships/footer" Target="footer12.xml"/><Relationship Id="rId25" Type="http://schemas.openxmlformats.org/officeDocument/2006/relationships/header" Target="header11.xml"/><Relationship Id="rId24" Type="http://schemas.openxmlformats.org/officeDocument/2006/relationships/footer" Target="footer11.xml"/><Relationship Id="rId23" Type="http://schemas.openxmlformats.org/officeDocument/2006/relationships/header" Target="header10.xml"/><Relationship Id="rId22" Type="http://schemas.openxmlformats.org/officeDocument/2006/relationships/footer" Target="footer10.xml"/><Relationship Id="rId21" Type="http://schemas.openxmlformats.org/officeDocument/2006/relationships/header" Target="header9.xml"/><Relationship Id="rId20" Type="http://schemas.openxmlformats.org/officeDocument/2006/relationships/footer" Target="footer9.xml"/><Relationship Id="rId2" Type="http://schemas.openxmlformats.org/officeDocument/2006/relationships/footer" Target="footer1.xml"/><Relationship Id="rId19" Type="http://schemas.openxmlformats.org/officeDocument/2006/relationships/header" Target="header8.xml"/><Relationship Id="rId18" Type="http://schemas.openxmlformats.org/officeDocument/2006/relationships/footer" Target="footer8.xml"/><Relationship Id="rId17" Type="http://schemas.openxmlformats.org/officeDocument/2006/relationships/header" Target="header7.xml"/><Relationship Id="rId16" Type="http://schemas.openxmlformats.org/officeDocument/2006/relationships/footer" Target="footer7.xml"/><Relationship Id="rId15" Type="http://schemas.openxmlformats.org/officeDocument/2006/relationships/header" Target="header6.xml"/><Relationship Id="rId14" Type="http://schemas.openxmlformats.org/officeDocument/2006/relationships/image" Target="media/image4.jpeg"/><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image" Target="media/image3.jpeg"/><Relationship Id="rId10" Type="http://schemas.openxmlformats.org/officeDocument/2006/relationships/footer" Target="foot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股份有限公司</dc:title>
  <dc:creator>czq</dc:creator>
  <dcterms:created xsi:type="dcterms:W3CDTF">2021-03-11T17:38:06Z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2024-09-26T15:51:22</vt:filetime>
  </property>
</Properties>
</file>