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74" w:lineRule="auto"/>
        <w:rPr>
          <w:rFonts w:ascii="Arial"/>
          <w:sz w:val="21"/>
        </w:rPr>
      </w:pPr>
      <w:r/>
    </w:p>
    <w:p>
      <w:pPr>
        <w:ind w:right="4"/>
        <w:spacing w:before="69" w:line="220" w:lineRule="auto"/>
        <w:jc w:val="right"/>
        <w:rPr>
          <w:rFonts w:ascii="SimSun" w:hAnsi="SimSun" w:eastAsia="SimSun" w:cs="SimSun"/>
          <w:sz w:val="21"/>
          <w:szCs w:val="21"/>
        </w:rPr>
      </w:pPr>
      <w:r>
        <w:rPr>
          <w:rFonts w:ascii="SimSun" w:hAnsi="SimSun" w:eastAsia="SimSun" w:cs="SimSun"/>
          <w:sz w:val="21"/>
          <w:szCs w:val="21"/>
          <w:spacing w:val="-6"/>
        </w:rPr>
        <w:t>公司代码：600050</w:t>
      </w:r>
      <w:r>
        <w:rPr>
          <w:rFonts w:ascii="SimSun" w:hAnsi="SimSun" w:eastAsia="SimSun" w:cs="SimSun"/>
          <w:sz w:val="21"/>
          <w:szCs w:val="21"/>
        </w:rPr>
        <w:t xml:space="preserve">                                                   </w:t>
      </w:r>
      <w:r>
        <w:rPr>
          <w:rFonts w:ascii="SimSun" w:hAnsi="SimSun" w:eastAsia="SimSun" w:cs="SimSun"/>
          <w:sz w:val="21"/>
          <w:szCs w:val="21"/>
          <w:spacing w:val="-6"/>
        </w:rPr>
        <w:t>公司简称：中国联通</w:t>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60" w:lineRule="auto"/>
        <w:rPr>
          <w:rFonts w:ascii="Arial"/>
          <w:sz w:val="21"/>
        </w:rPr>
      </w:pPr>
      <w:r/>
    </w:p>
    <w:p>
      <w:pPr>
        <w:spacing w:line="260" w:lineRule="auto"/>
        <w:rPr>
          <w:rFonts w:ascii="Arial"/>
          <w:sz w:val="21"/>
        </w:rPr>
      </w:pPr>
      <w:r/>
    </w:p>
    <w:p>
      <w:pPr>
        <w:ind w:left="2811" w:right="2177" w:hanging="573"/>
        <w:spacing w:before="100" w:line="298" w:lineRule="auto"/>
        <w:outlineLvl w:val="0"/>
        <w:rPr>
          <w:rFonts w:ascii="SimSun" w:hAnsi="SimSun" w:eastAsia="SimSun" w:cs="SimSun"/>
          <w:sz w:val="31"/>
          <w:szCs w:val="31"/>
        </w:rPr>
      </w:pPr>
      <w:r>
        <w:rPr>
          <w:rFonts w:ascii="SimSun" w:hAnsi="SimSun" w:eastAsia="SimSun" w:cs="SimSun"/>
          <w:sz w:val="31"/>
          <w:szCs w:val="31"/>
          <w:b/>
          <w:bCs/>
          <w:spacing w:val="4"/>
        </w:rPr>
        <w:t>中国联合网络通信股份有限公司</w:t>
      </w:r>
      <w:r>
        <w:rPr>
          <w:rFonts w:ascii="SimSun" w:hAnsi="SimSun" w:eastAsia="SimSun" w:cs="SimSun"/>
          <w:sz w:val="31"/>
          <w:szCs w:val="31"/>
          <w:spacing w:val="10"/>
        </w:rPr>
        <w:t xml:space="preserve"> </w:t>
      </w:r>
      <w:r>
        <w:rPr>
          <w:rFonts w:ascii="SimSun" w:hAnsi="SimSun" w:eastAsia="SimSun" w:cs="SimSun"/>
          <w:sz w:val="31"/>
          <w:szCs w:val="31"/>
          <w:b/>
          <w:bCs/>
          <w:spacing w:val="3"/>
        </w:rPr>
        <w:t>2019</w:t>
      </w:r>
      <w:r>
        <w:rPr>
          <w:rFonts w:ascii="SimSun" w:hAnsi="SimSun" w:eastAsia="SimSun" w:cs="SimSun"/>
          <w:sz w:val="31"/>
          <w:szCs w:val="31"/>
          <w:spacing w:val="-54"/>
        </w:rPr>
        <w:t xml:space="preserve"> </w:t>
      </w:r>
      <w:r>
        <w:rPr>
          <w:rFonts w:ascii="SimSun" w:hAnsi="SimSun" w:eastAsia="SimSun" w:cs="SimSun"/>
          <w:sz w:val="31"/>
          <w:szCs w:val="31"/>
          <w:b/>
          <w:bCs/>
          <w:spacing w:val="3"/>
        </w:rPr>
        <w:t>年半年度报告摘要</w:t>
      </w:r>
    </w:p>
    <w:p>
      <w:pPr>
        <w:spacing w:line="264" w:lineRule="auto"/>
        <w:rPr>
          <w:rFonts w:ascii="Arial"/>
          <w:sz w:val="21"/>
        </w:rPr>
      </w:pPr>
      <w: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ind w:firstLine="1924"/>
        <w:spacing w:line="2746" w:lineRule="exact"/>
        <w:rPr/>
      </w:pPr>
      <w:r>
        <w:rPr>
          <w:position w:val="-54"/>
        </w:rPr>
        <w:drawing>
          <wp:inline distT="0" distB="0" distL="0" distR="0">
            <wp:extent cx="3200399" cy="1743709"/>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3200399" cy="1743709"/>
                    </a:xfrm>
                    <a:prstGeom prst="rect">
                      <a:avLst/>
                    </a:prstGeom>
                  </pic:spPr>
                </pic:pic>
              </a:graphicData>
            </a:graphic>
          </wp:inline>
        </w:drawing>
      </w:r>
    </w:p>
    <w:p>
      <w:pPr>
        <w:spacing w:line="2746" w:lineRule="exact"/>
        <w:sectPr>
          <w:headerReference w:type="default" r:id="rId1"/>
          <w:footerReference w:type="default" r:id="rId2"/>
          <w:pgSz w:w="11907" w:h="16839"/>
          <w:pgMar w:top="1391" w:right="1265" w:bottom="1374" w:left="1771" w:header="842" w:footer="1212" w:gutter="0"/>
        </w:sectPr>
        <w:rPr/>
      </w:pPr>
    </w:p>
    <w:p>
      <w:pPr>
        <w:ind w:left="49"/>
        <w:spacing w:before="171" w:line="219" w:lineRule="auto"/>
        <w:outlineLvl w:val="1"/>
        <w:rPr>
          <w:rFonts w:ascii="SimHei" w:hAnsi="SimHei" w:eastAsia="SimHei" w:cs="SimHei"/>
          <w:sz w:val="24"/>
          <w:szCs w:val="24"/>
        </w:rPr>
      </w:pPr>
      <w:r>
        <w:rPr>
          <w:rFonts w:ascii="SimHei" w:hAnsi="SimHei" w:eastAsia="SimHei" w:cs="SimHei"/>
          <w:sz w:val="24"/>
          <w:szCs w:val="24"/>
          <w:b/>
          <w:bCs/>
          <w:spacing w:val="-8"/>
        </w:rPr>
        <w:t>一</w:t>
      </w:r>
      <w:r>
        <w:rPr>
          <w:rFonts w:ascii="SimHei" w:hAnsi="SimHei" w:eastAsia="SimHei" w:cs="SimHei"/>
          <w:sz w:val="24"/>
          <w:szCs w:val="24"/>
          <w:spacing w:val="77"/>
        </w:rPr>
        <w:t xml:space="preserve"> </w:t>
      </w:r>
      <w:r>
        <w:rPr>
          <w:rFonts w:ascii="SimHei" w:hAnsi="SimHei" w:eastAsia="SimHei" w:cs="SimHei"/>
          <w:sz w:val="24"/>
          <w:szCs w:val="24"/>
          <w:b/>
          <w:bCs/>
          <w:spacing w:val="-8"/>
        </w:rPr>
        <w:t>重要提示</w:t>
      </w:r>
    </w:p>
    <w:p>
      <w:pPr>
        <w:spacing w:line="380" w:lineRule="auto"/>
        <w:rPr>
          <w:rFonts w:ascii="Arial"/>
          <w:sz w:val="21"/>
        </w:rPr>
      </w:pPr>
      <w:r/>
    </w:p>
    <w:p>
      <w:pPr>
        <w:pStyle w:val="BodyText"/>
        <w:ind w:left="59"/>
        <w:spacing w:before="68" w:line="219" w:lineRule="auto"/>
        <w:outlineLvl w:val="1"/>
        <w:rPr/>
      </w:pPr>
      <w:r>
        <w:rPr>
          <w:b/>
          <w:bCs/>
        </w:rPr>
        <w:t>1</w:t>
      </w:r>
      <w:r>
        <w:rPr/>
        <w:t xml:space="preserve">  </w:t>
      </w:r>
      <w:r>
        <w:rPr>
          <w:b/>
          <w:bCs/>
        </w:rPr>
        <w:t>本半年度报告摘要来自半年度报告全文，为全面了解本公司的经营成果、财务状况及未</w:t>
      </w:r>
      <w:r>
        <w:rPr>
          <w:b/>
          <w:bCs/>
          <w:spacing w:val="-1"/>
        </w:rPr>
        <w:t>来发</w:t>
      </w:r>
    </w:p>
    <w:p>
      <w:pPr>
        <w:pStyle w:val="BodyText"/>
        <w:ind w:left="386" w:right="100"/>
        <w:spacing w:before="218" w:line="399" w:lineRule="auto"/>
        <w:rPr/>
      </w:pPr>
      <w:r>
        <w:rPr>
          <w:b/>
          <w:bCs/>
        </w:rPr>
        <w:t>展规划，投资者应当到上海证券交易所网站等中国证监会指定媒</w:t>
      </w:r>
      <w:r>
        <w:rPr>
          <w:b/>
          <w:bCs/>
          <w:spacing w:val="-1"/>
        </w:rPr>
        <w:t>体上仔细阅读半年度报告全</w:t>
      </w:r>
      <w:r>
        <w:rPr/>
        <w:t xml:space="preserve"> </w:t>
      </w:r>
      <w:r>
        <w:rPr>
          <w:b/>
          <w:bCs/>
          <w:spacing w:val="-12"/>
        </w:rPr>
        <w:t>文。</w:t>
      </w:r>
    </w:p>
    <w:p>
      <w:pPr>
        <w:pStyle w:val="BodyText"/>
        <w:ind w:left="46"/>
        <w:spacing w:before="28" w:line="219" w:lineRule="auto"/>
        <w:outlineLvl w:val="1"/>
        <w:rPr/>
      </w:pPr>
      <w:r>
        <w:rPr>
          <w:b/>
          <w:bCs/>
        </w:rPr>
        <w:t>2</w:t>
      </w:r>
      <w:r>
        <w:rPr/>
        <w:t xml:space="preserve">  </w:t>
      </w:r>
      <w:r>
        <w:rPr>
          <w:b/>
          <w:bCs/>
        </w:rPr>
        <w:t>本公司董事会、监事会及董事、监事、高级管理人员保证半年度报告内容的真实、准确、完</w:t>
      </w:r>
    </w:p>
    <w:p>
      <w:pPr>
        <w:pStyle w:val="BodyText"/>
        <w:ind w:left="385"/>
        <w:spacing w:before="218" w:line="220" w:lineRule="auto"/>
        <w:rPr/>
      </w:pPr>
      <w:r>
        <w:rPr>
          <w:b/>
          <w:bCs/>
          <w:spacing w:val="-2"/>
        </w:rPr>
        <w:t>整，不存在虚假记载、误导性陈述或重大遗漏，并承担个别和连带的</w:t>
      </w:r>
      <w:r>
        <w:rPr>
          <w:b/>
          <w:bCs/>
          <w:spacing w:val="-3"/>
        </w:rPr>
        <w:t>法律责任。</w:t>
      </w:r>
    </w:p>
    <w:p>
      <w:pPr>
        <w:pStyle w:val="BodyText"/>
        <w:ind w:left="43" w:right="5667" w:firstLine="5"/>
        <w:spacing w:before="218" w:line="397" w:lineRule="auto"/>
        <w:rPr/>
      </w:pPr>
      <w:r>
        <w:rPr>
          <w:b/>
          <w:bCs/>
          <w:spacing w:val="-6"/>
        </w:rPr>
        <w:t>3</w:t>
      </w:r>
      <w:r>
        <w:rPr>
          <w:spacing w:val="25"/>
        </w:rPr>
        <w:t xml:space="preserve">  </w:t>
      </w:r>
      <w:r>
        <w:rPr>
          <w:b/>
          <w:bCs/>
          <w:spacing w:val="-6"/>
        </w:rPr>
        <w:t>公司全体董事出席董事会会议。</w:t>
      </w:r>
      <w:r>
        <w:rPr/>
        <w:t xml:space="preserve"> </w:t>
      </w:r>
      <w:r>
        <w:rPr>
          <w:b/>
          <w:bCs/>
          <w:spacing w:val="-4"/>
        </w:rPr>
        <w:t>4</w:t>
      </w:r>
      <w:r>
        <w:rPr>
          <w:spacing w:val="17"/>
        </w:rPr>
        <w:t xml:space="preserve">  </w:t>
      </w:r>
      <w:r>
        <w:rPr>
          <w:b/>
          <w:bCs/>
          <w:spacing w:val="-4"/>
        </w:rPr>
        <w:t>本半年度报告未经审计。</w:t>
      </w:r>
    </w:p>
    <w:p>
      <w:pPr>
        <w:pStyle w:val="BodyText"/>
        <w:ind w:left="48"/>
        <w:spacing w:before="33" w:line="219" w:lineRule="auto"/>
        <w:outlineLvl w:val="1"/>
        <w:rPr/>
      </w:pPr>
      <w:r>
        <w:rPr>
          <w:b/>
          <w:bCs/>
          <w:spacing w:val="-1"/>
        </w:rPr>
        <w:t>5</w:t>
      </w:r>
      <w:r>
        <w:rPr>
          <w:spacing w:val="-1"/>
        </w:rPr>
        <w:t xml:space="preserve">  </w:t>
      </w:r>
      <w:r>
        <w:rPr>
          <w:b/>
          <w:bCs/>
          <w:spacing w:val="-1"/>
        </w:rPr>
        <w:t>经董事会审议的报告期利润分配预案或公积金转增股本预案</w:t>
      </w:r>
    </w:p>
    <w:p>
      <w:pPr>
        <w:pStyle w:val="BodyText"/>
        <w:ind w:left="44" w:firstLine="420"/>
        <w:spacing w:before="218" w:line="405" w:lineRule="auto"/>
        <w:jc w:val="both"/>
        <w:rPr/>
      </w:pPr>
      <w:r>
        <w:rPr>
          <w:spacing w:val="-6"/>
        </w:rPr>
        <w:t>本公司通过中国联通(BVI)有限公司（简称“联通</w:t>
      </w:r>
      <w:r>
        <w:rPr>
          <w:spacing w:val="-40"/>
        </w:rPr>
        <w:t xml:space="preserve"> </w:t>
      </w:r>
      <w:r>
        <w:rPr>
          <w:spacing w:val="-6"/>
        </w:rPr>
        <w:t>BVI</w:t>
      </w:r>
      <w:r>
        <w:rPr>
          <w:spacing w:val="-39"/>
        </w:rPr>
        <w:t xml:space="preserve"> </w:t>
      </w:r>
      <w:r>
        <w:rPr>
          <w:spacing w:val="-6"/>
        </w:rPr>
        <w:t>公司</w:t>
      </w:r>
      <w:r>
        <w:rPr>
          <w:spacing w:val="-77"/>
        </w:rPr>
        <w:t xml:space="preserve"> </w:t>
      </w:r>
      <w:r>
        <w:rPr>
          <w:spacing w:val="-6"/>
        </w:rPr>
        <w:t>”）持有中国联合网络通信（香港）</w:t>
      </w:r>
      <w:r>
        <w:rPr/>
        <w:t xml:space="preserve"> </w:t>
      </w:r>
      <w:r>
        <w:rPr/>
        <w:t>股份有限公司（简称“联通红筹公司</w:t>
      </w:r>
      <w:r>
        <w:rPr>
          <w:spacing w:val="-77"/>
        </w:rPr>
        <w:t xml:space="preserve"> </w:t>
      </w:r>
      <w:r>
        <w:rPr/>
        <w:t>”）的股权。</w:t>
      </w:r>
      <w:r>
        <w:rPr>
          <w:spacing w:val="-1"/>
        </w:rPr>
        <w:t>按本公司章程规定，应将自联通红筹公司分红</w:t>
      </w:r>
      <w:r>
        <w:rPr/>
        <w:t xml:space="preserve">  </w:t>
      </w:r>
      <w:r>
        <w:rPr/>
        <w:t>所得现金在扣除公司日常现金开支、税费及法律法规规定应当提取的各项公积金后，以现金方式</w:t>
      </w:r>
      <w:r>
        <w:rPr>
          <w:spacing w:val="4"/>
        </w:rPr>
        <w:t xml:space="preserve">  </w:t>
      </w:r>
      <w:r>
        <w:rPr>
          <w:spacing w:val="-1"/>
        </w:rPr>
        <w:t>全额分配给股东。</w:t>
      </w:r>
    </w:p>
    <w:p>
      <w:pPr>
        <w:pStyle w:val="BodyText"/>
        <w:ind w:left="43" w:right="90" w:firstLine="423"/>
        <w:spacing w:before="31" w:line="402" w:lineRule="auto"/>
        <w:jc w:val="both"/>
        <w:rPr/>
      </w:pPr>
      <w:r>
        <w:rPr/>
        <w:t>鉴于联通红筹公司董事会在充分考虑公司盈利状况、债务和现金流水平以及未来发展的资金</w:t>
      </w:r>
      <w:r>
        <w:rPr>
          <w:spacing w:val="3"/>
        </w:rPr>
        <w:t xml:space="preserve"> </w:t>
      </w:r>
      <w:r>
        <w:rPr>
          <w:spacing w:val="-3"/>
        </w:rPr>
        <w:t>需求等因素后，决定不派发</w:t>
      </w:r>
      <w:r>
        <w:rPr>
          <w:spacing w:val="-25"/>
        </w:rPr>
        <w:t xml:space="preserve"> </w:t>
      </w:r>
      <w:r>
        <w:rPr>
          <w:spacing w:val="-3"/>
        </w:rPr>
        <w:t>2019</w:t>
      </w:r>
      <w:r>
        <w:rPr>
          <w:spacing w:val="-44"/>
        </w:rPr>
        <w:t xml:space="preserve"> </w:t>
      </w:r>
      <w:r>
        <w:rPr>
          <w:spacing w:val="-3"/>
        </w:rPr>
        <w:t>年中期股利，本公司本年度不派发中期股息。董事会将根据全年</w:t>
      </w:r>
      <w:r>
        <w:rPr/>
        <w:t xml:space="preserve"> </w:t>
      </w:r>
      <w:r>
        <w:rPr/>
        <w:t>业绩情况，提出年度股息派发方案的建议，提交股东大会审</w:t>
      </w:r>
      <w:r>
        <w:rPr>
          <w:spacing w:val="-1"/>
        </w:rPr>
        <w:t>议。</w:t>
      </w:r>
    </w:p>
    <w:p>
      <w:pPr>
        <w:spacing w:line="332" w:lineRule="auto"/>
        <w:rPr>
          <w:rFonts w:ascii="Arial"/>
          <w:sz w:val="21"/>
        </w:rPr>
      </w:pPr>
      <w:r/>
    </w:p>
    <w:p>
      <w:pPr>
        <w:spacing w:line="332" w:lineRule="auto"/>
        <w:rPr>
          <w:rFonts w:ascii="Arial"/>
          <w:sz w:val="21"/>
        </w:rPr>
      </w:pPr>
      <w:r/>
    </w:p>
    <w:p>
      <w:pPr>
        <w:ind w:left="49"/>
        <w:spacing w:before="79" w:line="220" w:lineRule="auto"/>
        <w:outlineLvl w:val="1"/>
        <w:rPr>
          <w:rFonts w:ascii="SimHei" w:hAnsi="SimHei" w:eastAsia="SimHei" w:cs="SimHei"/>
          <w:sz w:val="24"/>
          <w:szCs w:val="24"/>
        </w:rPr>
      </w:pPr>
      <w:r>
        <w:rPr>
          <w:rFonts w:ascii="SimHei" w:hAnsi="SimHei" w:eastAsia="SimHei" w:cs="SimHei"/>
          <w:sz w:val="24"/>
          <w:szCs w:val="24"/>
          <w:b/>
          <w:bCs/>
          <w:spacing w:val="-6"/>
        </w:rPr>
        <w:t>二</w:t>
      </w:r>
      <w:r>
        <w:rPr>
          <w:rFonts w:ascii="SimHei" w:hAnsi="SimHei" w:eastAsia="SimHei" w:cs="SimHei"/>
          <w:sz w:val="24"/>
          <w:szCs w:val="24"/>
          <w:spacing w:val="74"/>
        </w:rPr>
        <w:t xml:space="preserve"> </w:t>
      </w:r>
      <w:r>
        <w:rPr>
          <w:rFonts w:ascii="SimHei" w:hAnsi="SimHei" w:eastAsia="SimHei" w:cs="SimHei"/>
          <w:sz w:val="24"/>
          <w:szCs w:val="24"/>
          <w:b/>
          <w:bCs/>
          <w:spacing w:val="-6"/>
        </w:rPr>
        <w:t>公司基本情况</w:t>
      </w:r>
    </w:p>
    <w:p>
      <w:pPr>
        <w:spacing w:line="378" w:lineRule="auto"/>
        <w:rPr>
          <w:rFonts w:ascii="Arial"/>
          <w:sz w:val="21"/>
        </w:rPr>
      </w:pPr>
      <w:r/>
    </w:p>
    <w:p>
      <w:pPr>
        <w:pStyle w:val="BodyText"/>
        <w:ind w:left="46"/>
        <w:spacing w:before="68" w:line="220" w:lineRule="auto"/>
        <w:outlineLvl w:val="1"/>
        <w:rPr/>
      </w:pPr>
      <w:r>
        <w:rPr>
          <w:b/>
          <w:bCs/>
          <w:spacing w:val="-5"/>
        </w:rPr>
        <w:t>2.1</w:t>
      </w:r>
      <w:r>
        <w:rPr>
          <w:spacing w:val="15"/>
        </w:rPr>
        <w:t xml:space="preserve"> </w:t>
      </w:r>
      <w:r>
        <w:rPr>
          <w:b/>
          <w:bCs/>
          <w:spacing w:val="-5"/>
        </w:rPr>
        <w:t>公司简介</w:t>
      </w:r>
    </w:p>
    <w:p>
      <w:pPr>
        <w:spacing w:line="90" w:lineRule="exact"/>
        <w:rPr/>
      </w:pPr>
      <w:r/>
    </w:p>
    <w:tbl>
      <w:tblPr>
        <w:tblStyle w:val="TableNormal"/>
        <w:tblW w:w="89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8"/>
        <w:gridCol w:w="3217"/>
        <w:gridCol w:w="1890"/>
        <w:gridCol w:w="1895"/>
      </w:tblGrid>
      <w:tr>
        <w:trPr>
          <w:trHeight w:val="484" w:hRule="atLeast"/>
        </w:trPr>
        <w:tc>
          <w:tcPr>
            <w:shd w:val="clear" w:fill="D9D9D9"/>
            <w:tcW w:w="1898" w:type="dxa"/>
            <w:vAlign w:val="top"/>
          </w:tcPr>
          <w:p>
            <w:pPr>
              <w:pStyle w:val="TableText"/>
              <w:ind w:left="533"/>
              <w:spacing w:before="137" w:line="221" w:lineRule="auto"/>
              <w:rPr/>
            </w:pPr>
            <w:r>
              <w:rPr>
                <w:b/>
                <w:bCs/>
                <w:spacing w:val="-3"/>
              </w:rPr>
              <w:t>股票种类</w:t>
            </w:r>
          </w:p>
        </w:tc>
        <w:tc>
          <w:tcPr>
            <w:shd w:val="clear" w:fill="D9D9D9"/>
            <w:tcW w:w="3217" w:type="dxa"/>
            <w:vAlign w:val="top"/>
          </w:tcPr>
          <w:p>
            <w:pPr>
              <w:pStyle w:val="TableText"/>
              <w:ind w:left="875"/>
              <w:spacing w:before="137" w:line="221" w:lineRule="auto"/>
              <w:rPr/>
            </w:pPr>
            <w:r>
              <w:rPr>
                <w:b/>
                <w:bCs/>
                <w:spacing w:val="-3"/>
              </w:rPr>
              <w:t>股票上市交易所</w:t>
            </w:r>
          </w:p>
        </w:tc>
        <w:tc>
          <w:tcPr>
            <w:shd w:val="clear" w:fill="D9D9D9"/>
            <w:tcW w:w="1890" w:type="dxa"/>
            <w:vAlign w:val="top"/>
          </w:tcPr>
          <w:p>
            <w:pPr>
              <w:pStyle w:val="TableText"/>
              <w:ind w:left="529"/>
              <w:spacing w:before="137" w:line="220" w:lineRule="auto"/>
              <w:rPr/>
            </w:pPr>
            <w:r>
              <w:rPr>
                <w:b/>
                <w:bCs/>
                <w:spacing w:val="-3"/>
              </w:rPr>
              <w:t>股票简称</w:t>
            </w:r>
          </w:p>
        </w:tc>
        <w:tc>
          <w:tcPr>
            <w:shd w:val="clear" w:fill="D9D9D9"/>
            <w:tcW w:w="1895" w:type="dxa"/>
            <w:vAlign w:val="top"/>
          </w:tcPr>
          <w:p>
            <w:pPr>
              <w:pStyle w:val="TableText"/>
              <w:ind w:left="533"/>
              <w:spacing w:before="137" w:line="221" w:lineRule="auto"/>
              <w:rPr/>
            </w:pPr>
            <w:r>
              <w:rPr>
                <w:b/>
                <w:bCs/>
                <w:spacing w:val="-3"/>
              </w:rPr>
              <w:t>股票代码</w:t>
            </w:r>
          </w:p>
        </w:tc>
      </w:tr>
      <w:tr>
        <w:trPr>
          <w:trHeight w:val="417" w:hRule="atLeast"/>
        </w:trPr>
        <w:tc>
          <w:tcPr>
            <w:tcW w:w="1898" w:type="dxa"/>
            <w:vAlign w:val="top"/>
          </w:tcPr>
          <w:p>
            <w:pPr>
              <w:pStyle w:val="TableText"/>
              <w:ind w:left="791"/>
              <w:spacing w:before="101" w:line="223" w:lineRule="auto"/>
              <w:rPr/>
            </w:pPr>
            <w:r>
              <w:rPr/>
              <w:t>A股</w:t>
            </w:r>
          </w:p>
        </w:tc>
        <w:tc>
          <w:tcPr>
            <w:tcW w:w="3217" w:type="dxa"/>
            <w:vAlign w:val="top"/>
          </w:tcPr>
          <w:p>
            <w:pPr>
              <w:pStyle w:val="TableText"/>
              <w:ind w:left="879"/>
              <w:spacing w:before="102" w:line="221" w:lineRule="auto"/>
              <w:rPr/>
            </w:pPr>
            <w:r>
              <w:rPr>
                <w:spacing w:val="-1"/>
              </w:rPr>
              <w:t>上海证券交易所</w:t>
            </w:r>
          </w:p>
        </w:tc>
        <w:tc>
          <w:tcPr>
            <w:tcW w:w="1890" w:type="dxa"/>
            <w:vAlign w:val="top"/>
          </w:tcPr>
          <w:p>
            <w:pPr>
              <w:pStyle w:val="TableText"/>
              <w:ind w:left="549"/>
              <w:spacing w:before="102" w:line="221" w:lineRule="auto"/>
              <w:rPr/>
            </w:pPr>
            <w:r>
              <w:rPr>
                <w:spacing w:val="-7"/>
              </w:rPr>
              <w:t>中国联通</w:t>
            </w:r>
          </w:p>
        </w:tc>
        <w:tc>
          <w:tcPr>
            <w:tcW w:w="1895" w:type="dxa"/>
            <w:vAlign w:val="top"/>
          </w:tcPr>
          <w:p>
            <w:pPr>
              <w:pStyle w:val="TableText"/>
              <w:ind w:left="640"/>
              <w:spacing w:before="137" w:line="182" w:lineRule="auto"/>
              <w:rPr/>
            </w:pPr>
            <w:r>
              <w:rPr>
                <w:spacing w:val="-1"/>
              </w:rPr>
              <w:t>600050</w:t>
            </w:r>
          </w:p>
        </w:tc>
      </w:tr>
    </w:tbl>
    <w:p>
      <w:pPr>
        <w:spacing w:before="70"/>
        <w:rPr/>
      </w:pPr>
      <w:r/>
    </w:p>
    <w:tbl>
      <w:tblPr>
        <w:tblStyle w:val="TableNormal"/>
        <w:tblW w:w="8845" w:type="dxa"/>
        <w:tblInd w:w="8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879"/>
        <w:gridCol w:w="2984"/>
        <w:gridCol w:w="2982"/>
      </w:tblGrid>
      <w:tr>
        <w:trPr>
          <w:trHeight w:val="356" w:hRule="atLeast"/>
        </w:trPr>
        <w:tc>
          <w:tcPr>
            <w:shd w:val="clear" w:fill="D9D9D9"/>
            <w:tcW w:w="2879" w:type="dxa"/>
            <w:vAlign w:val="top"/>
          </w:tcPr>
          <w:p>
            <w:pPr>
              <w:pStyle w:val="TableText"/>
              <w:ind w:left="601"/>
              <w:spacing w:before="70" w:line="222" w:lineRule="auto"/>
              <w:rPr/>
            </w:pPr>
            <w:r>
              <w:rPr>
                <w:b/>
                <w:bCs/>
                <w:spacing w:val="-3"/>
              </w:rPr>
              <w:t>联系人和联系方式</w:t>
            </w:r>
          </w:p>
        </w:tc>
        <w:tc>
          <w:tcPr>
            <w:shd w:val="clear" w:fill="D9D9D9"/>
            <w:tcW w:w="2984" w:type="dxa"/>
            <w:vAlign w:val="top"/>
          </w:tcPr>
          <w:p>
            <w:pPr>
              <w:pStyle w:val="TableText"/>
              <w:ind w:left="971"/>
              <w:spacing w:before="70" w:line="220" w:lineRule="auto"/>
              <w:rPr/>
            </w:pPr>
            <w:r>
              <w:rPr>
                <w:b/>
                <w:bCs/>
                <w:spacing w:val="-3"/>
              </w:rPr>
              <w:t>董事会秘书</w:t>
            </w:r>
          </w:p>
        </w:tc>
        <w:tc>
          <w:tcPr>
            <w:shd w:val="clear" w:fill="D9D9D9"/>
            <w:tcW w:w="2982" w:type="dxa"/>
            <w:vAlign w:val="top"/>
          </w:tcPr>
          <w:p>
            <w:pPr>
              <w:pStyle w:val="TableText"/>
              <w:ind w:left="863"/>
              <w:spacing w:before="69" w:line="221" w:lineRule="auto"/>
              <w:rPr/>
            </w:pPr>
            <w:r>
              <w:rPr>
                <w:b/>
                <w:bCs/>
                <w:spacing w:val="-3"/>
              </w:rPr>
              <w:t>证券事务代表</w:t>
            </w:r>
          </w:p>
        </w:tc>
      </w:tr>
      <w:tr>
        <w:trPr>
          <w:trHeight w:val="446" w:hRule="atLeast"/>
        </w:trPr>
        <w:tc>
          <w:tcPr>
            <w:tcW w:w="2879" w:type="dxa"/>
            <w:vAlign w:val="top"/>
          </w:tcPr>
          <w:p>
            <w:pPr>
              <w:pStyle w:val="TableText"/>
              <w:ind w:left="65"/>
              <w:spacing w:before="115" w:line="221" w:lineRule="auto"/>
              <w:rPr/>
            </w:pPr>
            <w:r>
              <w:rPr>
                <w:spacing w:val="-2"/>
              </w:rPr>
              <w:t>姓名</w:t>
            </w:r>
          </w:p>
        </w:tc>
        <w:tc>
          <w:tcPr>
            <w:tcW w:w="2984" w:type="dxa"/>
            <w:vAlign w:val="top"/>
          </w:tcPr>
          <w:p>
            <w:pPr>
              <w:pStyle w:val="TableText"/>
              <w:ind w:left="65"/>
              <w:spacing w:before="115" w:line="221" w:lineRule="auto"/>
              <w:rPr/>
            </w:pPr>
            <w:r>
              <w:rPr>
                <w:spacing w:val="-2"/>
              </w:rPr>
              <w:t>朱可炳</w:t>
            </w:r>
          </w:p>
        </w:tc>
        <w:tc>
          <w:tcPr>
            <w:tcW w:w="2982" w:type="dxa"/>
            <w:vAlign w:val="top"/>
          </w:tcPr>
          <w:p>
            <w:pPr>
              <w:pStyle w:val="TableText"/>
              <w:ind w:left="65"/>
              <w:spacing w:before="115" w:line="221" w:lineRule="auto"/>
              <w:rPr/>
            </w:pPr>
            <w:r>
              <w:rPr>
                <w:spacing w:val="-1"/>
              </w:rPr>
              <w:t>黄学谦</w:t>
            </w:r>
          </w:p>
        </w:tc>
      </w:tr>
      <w:tr>
        <w:trPr>
          <w:trHeight w:val="423" w:hRule="atLeast"/>
        </w:trPr>
        <w:tc>
          <w:tcPr>
            <w:tcW w:w="2879" w:type="dxa"/>
            <w:vAlign w:val="top"/>
          </w:tcPr>
          <w:p>
            <w:pPr>
              <w:pStyle w:val="TableText"/>
              <w:ind w:left="90"/>
              <w:spacing w:before="105" w:line="223" w:lineRule="auto"/>
              <w:rPr/>
            </w:pPr>
            <w:r>
              <w:rPr>
                <w:spacing w:val="-8"/>
              </w:rPr>
              <w:t>电话</w:t>
            </w:r>
          </w:p>
        </w:tc>
        <w:tc>
          <w:tcPr>
            <w:tcW w:w="2984" w:type="dxa"/>
            <w:vAlign w:val="top"/>
          </w:tcPr>
          <w:p>
            <w:pPr>
              <w:pStyle w:val="TableText"/>
              <w:ind w:left="66"/>
              <w:spacing w:before="140" w:line="183" w:lineRule="auto"/>
              <w:rPr/>
            </w:pPr>
            <w:r>
              <w:rPr>
                <w:spacing w:val="-1"/>
              </w:rPr>
              <w:t>010-66259179</w:t>
            </w:r>
          </w:p>
        </w:tc>
        <w:tc>
          <w:tcPr>
            <w:tcW w:w="2982" w:type="dxa"/>
            <w:vAlign w:val="top"/>
          </w:tcPr>
          <w:p>
            <w:pPr>
              <w:pStyle w:val="TableText"/>
              <w:ind w:left="68"/>
              <w:spacing w:before="140" w:line="183" w:lineRule="auto"/>
              <w:rPr/>
            </w:pPr>
            <w:r>
              <w:rPr>
                <w:spacing w:val="-1"/>
              </w:rPr>
              <w:t>010-66259179</w:t>
            </w:r>
          </w:p>
        </w:tc>
      </w:tr>
      <w:tr>
        <w:trPr>
          <w:trHeight w:val="419" w:hRule="atLeast"/>
        </w:trPr>
        <w:tc>
          <w:tcPr>
            <w:tcW w:w="2879" w:type="dxa"/>
            <w:vAlign w:val="top"/>
          </w:tcPr>
          <w:p>
            <w:pPr>
              <w:pStyle w:val="TableText"/>
              <w:ind w:left="69"/>
              <w:spacing w:before="104" w:line="221" w:lineRule="auto"/>
              <w:rPr/>
            </w:pPr>
            <w:r>
              <w:rPr>
                <w:spacing w:val="-3"/>
              </w:rPr>
              <w:t>办公地址</w:t>
            </w:r>
          </w:p>
        </w:tc>
        <w:tc>
          <w:tcPr>
            <w:tcW w:w="2984" w:type="dxa"/>
            <w:vAlign w:val="top"/>
          </w:tcPr>
          <w:p>
            <w:pPr>
              <w:pStyle w:val="TableText"/>
              <w:ind w:left="68"/>
              <w:spacing w:before="104" w:line="221" w:lineRule="auto"/>
              <w:rPr/>
            </w:pPr>
            <w:r>
              <w:rPr>
                <w:spacing w:val="-1"/>
              </w:rPr>
              <w:t>北京市西城区金融大街21号</w:t>
            </w:r>
          </w:p>
        </w:tc>
        <w:tc>
          <w:tcPr>
            <w:tcW w:w="2982" w:type="dxa"/>
            <w:vAlign w:val="top"/>
          </w:tcPr>
          <w:p>
            <w:pPr>
              <w:pStyle w:val="TableText"/>
              <w:ind w:left="70"/>
              <w:spacing w:before="104" w:line="221" w:lineRule="auto"/>
              <w:rPr/>
            </w:pPr>
            <w:r>
              <w:rPr>
                <w:spacing w:val="-1"/>
              </w:rPr>
              <w:t>北京市西城区金融大街21号</w:t>
            </w:r>
          </w:p>
        </w:tc>
      </w:tr>
      <w:tr>
        <w:trPr>
          <w:trHeight w:val="412" w:hRule="atLeast"/>
        </w:trPr>
        <w:tc>
          <w:tcPr>
            <w:tcW w:w="2879" w:type="dxa"/>
            <w:vAlign w:val="top"/>
          </w:tcPr>
          <w:p>
            <w:pPr>
              <w:pStyle w:val="TableText"/>
              <w:ind w:left="90"/>
              <w:spacing w:before="98" w:line="221" w:lineRule="auto"/>
              <w:rPr/>
            </w:pPr>
            <w:r>
              <w:rPr>
                <w:spacing w:val="-8"/>
              </w:rPr>
              <w:t>电子信箱</w:t>
            </w:r>
          </w:p>
        </w:tc>
        <w:tc>
          <w:tcPr>
            <w:tcW w:w="2984" w:type="dxa"/>
            <w:vAlign w:val="top"/>
          </w:tcPr>
          <w:p>
            <w:pPr>
              <w:pStyle w:val="TableText"/>
              <w:ind w:left="68"/>
              <w:spacing w:before="98" w:line="215" w:lineRule="auto"/>
              <w:rPr/>
            </w:pPr>
            <w:r>
              <w:rPr>
                <w:spacing w:val="-1"/>
              </w:rPr>
              <w:t>dongmi@chinaunicom.cn</w:t>
            </w:r>
          </w:p>
        </w:tc>
        <w:tc>
          <w:tcPr>
            <w:tcW w:w="2982" w:type="dxa"/>
            <w:vAlign w:val="top"/>
          </w:tcPr>
          <w:p>
            <w:pPr>
              <w:pStyle w:val="TableText"/>
              <w:ind w:left="80"/>
              <w:spacing w:before="99"/>
              <w:rPr/>
            </w:pPr>
            <w:r>
              <w:rPr>
                <w:spacing w:val="-1"/>
              </w:rPr>
              <w:t>ir@chinaunicom.cn</w:t>
            </w:r>
          </w:p>
        </w:tc>
      </w:tr>
    </w:tbl>
    <w:p>
      <w:pPr>
        <w:rPr>
          <w:rFonts w:ascii="Arial"/>
          <w:sz w:val="21"/>
        </w:rPr>
      </w:pPr>
      <w:r/>
    </w:p>
    <w:p>
      <w:pPr>
        <w:sectPr>
          <w:headerReference w:type="default" r:id="rId4"/>
          <w:footerReference w:type="default" r:id="rId5"/>
          <w:pgSz w:w="11907" w:h="16839"/>
          <w:pgMar w:top="1391" w:right="1176" w:bottom="1375" w:left="1764" w:header="842" w:footer="1212" w:gutter="0"/>
        </w:sectPr>
        <w:rPr>
          <w:rFonts w:ascii="Arial" w:hAnsi="Arial" w:eastAsia="Arial" w:cs="Arial"/>
          <w:sz w:val="21"/>
          <w:szCs w:val="21"/>
        </w:rPr>
      </w:pPr>
    </w:p>
    <w:p>
      <w:pPr>
        <w:pStyle w:val="BodyText"/>
        <w:ind w:left="721"/>
        <w:spacing w:before="265" w:line="221" w:lineRule="auto"/>
        <w:outlineLvl w:val="1"/>
        <w:rPr/>
      </w:pPr>
      <w:r>
        <w:rPr>
          <w:b/>
          <w:bCs/>
          <w:spacing w:val="-3"/>
        </w:rPr>
        <w:t>2.2</w:t>
      </w:r>
      <w:r>
        <w:rPr>
          <w:spacing w:val="-3"/>
        </w:rPr>
        <w:t xml:space="preserve"> </w:t>
      </w:r>
      <w:r>
        <w:rPr>
          <w:b/>
          <w:bCs/>
          <w:spacing w:val="-3"/>
        </w:rPr>
        <w:t>公司主要财务数据</w:t>
      </w:r>
    </w:p>
    <w:p>
      <w:pPr>
        <w:pStyle w:val="BodyText"/>
        <w:ind w:left="7242"/>
        <w:spacing w:before="140" w:line="220" w:lineRule="auto"/>
        <w:rPr/>
      </w:pPr>
      <w:r>
        <w:rPr>
          <w:spacing w:val="-4"/>
        </w:rPr>
        <w:t>单位：元</w:t>
      </w:r>
      <w:r>
        <w:rPr>
          <w:spacing w:val="16"/>
        </w:rPr>
        <w:t xml:space="preserve">  </w:t>
      </w:r>
      <w:r>
        <w:rPr>
          <w:spacing w:val="-4"/>
        </w:rPr>
        <w:t>币种：人民币</w:t>
      </w:r>
    </w:p>
    <w:p>
      <w:pPr>
        <w:spacing w:line="109" w:lineRule="auto"/>
        <w:rPr>
          <w:rFonts w:ascii="Arial"/>
          <w:sz w:val="2"/>
        </w:rPr>
      </w:pPr>
      <w:r>
        <w:rPr>
          <w:rFonts w:ascii="Arial"/>
          <w:sz w:val="2"/>
        </w:rPr>
      </w:r>
    </w:p>
    <w:tbl>
      <w:tblPr>
        <w:tblStyle w:val="TableNormal"/>
        <w:tblW w:w="9639" w:type="dxa"/>
        <w:tblInd w:w="14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80"/>
        <w:gridCol w:w="1986"/>
        <w:gridCol w:w="2111"/>
        <w:gridCol w:w="2562"/>
      </w:tblGrid>
      <w:tr>
        <w:trPr>
          <w:trHeight w:val="547" w:hRule="atLeast"/>
        </w:trPr>
        <w:tc>
          <w:tcPr>
            <w:tcW w:w="2980" w:type="dxa"/>
            <w:vAlign w:val="top"/>
          </w:tcPr>
          <w:p>
            <w:pPr>
              <w:rPr>
                <w:rFonts w:ascii="Arial"/>
                <w:sz w:val="21"/>
              </w:rPr>
            </w:pPr>
            <w:r/>
          </w:p>
        </w:tc>
        <w:tc>
          <w:tcPr>
            <w:shd w:val="clear" w:fill="D9D9D9"/>
            <w:tcW w:w="1986" w:type="dxa"/>
            <w:vAlign w:val="top"/>
          </w:tcPr>
          <w:p>
            <w:pPr>
              <w:pStyle w:val="TableText"/>
              <w:ind w:left="471"/>
              <w:spacing w:before="164" w:line="219" w:lineRule="auto"/>
              <w:rPr/>
            </w:pPr>
            <w:r>
              <w:rPr>
                <w:b/>
                <w:bCs/>
                <w:spacing w:val="-3"/>
              </w:rPr>
              <w:t>本报告期末</w:t>
            </w:r>
          </w:p>
        </w:tc>
        <w:tc>
          <w:tcPr>
            <w:shd w:val="clear" w:fill="D9D9D9"/>
            <w:tcW w:w="2111" w:type="dxa"/>
            <w:vAlign w:val="top"/>
          </w:tcPr>
          <w:p>
            <w:pPr>
              <w:pStyle w:val="TableText"/>
              <w:ind w:left="639"/>
              <w:spacing w:before="163" w:line="221" w:lineRule="auto"/>
              <w:rPr/>
            </w:pPr>
            <w:r>
              <w:rPr>
                <w:b/>
                <w:bCs/>
                <w:spacing w:val="-4"/>
              </w:rPr>
              <w:t>上年度末</w:t>
            </w:r>
          </w:p>
        </w:tc>
        <w:tc>
          <w:tcPr>
            <w:shd w:val="clear" w:fill="D9D9D9"/>
            <w:tcW w:w="2562" w:type="dxa"/>
            <w:vAlign w:val="top"/>
          </w:tcPr>
          <w:p>
            <w:pPr>
              <w:pStyle w:val="TableText"/>
              <w:ind w:left="762"/>
              <w:spacing w:before="29" w:line="219" w:lineRule="auto"/>
              <w:rPr/>
            </w:pPr>
            <w:r>
              <w:rPr>
                <w:b/>
                <w:bCs/>
                <w:spacing w:val="-3"/>
              </w:rPr>
              <w:t>本报告期末</w:t>
            </w:r>
          </w:p>
          <w:p>
            <w:pPr>
              <w:pStyle w:val="TableText"/>
              <w:ind w:left="414"/>
              <w:spacing w:before="21" w:line="208" w:lineRule="auto"/>
              <w:rPr/>
            </w:pPr>
            <w:r>
              <w:rPr>
                <w:b/>
                <w:bCs/>
                <w:spacing w:val="-5"/>
              </w:rPr>
              <w:t>比上年度末增减(%)</w:t>
            </w:r>
          </w:p>
        </w:tc>
      </w:tr>
      <w:tr>
        <w:trPr>
          <w:trHeight w:val="364" w:hRule="atLeast"/>
        </w:trPr>
        <w:tc>
          <w:tcPr>
            <w:tcW w:w="2980" w:type="dxa"/>
            <w:vAlign w:val="top"/>
          </w:tcPr>
          <w:p>
            <w:pPr>
              <w:pStyle w:val="TableText"/>
              <w:ind w:left="71"/>
              <w:spacing w:before="72" w:line="221" w:lineRule="auto"/>
              <w:rPr/>
            </w:pPr>
            <w:r>
              <w:rPr>
                <w:spacing w:val="-3"/>
              </w:rPr>
              <w:t>总资产</w:t>
            </w:r>
          </w:p>
        </w:tc>
        <w:tc>
          <w:tcPr>
            <w:tcW w:w="1986" w:type="dxa"/>
            <w:vAlign w:val="top"/>
          </w:tcPr>
          <w:p>
            <w:pPr>
              <w:pStyle w:val="TableText"/>
              <w:ind w:left="215"/>
              <w:spacing w:before="108" w:line="182" w:lineRule="auto"/>
              <w:rPr/>
            </w:pPr>
            <w:r>
              <w:rPr>
                <w:spacing w:val="-1"/>
              </w:rPr>
              <w:t>566,546,628,977</w:t>
            </w:r>
          </w:p>
        </w:tc>
        <w:tc>
          <w:tcPr>
            <w:tcW w:w="2111" w:type="dxa"/>
            <w:vAlign w:val="top"/>
          </w:tcPr>
          <w:p>
            <w:pPr>
              <w:pStyle w:val="TableText"/>
              <w:ind w:left="276"/>
              <w:spacing w:before="106" w:line="183" w:lineRule="auto"/>
              <w:rPr/>
            </w:pPr>
            <w:r>
              <w:rPr>
                <w:spacing w:val="-1"/>
              </w:rPr>
              <w:t>541,762,283,984</w:t>
            </w:r>
          </w:p>
        </w:tc>
        <w:tc>
          <w:tcPr>
            <w:tcW w:w="2562" w:type="dxa"/>
            <w:vAlign w:val="top"/>
          </w:tcPr>
          <w:p>
            <w:pPr>
              <w:pStyle w:val="TableText"/>
              <w:ind w:left="2195"/>
              <w:spacing w:before="108" w:line="182" w:lineRule="auto"/>
              <w:rPr/>
            </w:pPr>
            <w:r>
              <w:rPr>
                <w:spacing w:val="-2"/>
              </w:rPr>
              <w:t>4.6</w:t>
            </w:r>
          </w:p>
        </w:tc>
      </w:tr>
      <w:tr>
        <w:trPr>
          <w:trHeight w:val="424" w:hRule="atLeast"/>
        </w:trPr>
        <w:tc>
          <w:tcPr>
            <w:tcW w:w="2980" w:type="dxa"/>
            <w:vAlign w:val="top"/>
          </w:tcPr>
          <w:p>
            <w:pPr>
              <w:pStyle w:val="TableText"/>
              <w:ind w:left="73"/>
              <w:spacing w:before="104" w:line="221" w:lineRule="auto"/>
              <w:rPr/>
            </w:pPr>
            <w:r>
              <w:rPr>
                <w:spacing w:val="-1"/>
              </w:rPr>
              <w:t>归属于上市公司股东的净资产</w:t>
            </w:r>
          </w:p>
        </w:tc>
        <w:tc>
          <w:tcPr>
            <w:tcW w:w="1986" w:type="dxa"/>
            <w:vAlign w:val="top"/>
          </w:tcPr>
          <w:p>
            <w:pPr>
              <w:pStyle w:val="TableText"/>
              <w:ind w:left="226"/>
              <w:spacing w:before="138" w:line="183" w:lineRule="auto"/>
              <w:rPr/>
            </w:pPr>
            <w:r>
              <w:rPr>
                <w:spacing w:val="-2"/>
              </w:rPr>
              <w:t>141,411,066,259</w:t>
            </w:r>
          </w:p>
        </w:tc>
        <w:tc>
          <w:tcPr>
            <w:tcW w:w="2111" w:type="dxa"/>
            <w:vAlign w:val="top"/>
          </w:tcPr>
          <w:p>
            <w:pPr>
              <w:pStyle w:val="TableText"/>
              <w:ind w:left="288"/>
              <w:spacing w:before="138" w:line="183" w:lineRule="auto"/>
              <w:rPr/>
            </w:pPr>
            <w:r>
              <w:rPr>
                <w:spacing w:val="-2"/>
              </w:rPr>
              <w:t>140,144,361,690</w:t>
            </w:r>
          </w:p>
        </w:tc>
        <w:tc>
          <w:tcPr>
            <w:tcW w:w="2562" w:type="dxa"/>
            <w:vAlign w:val="top"/>
          </w:tcPr>
          <w:p>
            <w:pPr>
              <w:pStyle w:val="TableText"/>
              <w:ind w:left="2198"/>
              <w:spacing w:before="139" w:line="182" w:lineRule="auto"/>
              <w:rPr/>
            </w:pPr>
            <w:r>
              <w:rPr>
                <w:spacing w:val="-2"/>
              </w:rPr>
              <w:t>0.9</w:t>
            </w:r>
          </w:p>
        </w:tc>
      </w:tr>
      <w:tr>
        <w:trPr>
          <w:trHeight w:val="544" w:hRule="atLeast"/>
        </w:trPr>
        <w:tc>
          <w:tcPr>
            <w:tcW w:w="2980" w:type="dxa"/>
            <w:vAlign w:val="top"/>
          </w:tcPr>
          <w:p>
            <w:pPr>
              <w:rPr>
                <w:rFonts w:ascii="Arial"/>
                <w:sz w:val="21"/>
              </w:rPr>
            </w:pPr>
            <w:r/>
          </w:p>
        </w:tc>
        <w:tc>
          <w:tcPr>
            <w:shd w:val="clear" w:fill="D9D9D9"/>
            <w:tcW w:w="1986" w:type="dxa"/>
            <w:vAlign w:val="top"/>
          </w:tcPr>
          <w:p>
            <w:pPr>
              <w:pStyle w:val="TableText"/>
              <w:ind w:left="101"/>
              <w:spacing w:before="165" w:line="219" w:lineRule="auto"/>
              <w:rPr/>
            </w:pPr>
            <w:r>
              <w:rPr>
                <w:b/>
                <w:bCs/>
                <w:spacing w:val="-3"/>
              </w:rPr>
              <w:t>本报告期（1-6月）</w:t>
            </w:r>
          </w:p>
        </w:tc>
        <w:tc>
          <w:tcPr>
            <w:shd w:val="clear" w:fill="D9D9D9"/>
            <w:tcW w:w="2111" w:type="dxa"/>
            <w:vAlign w:val="top"/>
          </w:tcPr>
          <w:p>
            <w:pPr>
              <w:pStyle w:val="TableText"/>
              <w:ind w:left="639"/>
              <w:spacing w:before="164" w:line="221" w:lineRule="auto"/>
              <w:rPr/>
            </w:pPr>
            <w:r>
              <w:rPr>
                <w:b/>
                <w:bCs/>
                <w:spacing w:val="-4"/>
              </w:rPr>
              <w:t>上年同期</w:t>
            </w:r>
          </w:p>
        </w:tc>
        <w:tc>
          <w:tcPr>
            <w:shd w:val="clear" w:fill="D9D9D9"/>
            <w:tcW w:w="2562" w:type="dxa"/>
            <w:vAlign w:val="top"/>
          </w:tcPr>
          <w:p>
            <w:pPr>
              <w:pStyle w:val="TableText"/>
              <w:ind w:left="867"/>
              <w:spacing w:before="30" w:line="219" w:lineRule="auto"/>
              <w:rPr/>
            </w:pPr>
            <w:r>
              <w:rPr>
                <w:b/>
                <w:bCs/>
                <w:spacing w:val="-4"/>
              </w:rPr>
              <w:t>本报告期</w:t>
            </w:r>
          </w:p>
          <w:p>
            <w:pPr>
              <w:pStyle w:val="TableText"/>
              <w:ind w:left="414"/>
              <w:spacing w:before="21" w:line="204" w:lineRule="auto"/>
              <w:rPr/>
            </w:pPr>
            <w:r>
              <w:rPr>
                <w:b/>
                <w:bCs/>
                <w:spacing w:val="-5"/>
              </w:rPr>
              <w:t>比上年同期增减(%)</w:t>
            </w:r>
          </w:p>
        </w:tc>
      </w:tr>
      <w:tr>
        <w:trPr>
          <w:trHeight w:val="427" w:hRule="atLeast"/>
        </w:trPr>
        <w:tc>
          <w:tcPr>
            <w:tcW w:w="2980" w:type="dxa"/>
            <w:vAlign w:val="top"/>
          </w:tcPr>
          <w:p>
            <w:pPr>
              <w:pStyle w:val="TableText"/>
              <w:ind w:left="67"/>
              <w:spacing w:before="107" w:line="221" w:lineRule="auto"/>
              <w:rPr/>
            </w:pPr>
            <w:r>
              <w:rPr>
                <w:spacing w:val="-1"/>
              </w:rPr>
              <w:t>经营活动产生的现金流量净额</w:t>
            </w:r>
          </w:p>
        </w:tc>
        <w:tc>
          <w:tcPr>
            <w:tcW w:w="1986" w:type="dxa"/>
            <w:vAlign w:val="top"/>
          </w:tcPr>
          <w:p>
            <w:pPr>
              <w:pStyle w:val="TableText"/>
              <w:ind w:left="260"/>
              <w:spacing w:before="143" w:line="182" w:lineRule="auto"/>
              <w:rPr/>
            </w:pPr>
            <w:r>
              <w:rPr>
                <w:spacing w:val="-1"/>
              </w:rPr>
              <w:t>43,587,468,474</w:t>
            </w:r>
          </w:p>
        </w:tc>
        <w:tc>
          <w:tcPr>
            <w:tcW w:w="2111" w:type="dxa"/>
            <w:vAlign w:val="top"/>
          </w:tcPr>
          <w:p>
            <w:pPr>
              <w:pStyle w:val="TableText"/>
              <w:ind w:left="327"/>
              <w:spacing w:before="143" w:line="182" w:lineRule="auto"/>
              <w:rPr/>
            </w:pPr>
            <w:r>
              <w:rPr>
                <w:spacing w:val="-1"/>
              </w:rPr>
              <w:t>52,353,664,900</w:t>
            </w:r>
          </w:p>
        </w:tc>
        <w:tc>
          <w:tcPr>
            <w:tcW w:w="2562" w:type="dxa"/>
            <w:vAlign w:val="top"/>
          </w:tcPr>
          <w:p>
            <w:pPr>
              <w:pStyle w:val="TableText"/>
              <w:ind w:left="1983"/>
              <w:spacing w:before="142" w:line="183" w:lineRule="auto"/>
              <w:rPr/>
            </w:pPr>
            <w:r>
              <w:rPr>
                <w:spacing w:val="-1"/>
              </w:rPr>
              <w:t>-16.7</w:t>
            </w:r>
          </w:p>
        </w:tc>
      </w:tr>
      <w:tr>
        <w:trPr>
          <w:trHeight w:val="431" w:hRule="atLeast"/>
        </w:trPr>
        <w:tc>
          <w:tcPr>
            <w:tcW w:w="2980" w:type="dxa"/>
            <w:vAlign w:val="top"/>
          </w:tcPr>
          <w:p>
            <w:pPr>
              <w:pStyle w:val="TableText"/>
              <w:ind w:left="72"/>
              <w:spacing w:before="107" w:line="221" w:lineRule="auto"/>
              <w:rPr/>
            </w:pPr>
            <w:r>
              <w:rPr>
                <w:spacing w:val="-3"/>
              </w:rPr>
              <w:t>营业收入</w:t>
            </w:r>
          </w:p>
        </w:tc>
        <w:tc>
          <w:tcPr>
            <w:tcW w:w="1986" w:type="dxa"/>
            <w:vAlign w:val="top"/>
          </w:tcPr>
          <w:p>
            <w:pPr>
              <w:pStyle w:val="TableText"/>
              <w:ind w:left="226"/>
              <w:spacing w:before="142" w:line="183" w:lineRule="auto"/>
              <w:rPr/>
            </w:pPr>
            <w:r>
              <w:rPr>
                <w:spacing w:val="-2"/>
              </w:rPr>
              <w:t>144,953,716,109</w:t>
            </w:r>
          </w:p>
        </w:tc>
        <w:tc>
          <w:tcPr>
            <w:tcW w:w="2111" w:type="dxa"/>
            <w:vAlign w:val="top"/>
          </w:tcPr>
          <w:p>
            <w:pPr>
              <w:pStyle w:val="TableText"/>
              <w:ind w:left="288"/>
              <w:spacing w:before="142" w:line="183" w:lineRule="auto"/>
              <w:rPr/>
            </w:pPr>
            <w:r>
              <w:rPr>
                <w:spacing w:val="-2"/>
              </w:rPr>
              <w:t>149,105,188,927</w:t>
            </w:r>
          </w:p>
        </w:tc>
        <w:tc>
          <w:tcPr>
            <w:tcW w:w="2562" w:type="dxa"/>
            <w:vAlign w:val="top"/>
          </w:tcPr>
          <w:p>
            <w:pPr>
              <w:pStyle w:val="TableText"/>
              <w:ind w:left="2089"/>
              <w:spacing w:before="143" w:line="182" w:lineRule="auto"/>
              <w:rPr/>
            </w:pPr>
            <w:r>
              <w:rPr>
                <w:spacing w:val="-2"/>
              </w:rPr>
              <w:t>-2.8</w:t>
            </w:r>
          </w:p>
        </w:tc>
      </w:tr>
      <w:tr>
        <w:trPr>
          <w:trHeight w:val="422" w:hRule="atLeast"/>
        </w:trPr>
        <w:tc>
          <w:tcPr>
            <w:tcW w:w="2980" w:type="dxa"/>
            <w:vAlign w:val="top"/>
          </w:tcPr>
          <w:p>
            <w:pPr>
              <w:pStyle w:val="TableText"/>
              <w:ind w:left="66"/>
              <w:spacing w:before="103" w:line="221" w:lineRule="auto"/>
              <w:rPr/>
            </w:pPr>
            <w:r>
              <w:rPr>
                <w:spacing w:val="-1"/>
              </w:rPr>
              <w:t>其中：主营业务收入</w:t>
            </w:r>
          </w:p>
        </w:tc>
        <w:tc>
          <w:tcPr>
            <w:tcW w:w="1986" w:type="dxa"/>
            <w:vAlign w:val="top"/>
          </w:tcPr>
          <w:p>
            <w:pPr>
              <w:pStyle w:val="TableText"/>
              <w:ind w:left="226"/>
              <w:spacing w:before="138" w:line="183" w:lineRule="auto"/>
              <w:rPr/>
            </w:pPr>
            <w:r>
              <w:rPr>
                <w:spacing w:val="-2"/>
              </w:rPr>
              <w:t>132,956,836,470</w:t>
            </w:r>
          </w:p>
        </w:tc>
        <w:tc>
          <w:tcPr>
            <w:tcW w:w="2111" w:type="dxa"/>
            <w:vAlign w:val="top"/>
          </w:tcPr>
          <w:p>
            <w:pPr>
              <w:pStyle w:val="TableText"/>
              <w:ind w:left="288"/>
              <w:spacing w:before="138" w:line="183" w:lineRule="auto"/>
              <w:rPr/>
            </w:pPr>
            <w:r>
              <w:rPr>
                <w:spacing w:val="-2"/>
              </w:rPr>
              <w:t>134,422,521,172</w:t>
            </w:r>
          </w:p>
        </w:tc>
        <w:tc>
          <w:tcPr>
            <w:tcW w:w="2562" w:type="dxa"/>
            <w:vAlign w:val="top"/>
          </w:tcPr>
          <w:p>
            <w:pPr>
              <w:pStyle w:val="TableText"/>
              <w:ind w:left="2089"/>
              <w:spacing w:before="138" w:line="183" w:lineRule="auto"/>
              <w:rPr/>
            </w:pPr>
            <w:r>
              <w:rPr>
                <w:spacing w:val="-2"/>
              </w:rPr>
              <w:t>-1.1</w:t>
            </w:r>
          </w:p>
        </w:tc>
      </w:tr>
      <w:tr>
        <w:trPr>
          <w:trHeight w:val="424" w:hRule="atLeast"/>
        </w:trPr>
        <w:tc>
          <w:tcPr>
            <w:tcW w:w="2980" w:type="dxa"/>
            <w:vAlign w:val="top"/>
          </w:tcPr>
          <w:p>
            <w:pPr>
              <w:pStyle w:val="TableText"/>
              <w:ind w:left="73"/>
              <w:spacing w:before="106" w:line="221" w:lineRule="auto"/>
              <w:rPr/>
            </w:pPr>
            <w:r>
              <w:rPr>
                <w:spacing w:val="-1"/>
              </w:rPr>
              <w:t>归属于上市公司股东的净利润</w:t>
            </w:r>
          </w:p>
        </w:tc>
        <w:tc>
          <w:tcPr>
            <w:tcW w:w="1986" w:type="dxa"/>
            <w:vAlign w:val="top"/>
          </w:tcPr>
          <w:p>
            <w:pPr>
              <w:pStyle w:val="TableText"/>
              <w:ind w:left="318"/>
              <w:spacing w:before="141" w:line="183" w:lineRule="auto"/>
              <w:rPr/>
            </w:pPr>
            <w:r>
              <w:rPr>
                <w:spacing w:val="-1"/>
              </w:rPr>
              <w:t>3,015,911,302</w:t>
            </w:r>
          </w:p>
        </w:tc>
        <w:tc>
          <w:tcPr>
            <w:tcW w:w="2111" w:type="dxa"/>
            <w:vAlign w:val="top"/>
          </w:tcPr>
          <w:p>
            <w:pPr>
              <w:pStyle w:val="TableText"/>
              <w:ind w:left="378"/>
              <w:spacing w:before="141" w:line="183" w:lineRule="auto"/>
              <w:rPr/>
            </w:pPr>
            <w:r>
              <w:rPr>
                <w:spacing w:val="-1"/>
              </w:rPr>
              <w:t>2,583,186,430</w:t>
            </w:r>
          </w:p>
        </w:tc>
        <w:tc>
          <w:tcPr>
            <w:tcW w:w="2562" w:type="dxa"/>
            <w:vAlign w:val="top"/>
          </w:tcPr>
          <w:p>
            <w:pPr>
              <w:pStyle w:val="TableText"/>
              <w:ind w:left="2106"/>
              <w:spacing w:before="141" w:line="183" w:lineRule="auto"/>
              <w:rPr/>
            </w:pPr>
            <w:r>
              <w:rPr>
                <w:spacing w:val="-5"/>
              </w:rPr>
              <w:t>16.8</w:t>
            </w:r>
          </w:p>
        </w:tc>
      </w:tr>
      <w:tr>
        <w:trPr>
          <w:trHeight w:val="549" w:hRule="atLeast"/>
        </w:trPr>
        <w:tc>
          <w:tcPr>
            <w:tcW w:w="2980" w:type="dxa"/>
            <w:vAlign w:val="top"/>
          </w:tcPr>
          <w:p>
            <w:pPr>
              <w:pStyle w:val="TableText"/>
              <w:ind w:left="67" w:right="56" w:firstLine="6"/>
              <w:spacing w:before="33" w:line="222" w:lineRule="auto"/>
              <w:rPr/>
            </w:pPr>
            <w:r>
              <w:rPr>
                <w:spacing w:val="8"/>
              </w:rPr>
              <w:t>归属于上市公司股东的扣除非</w:t>
            </w:r>
            <w:r>
              <w:rPr>
                <w:spacing w:val="9"/>
              </w:rPr>
              <w:t xml:space="preserve"> </w:t>
            </w:r>
            <w:r>
              <w:rPr>
                <w:spacing w:val="-1"/>
              </w:rPr>
              <w:t>经常性损益的净利润</w:t>
            </w:r>
          </w:p>
        </w:tc>
        <w:tc>
          <w:tcPr>
            <w:tcW w:w="1986" w:type="dxa"/>
            <w:vAlign w:val="top"/>
          </w:tcPr>
          <w:p>
            <w:pPr>
              <w:pStyle w:val="TableText"/>
              <w:ind w:left="316"/>
              <w:spacing w:before="204" w:line="183" w:lineRule="auto"/>
              <w:rPr/>
            </w:pPr>
            <w:r>
              <w:rPr>
                <w:spacing w:val="-1"/>
              </w:rPr>
              <w:t>2,821,890,571</w:t>
            </w:r>
          </w:p>
        </w:tc>
        <w:tc>
          <w:tcPr>
            <w:tcW w:w="2111" w:type="dxa"/>
            <w:vAlign w:val="top"/>
          </w:tcPr>
          <w:p>
            <w:pPr>
              <w:pStyle w:val="TableText"/>
              <w:ind w:left="379"/>
              <w:spacing w:before="204" w:line="183" w:lineRule="auto"/>
              <w:rPr/>
            </w:pPr>
            <w:r>
              <w:rPr>
                <w:spacing w:val="-1"/>
              </w:rPr>
              <w:t>3,151,168,421</w:t>
            </w:r>
          </w:p>
        </w:tc>
        <w:tc>
          <w:tcPr>
            <w:tcW w:w="2562" w:type="dxa"/>
            <w:vAlign w:val="top"/>
          </w:tcPr>
          <w:p>
            <w:pPr>
              <w:pStyle w:val="TableText"/>
              <w:ind w:left="1983"/>
              <w:spacing w:before="204" w:line="183" w:lineRule="auto"/>
              <w:rPr/>
            </w:pPr>
            <w:r>
              <w:rPr>
                <w:spacing w:val="-1"/>
              </w:rPr>
              <w:t>-10.4</w:t>
            </w:r>
          </w:p>
        </w:tc>
      </w:tr>
      <w:tr>
        <w:trPr>
          <w:trHeight w:val="412" w:hRule="atLeast"/>
        </w:trPr>
        <w:tc>
          <w:tcPr>
            <w:tcW w:w="2980" w:type="dxa"/>
            <w:vAlign w:val="top"/>
          </w:tcPr>
          <w:p>
            <w:pPr>
              <w:pStyle w:val="TableText"/>
              <w:ind w:left="65"/>
              <w:spacing w:before="103" w:line="221" w:lineRule="auto"/>
              <w:rPr/>
            </w:pPr>
            <w:r>
              <w:rPr>
                <w:spacing w:val="-1"/>
              </w:rPr>
              <w:t>加权平均净资产收益率（%）</w:t>
            </w:r>
          </w:p>
        </w:tc>
        <w:tc>
          <w:tcPr>
            <w:tcW w:w="1986" w:type="dxa"/>
            <w:vAlign w:val="top"/>
          </w:tcPr>
          <w:p>
            <w:pPr>
              <w:pStyle w:val="TableText"/>
              <w:ind w:left="789"/>
              <w:spacing w:before="138" w:line="182" w:lineRule="auto"/>
              <w:rPr/>
            </w:pPr>
            <w:r>
              <w:rPr>
                <w:spacing w:val="-2"/>
              </w:rPr>
              <w:t>2.08</w:t>
            </w:r>
          </w:p>
        </w:tc>
        <w:tc>
          <w:tcPr>
            <w:tcW w:w="2111" w:type="dxa"/>
            <w:vAlign w:val="top"/>
          </w:tcPr>
          <w:p>
            <w:pPr>
              <w:pStyle w:val="TableText"/>
              <w:ind w:left="864"/>
              <w:spacing w:before="137" w:line="183" w:lineRule="auto"/>
              <w:rPr/>
            </w:pPr>
            <w:r>
              <w:rPr>
                <w:spacing w:val="-5"/>
              </w:rPr>
              <w:t>1.89</w:t>
            </w:r>
          </w:p>
        </w:tc>
        <w:tc>
          <w:tcPr>
            <w:tcW w:w="2562" w:type="dxa"/>
            <w:vAlign w:val="top"/>
          </w:tcPr>
          <w:p>
            <w:pPr>
              <w:pStyle w:val="TableText"/>
              <w:ind w:left="831"/>
              <w:spacing w:before="103" w:line="221" w:lineRule="auto"/>
              <w:rPr/>
            </w:pPr>
            <w:r>
              <w:rPr>
                <w:spacing w:val="-1"/>
              </w:rPr>
              <w:t>增加0.19个百分点</w:t>
            </w:r>
          </w:p>
        </w:tc>
      </w:tr>
      <w:tr>
        <w:trPr>
          <w:trHeight w:val="417" w:hRule="atLeast"/>
        </w:trPr>
        <w:tc>
          <w:tcPr>
            <w:tcW w:w="2980" w:type="dxa"/>
            <w:vAlign w:val="top"/>
          </w:tcPr>
          <w:p>
            <w:pPr>
              <w:pStyle w:val="TableText"/>
              <w:ind w:left="65"/>
              <w:spacing w:before="106" w:line="220" w:lineRule="auto"/>
              <w:rPr/>
            </w:pPr>
            <w:r>
              <w:rPr>
                <w:spacing w:val="-2"/>
              </w:rPr>
              <w:t>基本每股收益（元／股）</w:t>
            </w:r>
          </w:p>
        </w:tc>
        <w:tc>
          <w:tcPr>
            <w:tcW w:w="1986" w:type="dxa"/>
            <w:vAlign w:val="top"/>
          </w:tcPr>
          <w:p>
            <w:pPr>
              <w:pStyle w:val="TableText"/>
              <w:ind w:left="735"/>
              <w:spacing w:before="141" w:line="182" w:lineRule="auto"/>
              <w:rPr/>
            </w:pPr>
            <w:r>
              <w:rPr>
                <w:spacing w:val="-2"/>
              </w:rPr>
              <w:t>0.097</w:t>
            </w:r>
          </w:p>
        </w:tc>
        <w:tc>
          <w:tcPr>
            <w:tcW w:w="2111" w:type="dxa"/>
            <w:vAlign w:val="top"/>
          </w:tcPr>
          <w:p>
            <w:pPr>
              <w:pStyle w:val="TableText"/>
              <w:ind w:left="797"/>
              <w:spacing w:before="141" w:line="182" w:lineRule="auto"/>
              <w:rPr/>
            </w:pPr>
            <w:r>
              <w:rPr>
                <w:spacing w:val="-2"/>
              </w:rPr>
              <w:t>0.085</w:t>
            </w:r>
          </w:p>
        </w:tc>
        <w:tc>
          <w:tcPr>
            <w:tcW w:w="2562" w:type="dxa"/>
            <w:vAlign w:val="top"/>
          </w:tcPr>
          <w:p>
            <w:pPr>
              <w:pStyle w:val="TableText"/>
              <w:ind w:left="2106"/>
              <w:spacing w:before="140" w:line="183" w:lineRule="auto"/>
              <w:rPr/>
            </w:pPr>
            <w:r>
              <w:rPr>
                <w:spacing w:val="-5"/>
              </w:rPr>
              <w:t>14.1</w:t>
            </w:r>
          </w:p>
        </w:tc>
      </w:tr>
      <w:tr>
        <w:trPr>
          <w:trHeight w:val="427" w:hRule="atLeast"/>
        </w:trPr>
        <w:tc>
          <w:tcPr>
            <w:tcW w:w="2980" w:type="dxa"/>
            <w:vAlign w:val="top"/>
          </w:tcPr>
          <w:p>
            <w:pPr>
              <w:pStyle w:val="TableText"/>
              <w:ind w:left="64"/>
              <w:spacing w:before="108" w:line="221" w:lineRule="auto"/>
              <w:rPr/>
            </w:pPr>
            <w:r>
              <w:rPr>
                <w:spacing w:val="-2"/>
              </w:rPr>
              <w:t>稀释每股收益（元／股）</w:t>
            </w:r>
          </w:p>
        </w:tc>
        <w:tc>
          <w:tcPr>
            <w:tcW w:w="1986" w:type="dxa"/>
            <w:vAlign w:val="top"/>
          </w:tcPr>
          <w:p>
            <w:pPr>
              <w:pStyle w:val="TableText"/>
              <w:ind w:left="735"/>
              <w:spacing w:before="144" w:line="182" w:lineRule="auto"/>
              <w:rPr/>
            </w:pPr>
            <w:r>
              <w:rPr>
                <w:spacing w:val="-2"/>
              </w:rPr>
              <w:t>0.097</w:t>
            </w:r>
          </w:p>
        </w:tc>
        <w:tc>
          <w:tcPr>
            <w:tcW w:w="2111" w:type="dxa"/>
            <w:vAlign w:val="top"/>
          </w:tcPr>
          <w:p>
            <w:pPr>
              <w:pStyle w:val="TableText"/>
              <w:ind w:left="797"/>
              <w:spacing w:before="144" w:line="182" w:lineRule="auto"/>
              <w:rPr/>
            </w:pPr>
            <w:r>
              <w:rPr>
                <w:spacing w:val="-2"/>
              </w:rPr>
              <w:t>0.085</w:t>
            </w:r>
          </w:p>
        </w:tc>
        <w:tc>
          <w:tcPr>
            <w:tcW w:w="2562" w:type="dxa"/>
            <w:vAlign w:val="top"/>
          </w:tcPr>
          <w:p>
            <w:pPr>
              <w:pStyle w:val="TableText"/>
              <w:ind w:left="2106"/>
              <w:spacing w:before="143" w:line="183" w:lineRule="auto"/>
              <w:rPr/>
            </w:pPr>
            <w:r>
              <w:rPr>
                <w:spacing w:val="-5"/>
              </w:rPr>
              <w:t>14.1</w:t>
            </w:r>
          </w:p>
        </w:tc>
      </w:tr>
    </w:tbl>
    <w:p>
      <w:pPr>
        <w:spacing w:line="331" w:lineRule="auto"/>
        <w:rPr>
          <w:rFonts w:ascii="Arial"/>
          <w:sz w:val="21"/>
        </w:rPr>
      </w:pPr>
      <w:r/>
    </w:p>
    <w:p>
      <w:pPr>
        <w:pStyle w:val="BodyText"/>
        <w:ind w:left="721"/>
        <w:spacing w:before="68" w:line="221" w:lineRule="auto"/>
        <w:outlineLvl w:val="1"/>
        <w:rPr/>
      </w:pPr>
      <w:r>
        <w:rPr>
          <w:b/>
          <w:bCs/>
          <w:spacing w:val="-3"/>
        </w:rPr>
        <w:t>2.3</w:t>
      </w:r>
      <w:r>
        <w:rPr>
          <w:spacing w:val="-3"/>
        </w:rPr>
        <w:t xml:space="preserve"> </w:t>
      </w:r>
      <w:r>
        <w:rPr>
          <w:b/>
          <w:bCs/>
          <w:spacing w:val="-3"/>
        </w:rPr>
        <w:t>前十名股东持股情况表</w:t>
      </w:r>
    </w:p>
    <w:p>
      <w:pPr>
        <w:pStyle w:val="BodyText"/>
        <w:ind w:left="8714"/>
        <w:spacing w:before="140" w:line="221" w:lineRule="auto"/>
        <w:rPr/>
      </w:pPr>
      <w:r>
        <w:rPr>
          <w:spacing w:val="-3"/>
        </w:rPr>
        <w:t>单位:</w:t>
      </w:r>
      <w:r>
        <w:rPr>
          <w:spacing w:val="10"/>
        </w:rPr>
        <w:t xml:space="preserve"> </w:t>
      </w:r>
      <w:r>
        <w:rPr>
          <w:spacing w:val="-3"/>
        </w:rPr>
        <w:t>股</w:t>
      </w:r>
    </w:p>
    <w:p>
      <w:pPr>
        <w:spacing w:line="92" w:lineRule="auto"/>
        <w:rPr>
          <w:rFonts w:ascii="Arial"/>
          <w:sz w:val="2"/>
        </w:rPr>
      </w:pPr>
      <w:r>
        <w:rPr>
          <w:rFonts w:ascii="Arial"/>
          <w:sz w:val="2"/>
        </w:rPr>
      </w:r>
    </w:p>
    <w:tbl>
      <w:tblPr>
        <w:tblStyle w:val="TableNormal"/>
        <w:tblW w:w="992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55"/>
        <w:gridCol w:w="744"/>
        <w:gridCol w:w="715"/>
        <w:gridCol w:w="1591"/>
        <w:gridCol w:w="1485"/>
        <w:gridCol w:w="636"/>
        <w:gridCol w:w="1597"/>
      </w:tblGrid>
      <w:tr>
        <w:trPr>
          <w:trHeight w:val="360" w:hRule="atLeast"/>
        </w:trPr>
        <w:tc>
          <w:tcPr>
            <w:shd w:val="clear" w:fill="D9D9D9"/>
            <w:tcW w:w="6205" w:type="dxa"/>
            <w:vAlign w:val="top"/>
            <w:gridSpan w:val="4"/>
          </w:tcPr>
          <w:p>
            <w:pPr>
              <w:pStyle w:val="TableText"/>
              <w:ind w:left="64"/>
              <w:spacing w:before="75" w:line="219" w:lineRule="auto"/>
              <w:rPr/>
            </w:pPr>
            <w:r>
              <w:rPr>
                <w:spacing w:val="-2"/>
              </w:rPr>
              <w:t>截止报告期末股东总数（户）</w:t>
            </w:r>
          </w:p>
        </w:tc>
        <w:tc>
          <w:tcPr>
            <w:tcW w:w="3718" w:type="dxa"/>
            <w:vAlign w:val="top"/>
            <w:gridSpan w:val="3"/>
          </w:tcPr>
          <w:p>
            <w:pPr>
              <w:pStyle w:val="TableText"/>
              <w:ind w:left="2929"/>
              <w:spacing w:before="110" w:line="182" w:lineRule="auto"/>
              <w:rPr/>
            </w:pPr>
            <w:r>
              <w:rPr>
                <w:spacing w:val="-1"/>
              </w:rPr>
              <w:t>685,864</w:t>
            </w:r>
          </w:p>
        </w:tc>
      </w:tr>
      <w:tr>
        <w:trPr>
          <w:trHeight w:val="422" w:hRule="atLeast"/>
        </w:trPr>
        <w:tc>
          <w:tcPr>
            <w:shd w:val="clear" w:fill="D9D9D9"/>
            <w:tcW w:w="6205" w:type="dxa"/>
            <w:vAlign w:val="top"/>
            <w:gridSpan w:val="4"/>
          </w:tcPr>
          <w:p>
            <w:pPr>
              <w:pStyle w:val="TableText"/>
              <w:ind w:left="64"/>
              <w:spacing w:before="104" w:line="219" w:lineRule="auto"/>
              <w:rPr/>
            </w:pPr>
            <w:r>
              <w:rPr>
                <w:spacing w:val="-1"/>
              </w:rPr>
              <w:t>截止报告期末表决权恢复的优先股股东总数（户）</w:t>
            </w:r>
          </w:p>
        </w:tc>
        <w:tc>
          <w:tcPr>
            <w:tcW w:w="3718" w:type="dxa"/>
            <w:vAlign w:val="top"/>
            <w:gridSpan w:val="3"/>
          </w:tcPr>
          <w:p>
            <w:pPr>
              <w:pStyle w:val="TableText"/>
              <w:ind w:left="3034"/>
              <w:spacing w:before="104" w:line="222" w:lineRule="auto"/>
              <w:rPr/>
            </w:pPr>
            <w:r>
              <w:rPr>
                <w:spacing w:val="-2"/>
              </w:rPr>
              <w:t>不适用</w:t>
            </w:r>
          </w:p>
        </w:tc>
      </w:tr>
      <w:tr>
        <w:trPr>
          <w:trHeight w:val="415" w:hRule="atLeast"/>
        </w:trPr>
        <w:tc>
          <w:tcPr>
            <w:shd w:val="clear" w:fill="D9D9D9"/>
            <w:tcW w:w="9923" w:type="dxa"/>
            <w:vAlign w:val="top"/>
            <w:gridSpan w:val="7"/>
          </w:tcPr>
          <w:p>
            <w:pPr>
              <w:pStyle w:val="TableText"/>
              <w:ind w:left="3972"/>
              <w:spacing w:before="101" w:line="221" w:lineRule="auto"/>
              <w:rPr/>
            </w:pPr>
            <w:r>
              <w:rPr>
                <w:spacing w:val="-5"/>
              </w:rPr>
              <w:t>前</w:t>
            </w:r>
            <w:r>
              <w:rPr>
                <w:spacing w:val="-21"/>
              </w:rPr>
              <w:t xml:space="preserve"> </w:t>
            </w:r>
            <w:r>
              <w:rPr>
                <w:spacing w:val="-5"/>
              </w:rPr>
              <w:t>10</w:t>
            </w:r>
            <w:r>
              <w:rPr>
                <w:spacing w:val="-44"/>
              </w:rPr>
              <w:t xml:space="preserve"> </w:t>
            </w:r>
            <w:r>
              <w:rPr>
                <w:spacing w:val="-5"/>
              </w:rPr>
              <w:t>名股东持股情况</w:t>
            </w:r>
          </w:p>
        </w:tc>
      </w:tr>
      <w:tr>
        <w:trPr>
          <w:trHeight w:val="935" w:hRule="atLeast"/>
        </w:trPr>
        <w:tc>
          <w:tcPr>
            <w:shd w:val="clear" w:fill="D9D9D9"/>
            <w:tcW w:w="3155" w:type="dxa"/>
            <w:vAlign w:val="top"/>
          </w:tcPr>
          <w:p>
            <w:pPr>
              <w:spacing w:line="290" w:lineRule="auto"/>
              <w:rPr>
                <w:rFonts w:ascii="Arial"/>
                <w:sz w:val="21"/>
              </w:rPr>
            </w:pPr>
            <w:r/>
          </w:p>
          <w:p>
            <w:pPr>
              <w:pStyle w:val="TableText"/>
              <w:ind w:left="1162"/>
              <w:spacing w:before="68" w:line="221" w:lineRule="auto"/>
              <w:rPr/>
            </w:pPr>
            <w:r>
              <w:rPr>
                <w:spacing w:val="-2"/>
              </w:rPr>
              <w:t>股东名称</w:t>
            </w:r>
          </w:p>
        </w:tc>
        <w:tc>
          <w:tcPr>
            <w:shd w:val="clear" w:fill="D9D9D9"/>
            <w:tcW w:w="744" w:type="dxa"/>
            <w:vAlign w:val="top"/>
          </w:tcPr>
          <w:p>
            <w:pPr>
              <w:pStyle w:val="TableText"/>
              <w:ind w:left="168" w:right="158" w:hanging="2"/>
              <w:spacing w:before="205" w:line="261" w:lineRule="auto"/>
              <w:rPr/>
            </w:pPr>
            <w:r>
              <w:rPr>
                <w:spacing w:val="-3"/>
              </w:rPr>
              <w:t>股东</w:t>
            </w:r>
            <w:r>
              <w:rPr/>
              <w:t xml:space="preserve"> </w:t>
            </w:r>
            <w:r>
              <w:rPr>
                <w:spacing w:val="-5"/>
              </w:rPr>
              <w:t>性质</w:t>
            </w:r>
          </w:p>
        </w:tc>
        <w:tc>
          <w:tcPr>
            <w:shd w:val="clear" w:fill="D9D9D9"/>
            <w:tcW w:w="715" w:type="dxa"/>
            <w:vAlign w:val="top"/>
          </w:tcPr>
          <w:p>
            <w:pPr>
              <w:pStyle w:val="TableText"/>
              <w:ind w:left="174" w:right="144" w:hanging="20"/>
              <w:spacing w:before="47" w:line="257" w:lineRule="auto"/>
              <w:jc w:val="both"/>
              <w:rPr/>
            </w:pPr>
            <w:r>
              <w:rPr>
                <w:spacing w:val="-5"/>
              </w:rPr>
              <w:t>持股</w:t>
            </w:r>
            <w:r>
              <w:rPr/>
              <w:t xml:space="preserve"> </w:t>
            </w:r>
            <w:r>
              <w:rPr>
                <w:spacing w:val="-15"/>
              </w:rPr>
              <w:t>比例</w:t>
            </w:r>
            <w:r>
              <w:rPr/>
              <w:t xml:space="preserve"> </w:t>
            </w:r>
            <w:r>
              <w:rPr>
                <w:spacing w:val="7"/>
              </w:rPr>
              <w:t>(%)</w:t>
            </w:r>
          </w:p>
        </w:tc>
        <w:tc>
          <w:tcPr>
            <w:shd w:val="clear" w:fill="D9D9D9"/>
            <w:tcW w:w="1591" w:type="dxa"/>
            <w:vAlign w:val="top"/>
          </w:tcPr>
          <w:p>
            <w:pPr>
              <w:pStyle w:val="TableText"/>
              <w:ind w:left="593" w:right="580"/>
              <w:spacing w:before="204" w:line="261" w:lineRule="auto"/>
              <w:rPr/>
            </w:pPr>
            <w:r>
              <w:rPr>
                <w:spacing w:val="-5"/>
              </w:rPr>
              <w:t>持股</w:t>
            </w:r>
            <w:r>
              <w:rPr/>
              <w:t xml:space="preserve"> </w:t>
            </w:r>
            <w:r>
              <w:rPr>
                <w:spacing w:val="-4"/>
              </w:rPr>
              <w:t>数量</w:t>
            </w:r>
          </w:p>
        </w:tc>
        <w:tc>
          <w:tcPr>
            <w:shd w:val="clear" w:fill="D9D9D9"/>
            <w:tcW w:w="1485" w:type="dxa"/>
            <w:vAlign w:val="top"/>
          </w:tcPr>
          <w:p>
            <w:pPr>
              <w:pStyle w:val="TableText"/>
              <w:ind w:left="115" w:right="109" w:firstLine="3"/>
              <w:spacing w:before="204" w:line="261" w:lineRule="auto"/>
              <w:rPr/>
            </w:pPr>
            <w:r>
              <w:rPr>
                <w:spacing w:val="-2"/>
              </w:rPr>
              <w:t>持有有限售条</w:t>
            </w:r>
            <w:r>
              <w:rPr>
                <w:spacing w:val="2"/>
              </w:rPr>
              <w:t xml:space="preserve"> </w:t>
            </w:r>
            <w:r>
              <w:rPr>
                <w:spacing w:val="-1"/>
              </w:rPr>
              <w:t>件的股份数量</w:t>
            </w:r>
          </w:p>
        </w:tc>
        <w:tc>
          <w:tcPr>
            <w:shd w:val="clear" w:fill="D9D9D9"/>
            <w:tcW w:w="2233" w:type="dxa"/>
            <w:vAlign w:val="top"/>
            <w:gridSpan w:val="2"/>
          </w:tcPr>
          <w:p>
            <w:pPr>
              <w:spacing w:line="290" w:lineRule="auto"/>
              <w:rPr>
                <w:rFonts w:ascii="Arial"/>
                <w:sz w:val="21"/>
              </w:rPr>
            </w:pPr>
            <w:r/>
          </w:p>
          <w:p>
            <w:pPr>
              <w:pStyle w:val="TableText"/>
              <w:ind w:left="72"/>
              <w:spacing w:before="68" w:line="221" w:lineRule="auto"/>
              <w:rPr/>
            </w:pPr>
            <w:r>
              <w:rPr>
                <w:spacing w:val="-1"/>
              </w:rPr>
              <w:t>质押或冻结的股份数量</w:t>
            </w:r>
          </w:p>
        </w:tc>
      </w:tr>
      <w:tr>
        <w:trPr>
          <w:trHeight w:val="623" w:hRule="atLeast"/>
        </w:trPr>
        <w:tc>
          <w:tcPr>
            <w:tcW w:w="3155" w:type="dxa"/>
            <w:vAlign w:val="top"/>
          </w:tcPr>
          <w:p>
            <w:pPr>
              <w:pStyle w:val="TableText"/>
              <w:ind w:left="83"/>
              <w:spacing w:before="209" w:line="228" w:lineRule="auto"/>
              <w:rPr>
                <w:sz w:val="19"/>
                <w:szCs w:val="19"/>
              </w:rPr>
            </w:pPr>
            <w:r>
              <w:rPr>
                <w:sz w:val="19"/>
                <w:szCs w:val="19"/>
                <w:spacing w:val="7"/>
              </w:rPr>
              <w:t>中国联合网络通信集团有限公司</w:t>
            </w:r>
          </w:p>
        </w:tc>
        <w:tc>
          <w:tcPr>
            <w:tcW w:w="744" w:type="dxa"/>
            <w:vAlign w:val="top"/>
          </w:tcPr>
          <w:p>
            <w:pPr>
              <w:pStyle w:val="TableText"/>
              <w:ind w:left="175" w:right="173" w:firstLine="18"/>
              <w:spacing w:before="53" w:line="272" w:lineRule="auto"/>
              <w:rPr>
                <w:sz w:val="19"/>
                <w:szCs w:val="19"/>
              </w:rPr>
            </w:pPr>
            <w:r>
              <w:rPr>
                <w:sz w:val="19"/>
                <w:szCs w:val="19"/>
                <w:spacing w:val="-5"/>
              </w:rPr>
              <w:t>国有</w:t>
            </w:r>
            <w:r>
              <w:rPr>
                <w:sz w:val="19"/>
                <w:szCs w:val="19"/>
              </w:rPr>
              <w:t xml:space="preserve"> </w:t>
            </w:r>
            <w:r>
              <w:rPr>
                <w:sz w:val="19"/>
                <w:szCs w:val="19"/>
                <w:spacing w:val="4"/>
              </w:rPr>
              <w:t>法人</w:t>
            </w:r>
          </w:p>
        </w:tc>
        <w:tc>
          <w:tcPr>
            <w:tcW w:w="715" w:type="dxa"/>
            <w:vAlign w:val="top"/>
          </w:tcPr>
          <w:p>
            <w:pPr>
              <w:pStyle w:val="TableText"/>
              <w:ind w:left="164"/>
              <w:spacing w:before="242" w:line="187" w:lineRule="auto"/>
              <w:rPr>
                <w:sz w:val="19"/>
                <w:szCs w:val="19"/>
              </w:rPr>
            </w:pPr>
            <w:r>
              <w:rPr>
                <w:sz w:val="19"/>
                <w:szCs w:val="19"/>
                <w:spacing w:val="2"/>
              </w:rPr>
              <w:t>36.7</w:t>
            </w:r>
          </w:p>
        </w:tc>
        <w:tc>
          <w:tcPr>
            <w:tcW w:w="1591" w:type="dxa"/>
            <w:vAlign w:val="top"/>
          </w:tcPr>
          <w:p>
            <w:pPr>
              <w:pStyle w:val="TableText"/>
              <w:ind w:left="115"/>
              <w:spacing w:before="241" w:line="189" w:lineRule="auto"/>
              <w:rPr>
                <w:sz w:val="19"/>
                <w:szCs w:val="19"/>
              </w:rPr>
            </w:pPr>
            <w:r>
              <w:rPr>
                <w:sz w:val="19"/>
                <w:szCs w:val="19"/>
                <w:spacing w:val="3"/>
              </w:rPr>
              <w:t>11,399,724,220</w:t>
            </w:r>
          </w:p>
        </w:tc>
        <w:tc>
          <w:tcPr>
            <w:tcW w:w="1485" w:type="dxa"/>
            <w:vAlign w:val="top"/>
          </w:tcPr>
          <w:p>
            <w:pPr>
              <w:pStyle w:val="TableText"/>
              <w:ind w:left="698"/>
              <w:spacing w:before="242" w:line="187" w:lineRule="auto"/>
              <w:rPr>
                <w:sz w:val="19"/>
                <w:szCs w:val="19"/>
              </w:rPr>
            </w:pPr>
            <w:r>
              <w:rPr>
                <w:sz w:val="19"/>
                <w:szCs w:val="19"/>
              </w:rPr>
              <w:t>0</w:t>
            </w:r>
          </w:p>
        </w:tc>
        <w:tc>
          <w:tcPr>
            <w:tcW w:w="636" w:type="dxa"/>
            <w:vAlign w:val="top"/>
          </w:tcPr>
          <w:p>
            <w:pPr>
              <w:pStyle w:val="TableText"/>
              <w:ind w:left="226"/>
              <w:spacing w:before="209" w:line="229" w:lineRule="auto"/>
              <w:rPr>
                <w:sz w:val="19"/>
                <w:szCs w:val="19"/>
              </w:rPr>
            </w:pPr>
            <w:r>
              <w:rPr>
                <w:sz w:val="19"/>
                <w:szCs w:val="19"/>
              </w:rPr>
              <w:t>无</w:t>
            </w:r>
          </w:p>
        </w:tc>
        <w:tc>
          <w:tcPr>
            <w:tcW w:w="1597" w:type="dxa"/>
            <w:vAlign w:val="top"/>
          </w:tcPr>
          <w:p>
            <w:pPr>
              <w:pStyle w:val="TableText"/>
              <w:ind w:left="754"/>
              <w:spacing w:before="242" w:line="187" w:lineRule="auto"/>
              <w:rPr>
                <w:sz w:val="19"/>
                <w:szCs w:val="19"/>
              </w:rPr>
            </w:pPr>
            <w:r>
              <w:rPr>
                <w:sz w:val="19"/>
                <w:szCs w:val="19"/>
              </w:rPr>
              <w:t>0</w:t>
            </w:r>
          </w:p>
        </w:tc>
      </w:tr>
      <w:tr>
        <w:trPr>
          <w:trHeight w:val="935" w:hRule="atLeast"/>
        </w:trPr>
        <w:tc>
          <w:tcPr>
            <w:tcW w:w="3155" w:type="dxa"/>
            <w:vAlign w:val="top"/>
          </w:tcPr>
          <w:p>
            <w:pPr>
              <w:pStyle w:val="TableText"/>
              <w:ind w:left="75" w:right="55" w:firstLine="8"/>
              <w:spacing w:before="54" w:line="282" w:lineRule="auto"/>
              <w:jc w:val="both"/>
              <w:rPr>
                <w:sz w:val="19"/>
                <w:szCs w:val="19"/>
              </w:rPr>
            </w:pPr>
            <w:r>
              <w:rPr>
                <w:sz w:val="19"/>
                <w:szCs w:val="19"/>
                <w:spacing w:val="10"/>
              </w:rPr>
              <w:t>中国人寿保险股份有限公司－传统</w:t>
            </w:r>
            <w:r>
              <w:rPr>
                <w:sz w:val="19"/>
                <w:szCs w:val="19"/>
              </w:rPr>
              <w:t xml:space="preserve"> </w:t>
            </w:r>
            <w:r>
              <w:rPr>
                <w:sz w:val="19"/>
                <w:szCs w:val="19"/>
                <w:spacing w:val="14"/>
              </w:rPr>
              <w:t>-普通保险产品－005L－</w:t>
            </w:r>
            <w:r>
              <w:rPr>
                <w:sz w:val="19"/>
                <w:szCs w:val="19"/>
              </w:rPr>
              <w:t>CT</w:t>
            </w:r>
            <w:r>
              <w:rPr>
                <w:sz w:val="19"/>
                <w:szCs w:val="19"/>
                <w:spacing w:val="14"/>
              </w:rPr>
              <w:t>001 沪</w:t>
            </w:r>
            <w:r>
              <w:rPr>
                <w:sz w:val="19"/>
                <w:szCs w:val="19"/>
                <w:spacing w:val="11"/>
              </w:rPr>
              <w:t xml:space="preserve"> </w:t>
            </w:r>
            <w:r>
              <w:rPr>
                <w:sz w:val="19"/>
                <w:szCs w:val="19"/>
                <w:spacing w:val="-7"/>
              </w:rPr>
              <w:t>（注</w:t>
            </w:r>
            <w:r>
              <w:rPr>
                <w:sz w:val="19"/>
                <w:szCs w:val="19"/>
                <w:spacing w:val="-12"/>
              </w:rPr>
              <w:t xml:space="preserve"> </w:t>
            </w:r>
            <w:r>
              <w:rPr>
                <w:sz w:val="19"/>
                <w:szCs w:val="19"/>
                <w:spacing w:val="-7"/>
              </w:rPr>
              <w:t>1）</w:t>
            </w:r>
          </w:p>
        </w:tc>
        <w:tc>
          <w:tcPr>
            <w:tcW w:w="744" w:type="dxa"/>
            <w:vAlign w:val="top"/>
          </w:tcPr>
          <w:p>
            <w:pPr>
              <w:spacing w:line="302" w:lineRule="auto"/>
              <w:rPr>
                <w:rFonts w:ascii="Arial"/>
                <w:sz w:val="21"/>
              </w:rPr>
            </w:pPr>
            <w:r/>
          </w:p>
          <w:p>
            <w:pPr>
              <w:pStyle w:val="TableText"/>
              <w:ind w:left="178"/>
              <w:spacing w:before="62" w:line="229" w:lineRule="auto"/>
              <w:rPr>
                <w:sz w:val="19"/>
                <w:szCs w:val="19"/>
              </w:rPr>
            </w:pPr>
            <w:r>
              <w:rPr>
                <w:sz w:val="19"/>
                <w:szCs w:val="19"/>
                <w:spacing w:val="3"/>
              </w:rPr>
              <w:t>未知</w:t>
            </w:r>
          </w:p>
        </w:tc>
        <w:tc>
          <w:tcPr>
            <w:tcW w:w="715" w:type="dxa"/>
            <w:vAlign w:val="top"/>
          </w:tcPr>
          <w:p>
            <w:pPr>
              <w:spacing w:line="334" w:lineRule="auto"/>
              <w:rPr>
                <w:rFonts w:ascii="Arial"/>
                <w:sz w:val="21"/>
              </w:rPr>
            </w:pPr>
            <w:r/>
          </w:p>
          <w:p>
            <w:pPr>
              <w:pStyle w:val="TableText"/>
              <w:ind w:left="175"/>
              <w:spacing w:before="62" w:line="188" w:lineRule="auto"/>
              <w:rPr>
                <w:sz w:val="19"/>
                <w:szCs w:val="19"/>
              </w:rPr>
            </w:pPr>
            <w:r>
              <w:rPr>
                <w:sz w:val="19"/>
                <w:szCs w:val="19"/>
                <w:spacing w:val="-1"/>
              </w:rPr>
              <w:t>10.3</w:t>
            </w:r>
          </w:p>
        </w:tc>
        <w:tc>
          <w:tcPr>
            <w:tcW w:w="1591" w:type="dxa"/>
            <w:vAlign w:val="top"/>
          </w:tcPr>
          <w:p>
            <w:pPr>
              <w:spacing w:line="334" w:lineRule="auto"/>
              <w:rPr>
                <w:rFonts w:ascii="Arial"/>
                <w:sz w:val="21"/>
              </w:rPr>
            </w:pPr>
            <w:r/>
          </w:p>
          <w:p>
            <w:pPr>
              <w:pStyle w:val="TableText"/>
              <w:ind w:left="155"/>
              <w:spacing w:before="62" w:line="189" w:lineRule="auto"/>
              <w:rPr>
                <w:sz w:val="19"/>
                <w:szCs w:val="19"/>
              </w:rPr>
            </w:pPr>
            <w:r>
              <w:rPr>
                <w:sz w:val="19"/>
                <w:szCs w:val="19"/>
                <w:spacing w:val="4"/>
              </w:rPr>
              <w:t>3,190,419,687</w:t>
            </w:r>
          </w:p>
        </w:tc>
        <w:tc>
          <w:tcPr>
            <w:tcW w:w="1485" w:type="dxa"/>
            <w:vAlign w:val="top"/>
          </w:tcPr>
          <w:p>
            <w:pPr>
              <w:spacing w:line="334" w:lineRule="auto"/>
              <w:rPr>
                <w:rFonts w:ascii="Arial"/>
                <w:sz w:val="21"/>
              </w:rPr>
            </w:pPr>
            <w:r/>
          </w:p>
          <w:p>
            <w:pPr>
              <w:pStyle w:val="TableText"/>
              <w:ind w:left="100"/>
              <w:spacing w:before="62" w:line="189" w:lineRule="auto"/>
              <w:rPr>
                <w:sz w:val="19"/>
                <w:szCs w:val="19"/>
              </w:rPr>
            </w:pPr>
            <w:r>
              <w:rPr>
                <w:sz w:val="19"/>
                <w:szCs w:val="19"/>
                <w:spacing w:val="4"/>
              </w:rPr>
              <w:t>3,177,159,590</w:t>
            </w:r>
          </w:p>
        </w:tc>
        <w:tc>
          <w:tcPr>
            <w:tcW w:w="636" w:type="dxa"/>
            <w:vAlign w:val="top"/>
          </w:tcPr>
          <w:p>
            <w:pPr>
              <w:spacing w:line="302" w:lineRule="auto"/>
              <w:rPr>
                <w:rFonts w:ascii="Arial"/>
                <w:sz w:val="21"/>
              </w:rPr>
            </w:pPr>
            <w:r/>
          </w:p>
          <w:p>
            <w:pPr>
              <w:pStyle w:val="TableText"/>
              <w:ind w:left="226"/>
              <w:spacing w:before="62" w:line="229" w:lineRule="auto"/>
              <w:rPr>
                <w:sz w:val="19"/>
                <w:szCs w:val="19"/>
              </w:rPr>
            </w:pPr>
            <w:r>
              <w:rPr>
                <w:sz w:val="19"/>
                <w:szCs w:val="19"/>
              </w:rPr>
              <w:t>无</w:t>
            </w:r>
          </w:p>
        </w:tc>
        <w:tc>
          <w:tcPr>
            <w:tcW w:w="1597" w:type="dxa"/>
            <w:vAlign w:val="top"/>
          </w:tcPr>
          <w:p>
            <w:pPr>
              <w:spacing w:line="335" w:lineRule="auto"/>
              <w:rPr>
                <w:rFonts w:ascii="Arial"/>
                <w:sz w:val="21"/>
              </w:rPr>
            </w:pPr>
            <w:r/>
          </w:p>
          <w:p>
            <w:pPr>
              <w:pStyle w:val="TableText"/>
              <w:ind w:left="754"/>
              <w:spacing w:before="62" w:line="187" w:lineRule="auto"/>
              <w:rPr>
                <w:sz w:val="19"/>
                <w:szCs w:val="19"/>
              </w:rPr>
            </w:pPr>
            <w:r>
              <w:rPr>
                <w:sz w:val="19"/>
                <w:szCs w:val="19"/>
              </w:rPr>
              <w:t>0</w:t>
            </w:r>
          </w:p>
        </w:tc>
      </w:tr>
      <w:tr>
        <w:trPr>
          <w:trHeight w:val="624" w:hRule="atLeast"/>
        </w:trPr>
        <w:tc>
          <w:tcPr>
            <w:tcW w:w="3155" w:type="dxa"/>
            <w:vAlign w:val="top"/>
          </w:tcPr>
          <w:p>
            <w:pPr>
              <w:pStyle w:val="TableText"/>
              <w:ind w:left="79" w:right="64" w:firstLine="4"/>
              <w:spacing w:before="54" w:line="272" w:lineRule="auto"/>
              <w:rPr>
                <w:sz w:val="19"/>
                <w:szCs w:val="19"/>
              </w:rPr>
            </w:pPr>
            <w:r>
              <w:rPr>
                <w:sz w:val="19"/>
                <w:szCs w:val="19"/>
                <w:spacing w:val="10"/>
              </w:rPr>
              <w:t>中国国有企业结构调整基金股份有</w:t>
            </w:r>
            <w:r>
              <w:rPr>
                <w:sz w:val="19"/>
                <w:szCs w:val="19"/>
              </w:rPr>
              <w:t xml:space="preserve"> </w:t>
            </w:r>
            <w:r>
              <w:rPr>
                <w:sz w:val="19"/>
                <w:szCs w:val="19"/>
                <w:spacing w:val="2"/>
              </w:rPr>
              <w:t>限公司（注</w:t>
            </w:r>
            <w:r>
              <w:rPr>
                <w:sz w:val="19"/>
                <w:szCs w:val="19"/>
                <w:spacing w:val="-28"/>
              </w:rPr>
              <w:t xml:space="preserve"> </w:t>
            </w:r>
            <w:r>
              <w:rPr>
                <w:sz w:val="19"/>
                <w:szCs w:val="19"/>
                <w:spacing w:val="2"/>
              </w:rPr>
              <w:t>2）</w:t>
            </w:r>
          </w:p>
        </w:tc>
        <w:tc>
          <w:tcPr>
            <w:tcW w:w="744" w:type="dxa"/>
            <w:vAlign w:val="top"/>
          </w:tcPr>
          <w:p>
            <w:pPr>
              <w:pStyle w:val="TableText"/>
              <w:ind w:left="178"/>
              <w:spacing w:before="211" w:line="229" w:lineRule="auto"/>
              <w:rPr>
                <w:sz w:val="19"/>
                <w:szCs w:val="19"/>
              </w:rPr>
            </w:pPr>
            <w:r>
              <w:rPr>
                <w:sz w:val="19"/>
                <w:szCs w:val="19"/>
                <w:spacing w:val="3"/>
              </w:rPr>
              <w:t>未知</w:t>
            </w:r>
          </w:p>
        </w:tc>
        <w:tc>
          <w:tcPr>
            <w:tcW w:w="715" w:type="dxa"/>
            <w:vAlign w:val="top"/>
          </w:tcPr>
          <w:p>
            <w:pPr>
              <w:pStyle w:val="TableText"/>
              <w:ind w:left="212"/>
              <w:spacing w:before="244" w:line="188" w:lineRule="auto"/>
              <w:rPr>
                <w:sz w:val="19"/>
                <w:szCs w:val="19"/>
              </w:rPr>
            </w:pPr>
            <w:r>
              <w:rPr>
                <w:sz w:val="19"/>
                <w:szCs w:val="19"/>
                <w:spacing w:val="2"/>
              </w:rPr>
              <w:t>6.1</w:t>
            </w:r>
          </w:p>
        </w:tc>
        <w:tc>
          <w:tcPr>
            <w:tcW w:w="1591" w:type="dxa"/>
            <w:vAlign w:val="top"/>
          </w:tcPr>
          <w:p>
            <w:pPr>
              <w:pStyle w:val="TableText"/>
              <w:ind w:left="166"/>
              <w:spacing w:before="243" w:line="189" w:lineRule="auto"/>
              <w:rPr>
                <w:sz w:val="19"/>
                <w:szCs w:val="19"/>
              </w:rPr>
            </w:pPr>
            <w:r>
              <w:rPr>
                <w:sz w:val="19"/>
                <w:szCs w:val="19"/>
                <w:spacing w:val="3"/>
              </w:rPr>
              <w:t>1,899,764,201</w:t>
            </w:r>
          </w:p>
        </w:tc>
        <w:tc>
          <w:tcPr>
            <w:tcW w:w="1485" w:type="dxa"/>
            <w:vAlign w:val="top"/>
          </w:tcPr>
          <w:p>
            <w:pPr>
              <w:pStyle w:val="TableText"/>
              <w:ind w:left="698"/>
              <w:spacing w:before="245" w:line="187" w:lineRule="auto"/>
              <w:rPr>
                <w:sz w:val="19"/>
                <w:szCs w:val="19"/>
              </w:rPr>
            </w:pPr>
            <w:r>
              <w:rPr>
                <w:sz w:val="19"/>
                <w:szCs w:val="19"/>
              </w:rPr>
              <w:t>0</w:t>
            </w:r>
          </w:p>
        </w:tc>
        <w:tc>
          <w:tcPr>
            <w:tcW w:w="636" w:type="dxa"/>
            <w:vAlign w:val="top"/>
          </w:tcPr>
          <w:p>
            <w:pPr>
              <w:pStyle w:val="TableText"/>
              <w:ind w:left="226"/>
              <w:spacing w:before="211" w:line="229" w:lineRule="auto"/>
              <w:rPr>
                <w:sz w:val="19"/>
                <w:szCs w:val="19"/>
              </w:rPr>
            </w:pPr>
            <w:r>
              <w:rPr>
                <w:sz w:val="19"/>
                <w:szCs w:val="19"/>
              </w:rPr>
              <w:t>无</w:t>
            </w:r>
          </w:p>
        </w:tc>
        <w:tc>
          <w:tcPr>
            <w:tcW w:w="1597" w:type="dxa"/>
            <w:vAlign w:val="top"/>
          </w:tcPr>
          <w:p>
            <w:pPr>
              <w:pStyle w:val="TableText"/>
              <w:ind w:left="754"/>
              <w:spacing w:before="245" w:line="187" w:lineRule="auto"/>
              <w:rPr>
                <w:sz w:val="19"/>
                <w:szCs w:val="19"/>
              </w:rPr>
            </w:pPr>
            <w:r>
              <w:rPr>
                <w:sz w:val="19"/>
                <w:szCs w:val="19"/>
              </w:rPr>
              <w:t>0</w:t>
            </w:r>
          </w:p>
        </w:tc>
      </w:tr>
      <w:tr>
        <w:trPr>
          <w:trHeight w:val="623" w:hRule="atLeast"/>
        </w:trPr>
        <w:tc>
          <w:tcPr>
            <w:tcW w:w="3155" w:type="dxa"/>
            <w:vAlign w:val="top"/>
          </w:tcPr>
          <w:p>
            <w:pPr>
              <w:pStyle w:val="TableText"/>
              <w:ind w:left="78" w:right="64" w:hanging="13"/>
              <w:spacing w:before="55" w:line="271" w:lineRule="auto"/>
              <w:rPr>
                <w:sz w:val="19"/>
                <w:szCs w:val="19"/>
              </w:rPr>
            </w:pPr>
            <w:r>
              <w:rPr>
                <w:sz w:val="19"/>
                <w:szCs w:val="19"/>
                <w:spacing w:val="11"/>
              </w:rPr>
              <w:t>深圳市腾讯信达有限合伙企业（有</w:t>
            </w:r>
            <w:r>
              <w:rPr>
                <w:sz w:val="19"/>
                <w:szCs w:val="19"/>
                <w:spacing w:val="4"/>
              </w:rPr>
              <w:t xml:space="preserve"> </w:t>
            </w:r>
            <w:r>
              <w:rPr>
                <w:sz w:val="19"/>
                <w:szCs w:val="19"/>
                <w:spacing w:val="-1"/>
              </w:rPr>
              <w:t>限合伙）</w:t>
            </w:r>
          </w:p>
        </w:tc>
        <w:tc>
          <w:tcPr>
            <w:tcW w:w="744" w:type="dxa"/>
            <w:vAlign w:val="top"/>
          </w:tcPr>
          <w:p>
            <w:pPr>
              <w:pStyle w:val="TableText"/>
              <w:ind w:left="178"/>
              <w:spacing w:before="211" w:line="229" w:lineRule="auto"/>
              <w:rPr>
                <w:sz w:val="19"/>
                <w:szCs w:val="19"/>
              </w:rPr>
            </w:pPr>
            <w:r>
              <w:rPr>
                <w:sz w:val="19"/>
                <w:szCs w:val="19"/>
                <w:spacing w:val="3"/>
              </w:rPr>
              <w:t>未知</w:t>
            </w:r>
          </w:p>
        </w:tc>
        <w:tc>
          <w:tcPr>
            <w:tcW w:w="715" w:type="dxa"/>
            <w:vAlign w:val="top"/>
          </w:tcPr>
          <w:p>
            <w:pPr>
              <w:pStyle w:val="TableText"/>
              <w:ind w:left="215"/>
              <w:spacing w:before="244" w:line="187" w:lineRule="auto"/>
              <w:rPr>
                <w:sz w:val="19"/>
                <w:szCs w:val="19"/>
              </w:rPr>
            </w:pPr>
            <w:r>
              <w:rPr>
                <w:sz w:val="19"/>
                <w:szCs w:val="19"/>
                <w:spacing w:val="1"/>
              </w:rPr>
              <w:t>5.2</w:t>
            </w:r>
          </w:p>
        </w:tc>
        <w:tc>
          <w:tcPr>
            <w:tcW w:w="1591" w:type="dxa"/>
            <w:vAlign w:val="top"/>
          </w:tcPr>
          <w:p>
            <w:pPr>
              <w:pStyle w:val="TableText"/>
              <w:ind w:left="166"/>
              <w:spacing w:before="243" w:line="189" w:lineRule="auto"/>
              <w:rPr>
                <w:sz w:val="19"/>
                <w:szCs w:val="19"/>
              </w:rPr>
            </w:pPr>
            <w:r>
              <w:rPr>
                <w:sz w:val="19"/>
                <w:szCs w:val="19"/>
                <w:spacing w:val="3"/>
              </w:rPr>
              <w:t>1,610,541,728</w:t>
            </w:r>
          </w:p>
        </w:tc>
        <w:tc>
          <w:tcPr>
            <w:tcW w:w="1485" w:type="dxa"/>
            <w:vAlign w:val="top"/>
          </w:tcPr>
          <w:p>
            <w:pPr>
              <w:pStyle w:val="TableText"/>
              <w:ind w:left="111"/>
              <w:spacing w:before="243" w:line="189" w:lineRule="auto"/>
              <w:rPr>
                <w:sz w:val="19"/>
                <w:szCs w:val="19"/>
              </w:rPr>
            </w:pPr>
            <w:r>
              <w:rPr>
                <w:sz w:val="19"/>
                <w:szCs w:val="19"/>
                <w:spacing w:val="3"/>
              </w:rPr>
              <w:t>1,610,541,728</w:t>
            </w:r>
          </w:p>
        </w:tc>
        <w:tc>
          <w:tcPr>
            <w:tcW w:w="636" w:type="dxa"/>
            <w:vAlign w:val="top"/>
          </w:tcPr>
          <w:p>
            <w:pPr>
              <w:pStyle w:val="TableText"/>
              <w:ind w:left="226"/>
              <w:spacing w:before="211" w:line="229" w:lineRule="auto"/>
              <w:rPr>
                <w:sz w:val="19"/>
                <w:szCs w:val="19"/>
              </w:rPr>
            </w:pPr>
            <w:r>
              <w:rPr>
                <w:sz w:val="19"/>
                <w:szCs w:val="19"/>
              </w:rPr>
              <w:t>无</w:t>
            </w:r>
          </w:p>
        </w:tc>
        <w:tc>
          <w:tcPr>
            <w:tcW w:w="1597" w:type="dxa"/>
            <w:vAlign w:val="top"/>
          </w:tcPr>
          <w:p>
            <w:pPr>
              <w:pStyle w:val="TableText"/>
              <w:ind w:left="754"/>
              <w:spacing w:before="244" w:line="187" w:lineRule="auto"/>
              <w:rPr>
                <w:sz w:val="19"/>
                <w:szCs w:val="19"/>
              </w:rPr>
            </w:pPr>
            <w:r>
              <w:rPr>
                <w:sz w:val="19"/>
                <w:szCs w:val="19"/>
              </w:rPr>
              <w:t>0</w:t>
            </w:r>
          </w:p>
        </w:tc>
      </w:tr>
      <w:tr>
        <w:trPr>
          <w:trHeight w:val="935" w:hRule="atLeast"/>
        </w:trPr>
        <w:tc>
          <w:tcPr>
            <w:tcW w:w="3155" w:type="dxa"/>
            <w:vAlign w:val="top"/>
          </w:tcPr>
          <w:p>
            <w:pPr>
              <w:pStyle w:val="TableText"/>
              <w:ind w:left="64" w:right="64" w:firstLine="3"/>
              <w:spacing w:before="57" w:line="281" w:lineRule="auto"/>
              <w:jc w:val="both"/>
              <w:rPr>
                <w:sz w:val="19"/>
                <w:szCs w:val="19"/>
              </w:rPr>
            </w:pPr>
            <w:r>
              <w:rPr>
                <w:sz w:val="19"/>
                <w:szCs w:val="19"/>
                <w:spacing w:val="11"/>
              </w:rPr>
              <w:t>嘉兴小度投资管理有限公司－宁波</w:t>
            </w:r>
            <w:r>
              <w:rPr>
                <w:sz w:val="19"/>
                <w:szCs w:val="19"/>
                <w:spacing w:val="2"/>
              </w:rPr>
              <w:t xml:space="preserve"> </w:t>
            </w:r>
            <w:r>
              <w:rPr>
                <w:sz w:val="19"/>
                <w:szCs w:val="19"/>
                <w:spacing w:val="11"/>
              </w:rPr>
              <w:t>梅山保税港区百度鹏寰投资合伙企</w:t>
            </w:r>
            <w:r>
              <w:rPr>
                <w:sz w:val="19"/>
                <w:szCs w:val="19"/>
                <w:spacing w:val="5"/>
              </w:rPr>
              <w:t xml:space="preserve"> </w:t>
            </w:r>
            <w:r>
              <w:rPr>
                <w:sz w:val="19"/>
                <w:szCs w:val="19"/>
                <w:spacing w:val="5"/>
              </w:rPr>
              <w:t>业（有限合伙）</w:t>
            </w:r>
          </w:p>
        </w:tc>
        <w:tc>
          <w:tcPr>
            <w:tcW w:w="744" w:type="dxa"/>
            <w:vAlign w:val="top"/>
          </w:tcPr>
          <w:p>
            <w:pPr>
              <w:spacing w:line="304" w:lineRule="auto"/>
              <w:rPr>
                <w:rFonts w:ascii="Arial"/>
                <w:sz w:val="21"/>
              </w:rPr>
            </w:pPr>
            <w:r/>
          </w:p>
          <w:p>
            <w:pPr>
              <w:pStyle w:val="TableText"/>
              <w:ind w:left="178"/>
              <w:spacing w:before="62" w:line="229" w:lineRule="auto"/>
              <w:rPr>
                <w:sz w:val="19"/>
                <w:szCs w:val="19"/>
              </w:rPr>
            </w:pPr>
            <w:r>
              <w:rPr>
                <w:sz w:val="19"/>
                <w:szCs w:val="19"/>
                <w:spacing w:val="3"/>
              </w:rPr>
              <w:t>未知</w:t>
            </w:r>
          </w:p>
        </w:tc>
        <w:tc>
          <w:tcPr>
            <w:tcW w:w="715" w:type="dxa"/>
            <w:vAlign w:val="top"/>
          </w:tcPr>
          <w:p>
            <w:pPr>
              <w:spacing w:line="337" w:lineRule="auto"/>
              <w:rPr>
                <w:rFonts w:ascii="Arial"/>
                <w:sz w:val="21"/>
              </w:rPr>
            </w:pPr>
            <w:r/>
          </w:p>
          <w:p>
            <w:pPr>
              <w:pStyle w:val="TableText"/>
              <w:ind w:left="215"/>
              <w:spacing w:before="62" w:line="187" w:lineRule="auto"/>
              <w:rPr>
                <w:sz w:val="19"/>
                <w:szCs w:val="19"/>
              </w:rPr>
            </w:pPr>
            <w:r>
              <w:rPr>
                <w:sz w:val="19"/>
                <w:szCs w:val="19"/>
                <w:spacing w:val="1"/>
              </w:rPr>
              <w:t>3.3</w:t>
            </w:r>
          </w:p>
        </w:tc>
        <w:tc>
          <w:tcPr>
            <w:tcW w:w="1591" w:type="dxa"/>
            <w:vAlign w:val="top"/>
          </w:tcPr>
          <w:p>
            <w:pPr>
              <w:spacing w:line="336" w:lineRule="auto"/>
              <w:rPr>
                <w:rFonts w:ascii="Arial"/>
                <w:sz w:val="21"/>
              </w:rPr>
            </w:pPr>
            <w:r/>
          </w:p>
          <w:p>
            <w:pPr>
              <w:pStyle w:val="TableText"/>
              <w:ind w:left="166"/>
              <w:spacing w:before="62" w:line="189" w:lineRule="auto"/>
              <w:rPr>
                <w:sz w:val="19"/>
                <w:szCs w:val="19"/>
              </w:rPr>
            </w:pPr>
            <w:r>
              <w:rPr>
                <w:sz w:val="19"/>
                <w:szCs w:val="19"/>
                <w:spacing w:val="3"/>
              </w:rPr>
              <w:t>1,024,890,190</w:t>
            </w:r>
          </w:p>
        </w:tc>
        <w:tc>
          <w:tcPr>
            <w:tcW w:w="1485" w:type="dxa"/>
            <w:vAlign w:val="top"/>
          </w:tcPr>
          <w:p>
            <w:pPr>
              <w:spacing w:line="336" w:lineRule="auto"/>
              <w:rPr>
                <w:rFonts w:ascii="Arial"/>
                <w:sz w:val="21"/>
              </w:rPr>
            </w:pPr>
            <w:r/>
          </w:p>
          <w:p>
            <w:pPr>
              <w:pStyle w:val="TableText"/>
              <w:ind w:left="111"/>
              <w:spacing w:before="62" w:line="189" w:lineRule="auto"/>
              <w:rPr>
                <w:sz w:val="19"/>
                <w:szCs w:val="19"/>
              </w:rPr>
            </w:pPr>
            <w:r>
              <w:rPr>
                <w:sz w:val="19"/>
                <w:szCs w:val="19"/>
                <w:spacing w:val="3"/>
              </w:rPr>
              <w:t>1,024,890,190</w:t>
            </w:r>
          </w:p>
        </w:tc>
        <w:tc>
          <w:tcPr>
            <w:tcW w:w="636" w:type="dxa"/>
            <w:vAlign w:val="top"/>
          </w:tcPr>
          <w:p>
            <w:pPr>
              <w:spacing w:line="304" w:lineRule="auto"/>
              <w:rPr>
                <w:rFonts w:ascii="Arial"/>
                <w:sz w:val="21"/>
              </w:rPr>
            </w:pPr>
            <w:r/>
          </w:p>
          <w:p>
            <w:pPr>
              <w:pStyle w:val="TableText"/>
              <w:ind w:left="226"/>
              <w:spacing w:before="62" w:line="229" w:lineRule="auto"/>
              <w:rPr>
                <w:sz w:val="19"/>
                <w:szCs w:val="19"/>
              </w:rPr>
            </w:pPr>
            <w:r>
              <w:rPr>
                <w:sz w:val="19"/>
                <w:szCs w:val="19"/>
              </w:rPr>
              <w:t>无</w:t>
            </w:r>
          </w:p>
        </w:tc>
        <w:tc>
          <w:tcPr>
            <w:tcW w:w="1597" w:type="dxa"/>
            <w:vAlign w:val="top"/>
          </w:tcPr>
          <w:p>
            <w:pPr>
              <w:spacing w:line="337" w:lineRule="auto"/>
              <w:rPr>
                <w:rFonts w:ascii="Arial"/>
                <w:sz w:val="21"/>
              </w:rPr>
            </w:pPr>
            <w:r/>
          </w:p>
          <w:p>
            <w:pPr>
              <w:pStyle w:val="TableText"/>
              <w:ind w:left="754"/>
              <w:spacing w:before="62" w:line="187" w:lineRule="auto"/>
              <w:rPr>
                <w:sz w:val="19"/>
                <w:szCs w:val="19"/>
              </w:rPr>
            </w:pPr>
            <w:r>
              <w:rPr>
                <w:sz w:val="19"/>
                <w:szCs w:val="19"/>
              </w:rPr>
              <w:t>0</w:t>
            </w:r>
          </w:p>
        </w:tc>
      </w:tr>
      <w:tr>
        <w:trPr>
          <w:trHeight w:val="628" w:hRule="atLeast"/>
        </w:trPr>
        <w:tc>
          <w:tcPr>
            <w:tcW w:w="3155" w:type="dxa"/>
            <w:vAlign w:val="top"/>
          </w:tcPr>
          <w:p>
            <w:pPr>
              <w:pStyle w:val="TableText"/>
              <w:ind w:left="65" w:right="64"/>
              <w:spacing w:before="58" w:line="272" w:lineRule="auto"/>
              <w:rPr>
                <w:sz w:val="19"/>
                <w:szCs w:val="19"/>
              </w:rPr>
            </w:pPr>
            <w:r>
              <w:rPr>
                <w:sz w:val="19"/>
                <w:szCs w:val="19"/>
                <w:spacing w:val="11"/>
              </w:rPr>
              <w:t>宿迁京东三弘企业管理中心（有限</w:t>
            </w:r>
            <w:r>
              <w:rPr>
                <w:sz w:val="19"/>
                <w:szCs w:val="19"/>
                <w:spacing w:val="2"/>
              </w:rPr>
              <w:t xml:space="preserve"> </w:t>
            </w:r>
            <w:r>
              <w:rPr>
                <w:sz w:val="19"/>
                <w:szCs w:val="19"/>
              </w:rPr>
              <w:t>合伙）</w:t>
            </w:r>
          </w:p>
        </w:tc>
        <w:tc>
          <w:tcPr>
            <w:tcW w:w="744" w:type="dxa"/>
            <w:vAlign w:val="top"/>
          </w:tcPr>
          <w:p>
            <w:pPr>
              <w:pStyle w:val="TableText"/>
              <w:ind w:left="178"/>
              <w:spacing w:before="215" w:line="229" w:lineRule="auto"/>
              <w:rPr>
                <w:sz w:val="19"/>
                <w:szCs w:val="19"/>
              </w:rPr>
            </w:pPr>
            <w:r>
              <w:rPr>
                <w:sz w:val="19"/>
                <w:szCs w:val="19"/>
                <w:spacing w:val="3"/>
              </w:rPr>
              <w:t>未知</w:t>
            </w:r>
          </w:p>
        </w:tc>
        <w:tc>
          <w:tcPr>
            <w:tcW w:w="715" w:type="dxa"/>
            <w:vAlign w:val="top"/>
          </w:tcPr>
          <w:p>
            <w:pPr>
              <w:pStyle w:val="TableText"/>
              <w:ind w:left="213"/>
              <w:spacing w:before="248" w:line="187" w:lineRule="auto"/>
              <w:rPr>
                <w:sz w:val="19"/>
                <w:szCs w:val="19"/>
              </w:rPr>
            </w:pPr>
            <w:r>
              <w:rPr>
                <w:sz w:val="19"/>
                <w:szCs w:val="19"/>
                <w:spacing w:val="2"/>
              </w:rPr>
              <w:t>2.4</w:t>
            </w:r>
          </w:p>
        </w:tc>
        <w:tc>
          <w:tcPr>
            <w:tcW w:w="1591" w:type="dxa"/>
            <w:vAlign w:val="top"/>
          </w:tcPr>
          <w:p>
            <w:pPr>
              <w:pStyle w:val="TableText"/>
              <w:ind w:left="256"/>
              <w:spacing w:before="247" w:line="189" w:lineRule="auto"/>
              <w:rPr>
                <w:sz w:val="19"/>
                <w:szCs w:val="19"/>
              </w:rPr>
            </w:pPr>
            <w:r>
              <w:rPr>
                <w:sz w:val="19"/>
                <w:szCs w:val="19"/>
                <w:spacing w:val="3"/>
              </w:rPr>
              <w:t>732,064,421</w:t>
            </w:r>
          </w:p>
        </w:tc>
        <w:tc>
          <w:tcPr>
            <w:tcW w:w="1485" w:type="dxa"/>
            <w:vAlign w:val="top"/>
          </w:tcPr>
          <w:p>
            <w:pPr>
              <w:pStyle w:val="TableText"/>
              <w:ind w:left="202"/>
              <w:spacing w:before="247" w:line="189" w:lineRule="auto"/>
              <w:rPr>
                <w:sz w:val="19"/>
                <w:szCs w:val="19"/>
              </w:rPr>
            </w:pPr>
            <w:r>
              <w:rPr>
                <w:sz w:val="19"/>
                <w:szCs w:val="19"/>
                <w:spacing w:val="3"/>
              </w:rPr>
              <w:t>732,064,421</w:t>
            </w:r>
          </w:p>
        </w:tc>
        <w:tc>
          <w:tcPr>
            <w:tcW w:w="636" w:type="dxa"/>
            <w:vAlign w:val="top"/>
          </w:tcPr>
          <w:p>
            <w:pPr>
              <w:pStyle w:val="TableText"/>
              <w:ind w:left="226"/>
              <w:spacing w:before="215" w:line="229" w:lineRule="auto"/>
              <w:rPr>
                <w:sz w:val="19"/>
                <w:szCs w:val="19"/>
              </w:rPr>
            </w:pPr>
            <w:r>
              <w:rPr>
                <w:sz w:val="19"/>
                <w:szCs w:val="19"/>
              </w:rPr>
              <w:t>无</w:t>
            </w:r>
          </w:p>
        </w:tc>
        <w:tc>
          <w:tcPr>
            <w:tcW w:w="1597" w:type="dxa"/>
            <w:vAlign w:val="top"/>
          </w:tcPr>
          <w:p>
            <w:pPr>
              <w:pStyle w:val="TableText"/>
              <w:ind w:left="754"/>
              <w:spacing w:before="248" w:line="187" w:lineRule="auto"/>
              <w:rPr>
                <w:sz w:val="19"/>
                <w:szCs w:val="19"/>
              </w:rPr>
            </w:pPr>
            <w:r>
              <w:rPr>
                <w:sz w:val="19"/>
                <w:szCs w:val="19"/>
              </w:rPr>
              <w:t>0</w:t>
            </w:r>
          </w:p>
        </w:tc>
      </w:tr>
    </w:tbl>
    <w:p>
      <w:pPr>
        <w:spacing w:line="81" w:lineRule="exact"/>
        <w:rPr>
          <w:rFonts w:ascii="Arial"/>
          <w:sz w:val="7"/>
        </w:rPr>
      </w:pPr>
      <w:r/>
    </w:p>
    <w:p>
      <w:pPr>
        <w:spacing w:line="81" w:lineRule="exact"/>
        <w:sectPr>
          <w:headerReference w:type="default" r:id="rId6"/>
          <w:footerReference w:type="default" r:id="rId7"/>
          <w:pgSz w:w="11907" w:h="16839"/>
          <w:pgMar w:top="1391" w:right="888" w:bottom="1375" w:left="1089" w:header="842" w:footer="1212" w:gutter="0"/>
        </w:sectPr>
        <w:rPr>
          <w:rFonts w:ascii="Arial" w:hAnsi="Arial" w:eastAsia="Arial" w:cs="Arial"/>
          <w:sz w:val="7"/>
          <w:szCs w:val="7"/>
        </w:rPr>
      </w:pPr>
    </w:p>
    <w:p>
      <w:pPr>
        <w:spacing w:line="137" w:lineRule="exact"/>
        <w:rPr/>
      </w:pPr>
      <w:r/>
    </w:p>
    <w:tbl>
      <w:tblPr>
        <w:tblStyle w:val="TableNormal"/>
        <w:tblW w:w="992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55"/>
        <w:gridCol w:w="744"/>
        <w:gridCol w:w="715"/>
        <w:gridCol w:w="1591"/>
        <w:gridCol w:w="1485"/>
        <w:gridCol w:w="636"/>
        <w:gridCol w:w="1597"/>
      </w:tblGrid>
      <w:tr>
        <w:trPr>
          <w:trHeight w:val="314" w:hRule="atLeast"/>
        </w:trPr>
        <w:tc>
          <w:tcPr>
            <w:tcW w:w="3155" w:type="dxa"/>
            <w:vAlign w:val="top"/>
          </w:tcPr>
          <w:p>
            <w:pPr>
              <w:pStyle w:val="TableText"/>
              <w:ind w:left="64"/>
              <w:spacing w:before="54" w:line="228" w:lineRule="auto"/>
              <w:rPr>
                <w:sz w:val="19"/>
                <w:szCs w:val="19"/>
              </w:rPr>
            </w:pPr>
            <w:r>
              <w:rPr>
                <w:sz w:val="19"/>
                <w:szCs w:val="19"/>
                <w:spacing w:val="9"/>
              </w:rPr>
              <w:t>杭州阿里创业投资有限公司</w:t>
            </w:r>
          </w:p>
        </w:tc>
        <w:tc>
          <w:tcPr>
            <w:tcW w:w="744" w:type="dxa"/>
            <w:vAlign w:val="top"/>
          </w:tcPr>
          <w:p>
            <w:pPr>
              <w:pStyle w:val="TableText"/>
              <w:ind w:left="178"/>
              <w:spacing w:before="54" w:line="229" w:lineRule="auto"/>
              <w:rPr>
                <w:sz w:val="19"/>
                <w:szCs w:val="19"/>
              </w:rPr>
            </w:pPr>
            <w:r>
              <w:rPr>
                <w:sz w:val="19"/>
                <w:szCs w:val="19"/>
                <w:spacing w:val="3"/>
              </w:rPr>
              <w:t>未知</w:t>
            </w:r>
          </w:p>
        </w:tc>
        <w:tc>
          <w:tcPr>
            <w:tcW w:w="715" w:type="dxa"/>
            <w:vAlign w:val="top"/>
          </w:tcPr>
          <w:p>
            <w:pPr>
              <w:pStyle w:val="TableText"/>
              <w:ind w:left="213"/>
              <w:spacing w:before="88" w:line="187" w:lineRule="auto"/>
              <w:rPr>
                <w:sz w:val="19"/>
                <w:szCs w:val="19"/>
              </w:rPr>
            </w:pPr>
            <w:r>
              <w:rPr>
                <w:sz w:val="19"/>
                <w:szCs w:val="19"/>
                <w:spacing w:val="2"/>
              </w:rPr>
              <w:t>2.0</w:t>
            </w:r>
          </w:p>
        </w:tc>
        <w:tc>
          <w:tcPr>
            <w:tcW w:w="1591" w:type="dxa"/>
            <w:vAlign w:val="top"/>
          </w:tcPr>
          <w:p>
            <w:pPr>
              <w:pStyle w:val="TableText"/>
              <w:ind w:left="253"/>
              <w:spacing w:before="88" w:line="188" w:lineRule="auto"/>
              <w:rPr>
                <w:sz w:val="19"/>
                <w:szCs w:val="19"/>
              </w:rPr>
            </w:pPr>
            <w:r>
              <w:rPr>
                <w:sz w:val="19"/>
                <w:szCs w:val="19"/>
                <w:spacing w:val="4"/>
              </w:rPr>
              <w:t>633,254,734</w:t>
            </w:r>
          </w:p>
        </w:tc>
        <w:tc>
          <w:tcPr>
            <w:tcW w:w="1485" w:type="dxa"/>
            <w:vAlign w:val="top"/>
          </w:tcPr>
          <w:p>
            <w:pPr>
              <w:pStyle w:val="TableText"/>
              <w:ind w:left="199"/>
              <w:spacing w:before="88" w:line="188" w:lineRule="auto"/>
              <w:rPr>
                <w:sz w:val="19"/>
                <w:szCs w:val="19"/>
              </w:rPr>
            </w:pPr>
            <w:r>
              <w:rPr>
                <w:sz w:val="19"/>
                <w:szCs w:val="19"/>
                <w:spacing w:val="4"/>
              </w:rPr>
              <w:t>633,254,734</w:t>
            </w:r>
          </w:p>
        </w:tc>
        <w:tc>
          <w:tcPr>
            <w:tcW w:w="636" w:type="dxa"/>
            <w:vAlign w:val="top"/>
          </w:tcPr>
          <w:p>
            <w:pPr>
              <w:pStyle w:val="TableText"/>
              <w:ind w:left="226"/>
              <w:spacing w:before="54" w:line="229" w:lineRule="auto"/>
              <w:rPr>
                <w:sz w:val="19"/>
                <w:szCs w:val="19"/>
              </w:rPr>
            </w:pPr>
            <w:r>
              <w:rPr>
                <w:sz w:val="19"/>
                <w:szCs w:val="19"/>
              </w:rPr>
              <w:t>无</w:t>
            </w:r>
          </w:p>
        </w:tc>
        <w:tc>
          <w:tcPr>
            <w:tcW w:w="1597" w:type="dxa"/>
            <w:vAlign w:val="top"/>
          </w:tcPr>
          <w:p>
            <w:pPr>
              <w:pStyle w:val="TableText"/>
              <w:ind w:left="754"/>
              <w:spacing w:before="88" w:line="187" w:lineRule="auto"/>
              <w:rPr>
                <w:sz w:val="19"/>
                <w:szCs w:val="19"/>
              </w:rPr>
            </w:pPr>
            <w:r>
              <w:rPr>
                <w:sz w:val="19"/>
                <w:szCs w:val="19"/>
              </w:rPr>
              <w:t>0</w:t>
            </w:r>
          </w:p>
        </w:tc>
      </w:tr>
      <w:tr>
        <w:trPr>
          <w:trHeight w:val="312" w:hRule="atLeast"/>
        </w:trPr>
        <w:tc>
          <w:tcPr>
            <w:tcW w:w="3155" w:type="dxa"/>
            <w:vAlign w:val="top"/>
          </w:tcPr>
          <w:p>
            <w:pPr>
              <w:pStyle w:val="TableText"/>
              <w:ind w:left="69"/>
              <w:spacing w:before="52" w:line="228" w:lineRule="auto"/>
              <w:rPr>
                <w:sz w:val="19"/>
                <w:szCs w:val="19"/>
              </w:rPr>
            </w:pPr>
            <w:r>
              <w:rPr>
                <w:sz w:val="19"/>
                <w:szCs w:val="19"/>
                <w:spacing w:val="8"/>
              </w:rPr>
              <w:t>苏宁易购集团股份有限公司</w:t>
            </w:r>
          </w:p>
        </w:tc>
        <w:tc>
          <w:tcPr>
            <w:tcW w:w="744" w:type="dxa"/>
            <w:vAlign w:val="top"/>
          </w:tcPr>
          <w:p>
            <w:pPr>
              <w:pStyle w:val="TableText"/>
              <w:ind w:left="178"/>
              <w:spacing w:before="52" w:line="229" w:lineRule="auto"/>
              <w:rPr>
                <w:sz w:val="19"/>
                <w:szCs w:val="19"/>
              </w:rPr>
            </w:pPr>
            <w:r>
              <w:rPr>
                <w:sz w:val="19"/>
                <w:szCs w:val="19"/>
                <w:spacing w:val="3"/>
              </w:rPr>
              <w:t>未知</w:t>
            </w:r>
          </w:p>
        </w:tc>
        <w:tc>
          <w:tcPr>
            <w:tcW w:w="715" w:type="dxa"/>
            <w:vAlign w:val="top"/>
          </w:tcPr>
          <w:p>
            <w:pPr>
              <w:pStyle w:val="TableText"/>
              <w:ind w:left="225"/>
              <w:spacing w:before="85" w:line="188" w:lineRule="auto"/>
              <w:rPr>
                <w:sz w:val="19"/>
                <w:szCs w:val="19"/>
              </w:rPr>
            </w:pPr>
            <w:r>
              <w:rPr>
                <w:sz w:val="19"/>
                <w:szCs w:val="19"/>
                <w:spacing w:val="-2"/>
              </w:rPr>
              <w:t>1.9</w:t>
            </w:r>
          </w:p>
        </w:tc>
        <w:tc>
          <w:tcPr>
            <w:tcW w:w="1591" w:type="dxa"/>
            <w:vAlign w:val="top"/>
          </w:tcPr>
          <w:p>
            <w:pPr>
              <w:pStyle w:val="TableText"/>
              <w:ind w:left="256"/>
              <w:spacing w:before="85" w:line="189" w:lineRule="auto"/>
              <w:rPr>
                <w:sz w:val="19"/>
                <w:szCs w:val="19"/>
              </w:rPr>
            </w:pPr>
            <w:r>
              <w:rPr>
                <w:sz w:val="19"/>
                <w:szCs w:val="19"/>
                <w:spacing w:val="3"/>
              </w:rPr>
              <w:t>585,651,537</w:t>
            </w:r>
          </w:p>
        </w:tc>
        <w:tc>
          <w:tcPr>
            <w:tcW w:w="1485" w:type="dxa"/>
            <w:vAlign w:val="top"/>
          </w:tcPr>
          <w:p>
            <w:pPr>
              <w:pStyle w:val="TableText"/>
              <w:ind w:left="201"/>
              <w:spacing w:before="85" w:line="189" w:lineRule="auto"/>
              <w:rPr>
                <w:sz w:val="19"/>
                <w:szCs w:val="19"/>
              </w:rPr>
            </w:pPr>
            <w:r>
              <w:rPr>
                <w:sz w:val="19"/>
                <w:szCs w:val="19"/>
                <w:spacing w:val="3"/>
              </w:rPr>
              <w:t>585,651,537</w:t>
            </w:r>
          </w:p>
        </w:tc>
        <w:tc>
          <w:tcPr>
            <w:tcW w:w="636" w:type="dxa"/>
            <w:vAlign w:val="top"/>
          </w:tcPr>
          <w:p>
            <w:pPr>
              <w:pStyle w:val="TableText"/>
              <w:ind w:left="125"/>
              <w:spacing w:before="52" w:line="229" w:lineRule="auto"/>
              <w:rPr>
                <w:sz w:val="19"/>
                <w:szCs w:val="19"/>
              </w:rPr>
            </w:pPr>
            <w:r>
              <w:rPr>
                <w:sz w:val="19"/>
                <w:szCs w:val="19"/>
                <w:spacing w:val="4"/>
              </w:rPr>
              <w:t>质押</w:t>
            </w:r>
          </w:p>
        </w:tc>
        <w:tc>
          <w:tcPr>
            <w:tcW w:w="1597" w:type="dxa"/>
            <w:vAlign w:val="top"/>
          </w:tcPr>
          <w:p>
            <w:pPr>
              <w:pStyle w:val="TableText"/>
              <w:ind w:left="257"/>
              <w:spacing w:before="85" w:line="189" w:lineRule="auto"/>
              <w:rPr>
                <w:sz w:val="19"/>
                <w:szCs w:val="19"/>
              </w:rPr>
            </w:pPr>
            <w:r>
              <w:rPr>
                <w:sz w:val="19"/>
                <w:szCs w:val="19"/>
                <w:spacing w:val="3"/>
              </w:rPr>
              <w:t>585,651,537</w:t>
            </w:r>
          </w:p>
        </w:tc>
      </w:tr>
      <w:tr>
        <w:trPr>
          <w:trHeight w:val="623" w:hRule="atLeast"/>
        </w:trPr>
        <w:tc>
          <w:tcPr>
            <w:tcW w:w="3155" w:type="dxa"/>
            <w:vAlign w:val="top"/>
          </w:tcPr>
          <w:p>
            <w:pPr>
              <w:pStyle w:val="TableText"/>
              <w:ind w:left="66" w:right="64" w:hanging="1"/>
              <w:spacing w:before="53" w:line="272" w:lineRule="auto"/>
              <w:rPr>
                <w:sz w:val="19"/>
                <w:szCs w:val="19"/>
              </w:rPr>
            </w:pPr>
            <w:r>
              <w:rPr>
                <w:sz w:val="19"/>
                <w:szCs w:val="19"/>
                <w:spacing w:val="11"/>
              </w:rPr>
              <w:t>深圳淮海方舟信息产业股权投资基</w:t>
            </w:r>
            <w:r>
              <w:rPr>
                <w:sz w:val="19"/>
                <w:szCs w:val="19"/>
                <w:spacing w:val="4"/>
              </w:rPr>
              <w:t xml:space="preserve"> </w:t>
            </w:r>
            <w:r>
              <w:rPr>
                <w:sz w:val="19"/>
                <w:szCs w:val="19"/>
                <w:spacing w:val="5"/>
              </w:rPr>
              <w:t>金（有限合伙）</w:t>
            </w:r>
          </w:p>
        </w:tc>
        <w:tc>
          <w:tcPr>
            <w:tcW w:w="744" w:type="dxa"/>
            <w:vAlign w:val="top"/>
          </w:tcPr>
          <w:p>
            <w:pPr>
              <w:pStyle w:val="TableText"/>
              <w:ind w:left="178"/>
              <w:spacing w:before="208" w:line="229" w:lineRule="auto"/>
              <w:rPr>
                <w:sz w:val="19"/>
                <w:szCs w:val="19"/>
              </w:rPr>
            </w:pPr>
            <w:r>
              <w:rPr>
                <w:sz w:val="19"/>
                <w:szCs w:val="19"/>
                <w:spacing w:val="3"/>
              </w:rPr>
              <w:t>未知</w:t>
            </w:r>
          </w:p>
        </w:tc>
        <w:tc>
          <w:tcPr>
            <w:tcW w:w="715" w:type="dxa"/>
            <w:vAlign w:val="top"/>
          </w:tcPr>
          <w:p>
            <w:pPr>
              <w:pStyle w:val="TableText"/>
              <w:ind w:left="225"/>
              <w:spacing w:before="241" w:line="188" w:lineRule="auto"/>
              <w:rPr>
                <w:sz w:val="19"/>
                <w:szCs w:val="19"/>
              </w:rPr>
            </w:pPr>
            <w:r>
              <w:rPr>
                <w:sz w:val="19"/>
                <w:szCs w:val="19"/>
                <w:spacing w:val="-2"/>
              </w:rPr>
              <w:t>1.9</w:t>
            </w:r>
          </w:p>
        </w:tc>
        <w:tc>
          <w:tcPr>
            <w:tcW w:w="1591" w:type="dxa"/>
            <w:vAlign w:val="top"/>
          </w:tcPr>
          <w:p>
            <w:pPr>
              <w:pStyle w:val="TableText"/>
              <w:ind w:left="256"/>
              <w:spacing w:before="240" w:line="189" w:lineRule="auto"/>
              <w:rPr>
                <w:sz w:val="19"/>
                <w:szCs w:val="19"/>
              </w:rPr>
            </w:pPr>
            <w:r>
              <w:rPr>
                <w:sz w:val="19"/>
                <w:szCs w:val="19"/>
                <w:spacing w:val="3"/>
              </w:rPr>
              <w:t>585,651,537</w:t>
            </w:r>
          </w:p>
        </w:tc>
        <w:tc>
          <w:tcPr>
            <w:tcW w:w="1485" w:type="dxa"/>
            <w:vAlign w:val="top"/>
          </w:tcPr>
          <w:p>
            <w:pPr>
              <w:pStyle w:val="TableText"/>
              <w:ind w:left="201"/>
              <w:spacing w:before="240" w:line="189" w:lineRule="auto"/>
              <w:rPr>
                <w:sz w:val="19"/>
                <w:szCs w:val="19"/>
              </w:rPr>
            </w:pPr>
            <w:r>
              <w:rPr>
                <w:sz w:val="19"/>
                <w:szCs w:val="19"/>
                <w:spacing w:val="3"/>
              </w:rPr>
              <w:t>585,651,537</w:t>
            </w:r>
          </w:p>
        </w:tc>
        <w:tc>
          <w:tcPr>
            <w:tcW w:w="636" w:type="dxa"/>
            <w:vAlign w:val="top"/>
          </w:tcPr>
          <w:p>
            <w:pPr>
              <w:pStyle w:val="TableText"/>
              <w:ind w:left="125"/>
              <w:spacing w:before="208" w:line="229" w:lineRule="auto"/>
              <w:rPr>
                <w:sz w:val="19"/>
                <w:szCs w:val="19"/>
              </w:rPr>
            </w:pPr>
            <w:r>
              <w:rPr>
                <w:sz w:val="19"/>
                <w:szCs w:val="19"/>
                <w:spacing w:val="4"/>
              </w:rPr>
              <w:t>质押</w:t>
            </w:r>
          </w:p>
        </w:tc>
        <w:tc>
          <w:tcPr>
            <w:tcW w:w="1597" w:type="dxa"/>
            <w:vAlign w:val="top"/>
          </w:tcPr>
          <w:p>
            <w:pPr>
              <w:pStyle w:val="TableText"/>
              <w:ind w:left="253"/>
              <w:spacing w:before="241" w:line="188" w:lineRule="auto"/>
              <w:rPr>
                <w:sz w:val="19"/>
                <w:szCs w:val="19"/>
              </w:rPr>
            </w:pPr>
            <w:r>
              <w:rPr>
                <w:sz w:val="19"/>
                <w:szCs w:val="19"/>
                <w:spacing w:val="4"/>
              </w:rPr>
              <w:t>434,846,266</w:t>
            </w:r>
          </w:p>
        </w:tc>
      </w:tr>
      <w:tr>
        <w:trPr>
          <w:trHeight w:val="623" w:hRule="atLeast"/>
        </w:trPr>
        <w:tc>
          <w:tcPr>
            <w:tcW w:w="3155" w:type="dxa"/>
            <w:vAlign w:val="top"/>
          </w:tcPr>
          <w:p>
            <w:pPr>
              <w:pStyle w:val="TableText"/>
              <w:ind w:left="74" w:right="64" w:hanging="9"/>
              <w:spacing w:before="53" w:line="272" w:lineRule="auto"/>
              <w:rPr>
                <w:sz w:val="19"/>
                <w:szCs w:val="19"/>
              </w:rPr>
            </w:pPr>
            <w:r>
              <w:rPr>
                <w:sz w:val="19"/>
                <w:szCs w:val="19"/>
                <w:spacing w:val="25"/>
              </w:rPr>
              <w:t>深圳光启互联技术投资合伙企业</w:t>
            </w:r>
            <w:r>
              <w:rPr>
                <w:sz w:val="19"/>
                <w:szCs w:val="19"/>
                <w:spacing w:val="8"/>
              </w:rPr>
              <w:t xml:space="preserve"> </w:t>
            </w:r>
            <w:r>
              <w:rPr>
                <w:sz w:val="19"/>
                <w:szCs w:val="19"/>
                <w:spacing w:val="3"/>
              </w:rPr>
              <w:t>（有限合伙）</w:t>
            </w:r>
          </w:p>
        </w:tc>
        <w:tc>
          <w:tcPr>
            <w:tcW w:w="744" w:type="dxa"/>
            <w:vAlign w:val="top"/>
          </w:tcPr>
          <w:p>
            <w:pPr>
              <w:pStyle w:val="TableText"/>
              <w:ind w:left="178"/>
              <w:spacing w:before="209" w:line="229" w:lineRule="auto"/>
              <w:rPr>
                <w:sz w:val="19"/>
                <w:szCs w:val="19"/>
              </w:rPr>
            </w:pPr>
            <w:r>
              <w:rPr>
                <w:sz w:val="19"/>
                <w:szCs w:val="19"/>
                <w:spacing w:val="3"/>
              </w:rPr>
              <w:t>未知</w:t>
            </w:r>
          </w:p>
        </w:tc>
        <w:tc>
          <w:tcPr>
            <w:tcW w:w="715" w:type="dxa"/>
            <w:vAlign w:val="top"/>
          </w:tcPr>
          <w:p>
            <w:pPr>
              <w:pStyle w:val="TableText"/>
              <w:ind w:left="225"/>
              <w:spacing w:before="241" w:line="188" w:lineRule="auto"/>
              <w:rPr>
                <w:sz w:val="19"/>
                <w:szCs w:val="19"/>
              </w:rPr>
            </w:pPr>
            <w:r>
              <w:rPr>
                <w:sz w:val="19"/>
                <w:szCs w:val="19"/>
                <w:spacing w:val="-2"/>
              </w:rPr>
              <w:t>1.9</w:t>
            </w:r>
          </w:p>
        </w:tc>
        <w:tc>
          <w:tcPr>
            <w:tcW w:w="1591" w:type="dxa"/>
            <w:vAlign w:val="top"/>
          </w:tcPr>
          <w:p>
            <w:pPr>
              <w:pStyle w:val="TableText"/>
              <w:ind w:left="256"/>
              <w:spacing w:before="241" w:line="189" w:lineRule="auto"/>
              <w:rPr>
                <w:sz w:val="19"/>
                <w:szCs w:val="19"/>
              </w:rPr>
            </w:pPr>
            <w:r>
              <w:rPr>
                <w:sz w:val="19"/>
                <w:szCs w:val="19"/>
                <w:spacing w:val="3"/>
              </w:rPr>
              <w:t>585,651,537</w:t>
            </w:r>
          </w:p>
        </w:tc>
        <w:tc>
          <w:tcPr>
            <w:tcW w:w="1485" w:type="dxa"/>
            <w:vAlign w:val="top"/>
          </w:tcPr>
          <w:p>
            <w:pPr>
              <w:pStyle w:val="TableText"/>
              <w:ind w:left="201"/>
              <w:spacing w:before="241" w:line="189" w:lineRule="auto"/>
              <w:rPr>
                <w:sz w:val="19"/>
                <w:szCs w:val="19"/>
              </w:rPr>
            </w:pPr>
            <w:r>
              <w:rPr>
                <w:sz w:val="19"/>
                <w:szCs w:val="19"/>
                <w:spacing w:val="3"/>
              </w:rPr>
              <w:t>585,651,537</w:t>
            </w:r>
          </w:p>
        </w:tc>
        <w:tc>
          <w:tcPr>
            <w:tcW w:w="636" w:type="dxa"/>
            <w:vAlign w:val="top"/>
          </w:tcPr>
          <w:p>
            <w:pPr>
              <w:pStyle w:val="TableText"/>
              <w:ind w:left="125"/>
              <w:spacing w:before="209" w:line="229" w:lineRule="auto"/>
              <w:rPr>
                <w:sz w:val="19"/>
                <w:szCs w:val="19"/>
              </w:rPr>
            </w:pPr>
            <w:r>
              <w:rPr>
                <w:sz w:val="19"/>
                <w:szCs w:val="19"/>
                <w:spacing w:val="4"/>
              </w:rPr>
              <w:t>质押</w:t>
            </w:r>
          </w:p>
        </w:tc>
        <w:tc>
          <w:tcPr>
            <w:tcW w:w="1597" w:type="dxa"/>
            <w:vAlign w:val="top"/>
          </w:tcPr>
          <w:p>
            <w:pPr>
              <w:pStyle w:val="TableText"/>
              <w:ind w:left="257"/>
              <w:spacing w:before="241" w:line="189" w:lineRule="auto"/>
              <w:rPr>
                <w:sz w:val="19"/>
                <w:szCs w:val="19"/>
              </w:rPr>
            </w:pPr>
            <w:r>
              <w:rPr>
                <w:sz w:val="19"/>
                <w:szCs w:val="19"/>
                <w:spacing w:val="3"/>
              </w:rPr>
              <w:t>313,080,000</w:t>
            </w:r>
          </w:p>
        </w:tc>
      </w:tr>
      <w:tr>
        <w:trPr>
          <w:trHeight w:val="3741" w:hRule="atLeast"/>
        </w:trPr>
        <w:tc>
          <w:tcPr>
            <w:tcW w:w="3899" w:type="dxa"/>
            <w:vAlign w:val="top"/>
            <w:gridSpan w:val="2"/>
          </w:tcPr>
          <w:p>
            <w:pPr>
              <w:pStyle w:val="TableText"/>
              <w:ind w:left="67"/>
              <w:spacing w:before="50" w:line="221" w:lineRule="auto"/>
              <w:rPr/>
            </w:pPr>
            <w:r>
              <w:rPr>
                <w:spacing w:val="-1"/>
              </w:rPr>
              <w:t>上述股东关联关系或一致行动的说明</w:t>
            </w:r>
          </w:p>
        </w:tc>
        <w:tc>
          <w:tcPr>
            <w:tcW w:w="6024" w:type="dxa"/>
            <w:vAlign w:val="top"/>
            <w:gridSpan w:val="5"/>
          </w:tcPr>
          <w:p>
            <w:pPr>
              <w:pStyle w:val="TableText"/>
              <w:ind w:left="77"/>
              <w:spacing w:before="62" w:line="219" w:lineRule="auto"/>
              <w:rPr>
                <w:sz w:val="18"/>
                <w:szCs w:val="18"/>
              </w:rPr>
            </w:pPr>
            <w:r>
              <w:rPr>
                <w:sz w:val="18"/>
                <w:szCs w:val="18"/>
                <w:spacing w:val="-2"/>
              </w:rPr>
              <w:t>1.中国联合网络通信集团有限公司为本公司控股股东。</w:t>
            </w:r>
          </w:p>
          <w:p>
            <w:pPr>
              <w:pStyle w:val="TableText"/>
              <w:ind w:left="69" w:right="57" w:hanging="3"/>
              <w:spacing w:before="98" w:line="307" w:lineRule="auto"/>
              <w:rPr>
                <w:sz w:val="18"/>
                <w:szCs w:val="18"/>
              </w:rPr>
            </w:pPr>
            <w:r>
              <w:rPr>
                <w:sz w:val="18"/>
                <w:szCs w:val="18"/>
                <w:spacing w:val="-1"/>
              </w:rPr>
              <w:t>2.根据公开披露信息，杭州阿里创业投资有限</w:t>
            </w:r>
            <w:r>
              <w:rPr>
                <w:sz w:val="18"/>
                <w:szCs w:val="18"/>
                <w:spacing w:val="-2"/>
              </w:rPr>
              <w:t>公司为苏宁易购集团股份有限</w:t>
            </w:r>
            <w:r>
              <w:rPr>
                <w:sz w:val="18"/>
                <w:szCs w:val="18"/>
              </w:rPr>
              <w:t xml:space="preserve"> </w:t>
            </w:r>
            <w:r>
              <w:rPr>
                <w:sz w:val="18"/>
                <w:szCs w:val="18"/>
                <w:spacing w:val="-3"/>
              </w:rPr>
              <w:t>公司关联方，双方构成关联关系。</w:t>
            </w:r>
          </w:p>
          <w:p>
            <w:pPr>
              <w:pStyle w:val="TableText"/>
              <w:ind w:left="64" w:right="58" w:firstLine="3"/>
              <w:spacing w:before="26" w:line="311" w:lineRule="auto"/>
              <w:jc w:val="both"/>
              <w:rPr>
                <w:sz w:val="18"/>
                <w:szCs w:val="18"/>
              </w:rPr>
            </w:pPr>
            <w:r>
              <w:rPr>
                <w:sz w:val="18"/>
                <w:szCs w:val="18"/>
                <w:spacing w:val="-2"/>
              </w:rPr>
              <w:t>3.除上述情况外，本公司未知前十名股东之间是否存在其他《上海证券交易</w:t>
            </w:r>
            <w:r>
              <w:rPr>
                <w:sz w:val="18"/>
                <w:szCs w:val="18"/>
              </w:rPr>
              <w:t xml:space="preserve"> </w:t>
            </w:r>
            <w:r>
              <w:rPr>
                <w:sz w:val="18"/>
                <w:szCs w:val="18"/>
                <w:spacing w:val="-1"/>
              </w:rPr>
              <w:t>所股票上市规则》规定的关联关系或构成《上市</w:t>
            </w:r>
            <w:r>
              <w:rPr>
                <w:sz w:val="18"/>
                <w:szCs w:val="18"/>
                <w:spacing w:val="-2"/>
              </w:rPr>
              <w:t>公司收购管理办法》规定的</w:t>
            </w:r>
            <w:r>
              <w:rPr>
                <w:sz w:val="18"/>
                <w:szCs w:val="18"/>
              </w:rPr>
              <w:t xml:space="preserve"> </w:t>
            </w:r>
            <w:r>
              <w:rPr>
                <w:sz w:val="18"/>
                <w:szCs w:val="18"/>
                <w:spacing w:val="-5"/>
              </w:rPr>
              <w:t>一致行动人。</w:t>
            </w:r>
          </w:p>
          <w:p>
            <w:pPr>
              <w:pStyle w:val="TableText"/>
              <w:ind w:left="65" w:right="58" w:hanging="2"/>
              <w:spacing w:before="26" w:line="312" w:lineRule="auto"/>
              <w:jc w:val="both"/>
              <w:rPr>
                <w:sz w:val="18"/>
                <w:szCs w:val="18"/>
              </w:rPr>
            </w:pPr>
            <w:r>
              <w:rPr>
                <w:sz w:val="18"/>
                <w:szCs w:val="18"/>
                <w:spacing w:val="-2"/>
              </w:rPr>
              <w:t>4.本公司未知前十名无限售条件股东之间是否存在《上海证券交易所股票上</w:t>
            </w:r>
            <w:r>
              <w:rPr>
                <w:sz w:val="18"/>
                <w:szCs w:val="18"/>
                <w:spacing w:val="17"/>
              </w:rPr>
              <w:t xml:space="preserve"> </w:t>
            </w:r>
            <w:r>
              <w:rPr>
                <w:sz w:val="18"/>
                <w:szCs w:val="18"/>
                <w:spacing w:val="-1"/>
              </w:rPr>
              <w:t>市规则》规定的关联关系或构成《上市公司收</w:t>
            </w:r>
            <w:r>
              <w:rPr>
                <w:sz w:val="18"/>
                <w:szCs w:val="18"/>
                <w:spacing w:val="-2"/>
              </w:rPr>
              <w:t>购管理办法》规定的一致行动</w:t>
            </w:r>
            <w:r>
              <w:rPr>
                <w:sz w:val="18"/>
                <w:szCs w:val="18"/>
              </w:rPr>
              <w:t xml:space="preserve"> </w:t>
            </w:r>
            <w:r>
              <w:rPr>
                <w:sz w:val="18"/>
                <w:szCs w:val="18"/>
                <w:spacing w:val="-9"/>
              </w:rPr>
              <w:t>人。</w:t>
            </w:r>
          </w:p>
          <w:p>
            <w:pPr>
              <w:pStyle w:val="TableText"/>
              <w:ind w:left="67" w:right="58"/>
              <w:spacing w:before="22" w:line="294" w:lineRule="auto"/>
              <w:jc w:val="both"/>
              <w:rPr>
                <w:sz w:val="18"/>
                <w:szCs w:val="18"/>
              </w:rPr>
            </w:pPr>
            <w:r>
              <w:rPr>
                <w:sz w:val="18"/>
                <w:szCs w:val="18"/>
                <w:spacing w:val="-2"/>
              </w:rPr>
              <w:t>5.本公司未知前十名无限售条件股东和前十名股东之间是否存在《上海证券</w:t>
            </w:r>
            <w:r>
              <w:rPr>
                <w:sz w:val="18"/>
                <w:szCs w:val="18"/>
                <w:spacing w:val="12"/>
              </w:rPr>
              <w:t xml:space="preserve"> </w:t>
            </w:r>
            <w:r>
              <w:rPr>
                <w:sz w:val="18"/>
                <w:szCs w:val="18"/>
                <w:spacing w:val="-2"/>
              </w:rPr>
              <w:t>交易所股票上市规则》规定的关联关系或构成《上市公司收购管理办法》规</w:t>
            </w:r>
            <w:r>
              <w:rPr>
                <w:sz w:val="18"/>
                <w:szCs w:val="18"/>
                <w:spacing w:val="18"/>
              </w:rPr>
              <w:t xml:space="preserve"> </w:t>
            </w:r>
            <w:r>
              <w:rPr>
                <w:sz w:val="18"/>
                <w:szCs w:val="18"/>
                <w:spacing w:val="-4"/>
              </w:rPr>
              <w:t>定的一致行动人。</w:t>
            </w:r>
          </w:p>
        </w:tc>
      </w:tr>
      <w:tr>
        <w:trPr>
          <w:trHeight w:val="626" w:hRule="atLeast"/>
        </w:trPr>
        <w:tc>
          <w:tcPr>
            <w:tcW w:w="3899" w:type="dxa"/>
            <w:vAlign w:val="top"/>
            <w:gridSpan w:val="2"/>
          </w:tcPr>
          <w:p>
            <w:pPr>
              <w:pStyle w:val="TableText"/>
              <w:ind w:left="67" w:right="56" w:hanging="3"/>
              <w:spacing w:before="54" w:line="247" w:lineRule="auto"/>
              <w:rPr/>
            </w:pPr>
            <w:r>
              <w:rPr>
                <w:spacing w:val="11"/>
              </w:rPr>
              <w:t>表决权恢复的优先股股东及持股数量的</w:t>
            </w:r>
            <w:r>
              <w:rPr>
                <w:spacing w:val="14"/>
              </w:rPr>
              <w:t xml:space="preserve"> </w:t>
            </w:r>
            <w:r>
              <w:rPr>
                <w:spacing w:val="-3"/>
              </w:rPr>
              <w:t>说明</w:t>
            </w:r>
          </w:p>
        </w:tc>
        <w:tc>
          <w:tcPr>
            <w:tcW w:w="6024" w:type="dxa"/>
            <w:vAlign w:val="top"/>
            <w:gridSpan w:val="5"/>
          </w:tcPr>
          <w:p>
            <w:pPr>
              <w:pStyle w:val="TableText"/>
              <w:ind w:left="68"/>
              <w:spacing w:before="210" w:line="222" w:lineRule="auto"/>
              <w:rPr/>
            </w:pPr>
            <w:r>
              <w:rPr>
                <w:spacing w:val="-2"/>
              </w:rPr>
              <w:t>不适用</w:t>
            </w:r>
          </w:p>
        </w:tc>
      </w:tr>
    </w:tbl>
    <w:p>
      <w:pPr>
        <w:pStyle w:val="BodyText"/>
        <w:ind w:left="717"/>
        <w:spacing w:before="63" w:line="224" w:lineRule="auto"/>
        <w:rPr>
          <w:sz w:val="18"/>
          <w:szCs w:val="18"/>
        </w:rPr>
      </w:pPr>
      <w:r>
        <w:rPr>
          <w:sz w:val="18"/>
          <w:szCs w:val="18"/>
          <w:spacing w:val="-13"/>
        </w:rPr>
        <w:t>注：</w:t>
      </w:r>
    </w:p>
    <w:p>
      <w:pPr>
        <w:pStyle w:val="BodyText"/>
        <w:ind w:left="717" w:right="381" w:firstLine="8"/>
        <w:spacing w:before="93" w:line="315" w:lineRule="auto"/>
        <w:rPr>
          <w:sz w:val="18"/>
          <w:szCs w:val="18"/>
        </w:rPr>
      </w:pPr>
      <w:r>
        <w:rPr>
          <w:rFonts w:ascii="Calibri" w:hAnsi="Calibri" w:eastAsia="Calibri" w:cs="Calibri"/>
          <w:sz w:val="18"/>
          <w:szCs w:val="18"/>
          <w:spacing w:val="-3"/>
        </w:rPr>
        <w:t>1.</w:t>
      </w:r>
      <w:r>
        <w:rPr>
          <w:sz w:val="18"/>
          <w:szCs w:val="18"/>
          <w:spacing w:val="-3"/>
        </w:rPr>
        <w:t>上表数据来源于中国证券登记结算有限责任公司上海分公司（简称“中国结算”）提供的合并普通账户和融资融</w:t>
      </w:r>
      <w:r>
        <w:rPr>
          <w:sz w:val="18"/>
          <w:szCs w:val="18"/>
          <w:spacing w:val="11"/>
        </w:rPr>
        <w:t xml:space="preserve"> </w:t>
      </w:r>
      <w:r>
        <w:rPr>
          <w:sz w:val="18"/>
          <w:szCs w:val="18"/>
        </w:rPr>
        <w:t>券信用账户股东名册的前十大股东信息（简称“本次前十大股东信息”</w:t>
      </w:r>
      <w:r>
        <w:rPr>
          <w:sz w:val="18"/>
          <w:szCs w:val="18"/>
          <w:spacing w:val="-33"/>
          <w:w w:val="69"/>
        </w:rPr>
        <w:t>），</w:t>
      </w:r>
      <w:r>
        <w:rPr>
          <w:sz w:val="18"/>
          <w:szCs w:val="18"/>
        </w:rPr>
        <w:t>其中，中国人寿保险股份有限公司（简</w:t>
      </w:r>
      <w:r>
        <w:rPr>
          <w:sz w:val="18"/>
          <w:szCs w:val="18"/>
          <w:spacing w:val="1"/>
        </w:rPr>
        <w:t xml:space="preserve"> </w:t>
      </w:r>
      <w:r>
        <w:rPr>
          <w:sz w:val="18"/>
          <w:szCs w:val="18"/>
          <w:spacing w:val="-2"/>
        </w:rPr>
        <w:t>称“中国人寿”）于</w:t>
      </w:r>
      <w:r>
        <w:rPr>
          <w:sz w:val="18"/>
          <w:szCs w:val="18"/>
          <w:spacing w:val="-18"/>
        </w:rPr>
        <w:t xml:space="preserve"> </w:t>
      </w:r>
      <w:r>
        <w:rPr>
          <w:rFonts w:ascii="Calibri" w:hAnsi="Calibri" w:eastAsia="Calibri" w:cs="Calibri"/>
          <w:sz w:val="18"/>
          <w:szCs w:val="18"/>
          <w:spacing w:val="-2"/>
        </w:rPr>
        <w:t>2017</w:t>
      </w:r>
      <w:r>
        <w:rPr>
          <w:rFonts w:ascii="Calibri" w:hAnsi="Calibri" w:eastAsia="Calibri" w:cs="Calibri"/>
          <w:sz w:val="18"/>
          <w:szCs w:val="18"/>
          <w:spacing w:val="17"/>
          <w:w w:val="102"/>
        </w:rPr>
        <w:t xml:space="preserve"> </w:t>
      </w:r>
      <w:r>
        <w:rPr>
          <w:sz w:val="18"/>
          <w:szCs w:val="18"/>
          <w:spacing w:val="-2"/>
        </w:rPr>
        <w:t>年</w:t>
      </w:r>
      <w:r>
        <w:rPr>
          <w:sz w:val="18"/>
          <w:szCs w:val="18"/>
          <w:spacing w:val="-25"/>
        </w:rPr>
        <w:t xml:space="preserve"> </w:t>
      </w:r>
      <w:r>
        <w:rPr>
          <w:rFonts w:ascii="Calibri" w:hAnsi="Calibri" w:eastAsia="Calibri" w:cs="Calibri"/>
          <w:sz w:val="18"/>
          <w:szCs w:val="18"/>
          <w:spacing w:val="-2"/>
        </w:rPr>
        <w:t>10</w:t>
      </w:r>
      <w:r>
        <w:rPr>
          <w:rFonts w:ascii="Calibri" w:hAnsi="Calibri" w:eastAsia="Calibri" w:cs="Calibri"/>
          <w:sz w:val="18"/>
          <w:szCs w:val="18"/>
          <w:spacing w:val="19"/>
          <w:w w:val="101"/>
        </w:rPr>
        <w:t xml:space="preserve"> </w:t>
      </w:r>
      <w:r>
        <w:rPr>
          <w:sz w:val="18"/>
          <w:szCs w:val="18"/>
          <w:spacing w:val="-2"/>
        </w:rPr>
        <w:t>月底通过</w:t>
      </w:r>
      <w:r>
        <w:rPr>
          <w:rFonts w:ascii="Calibri" w:hAnsi="Calibri" w:eastAsia="Calibri" w:cs="Calibri"/>
          <w:sz w:val="18"/>
          <w:szCs w:val="18"/>
          <w:spacing w:val="-2"/>
        </w:rPr>
        <w:t>“</w:t>
      </w:r>
      <w:r>
        <w:rPr>
          <w:sz w:val="18"/>
          <w:szCs w:val="18"/>
          <w:spacing w:val="-2"/>
        </w:rPr>
        <w:t>中国人寿保险股份有限公</w:t>
      </w:r>
      <w:r>
        <w:rPr>
          <w:sz w:val="18"/>
          <w:szCs w:val="18"/>
          <w:spacing w:val="-3"/>
        </w:rPr>
        <w:t>司</w:t>
      </w:r>
      <w:r>
        <w:rPr>
          <w:rFonts w:ascii="Calibri" w:hAnsi="Calibri" w:eastAsia="Calibri" w:cs="Calibri"/>
          <w:sz w:val="18"/>
          <w:szCs w:val="18"/>
          <w:spacing w:val="-3"/>
        </w:rPr>
        <w:t>—</w:t>
      </w:r>
      <w:r>
        <w:rPr>
          <w:sz w:val="18"/>
          <w:szCs w:val="18"/>
          <w:spacing w:val="-3"/>
        </w:rPr>
        <w:t>传统</w:t>
      </w:r>
      <w:r>
        <w:rPr>
          <w:rFonts w:ascii="Calibri" w:hAnsi="Calibri" w:eastAsia="Calibri" w:cs="Calibri"/>
          <w:sz w:val="18"/>
          <w:szCs w:val="18"/>
          <w:spacing w:val="-3"/>
        </w:rPr>
        <w:t>—</w:t>
      </w:r>
      <w:r>
        <w:rPr>
          <w:sz w:val="18"/>
          <w:szCs w:val="18"/>
          <w:spacing w:val="-3"/>
        </w:rPr>
        <w:t>普通保险产品</w:t>
      </w:r>
      <w:r>
        <w:rPr>
          <w:rFonts w:ascii="Calibri" w:hAnsi="Calibri" w:eastAsia="Calibri" w:cs="Calibri"/>
          <w:sz w:val="18"/>
          <w:szCs w:val="18"/>
          <w:spacing w:val="-3"/>
        </w:rPr>
        <w:t>—005L—CT001  </w:t>
      </w:r>
      <w:r>
        <w:rPr>
          <w:sz w:val="18"/>
          <w:szCs w:val="18"/>
          <w:spacing w:val="-3"/>
        </w:rPr>
        <w:t>沪</w:t>
      </w:r>
      <w:r>
        <w:rPr>
          <w:rFonts w:ascii="Calibri" w:hAnsi="Calibri" w:eastAsia="Calibri" w:cs="Calibri"/>
          <w:sz w:val="18"/>
          <w:szCs w:val="18"/>
          <w:spacing w:val="-3"/>
        </w:rPr>
        <w:t>”</w:t>
      </w:r>
      <w:r>
        <w:rPr>
          <w:sz w:val="18"/>
          <w:szCs w:val="18"/>
          <w:spacing w:val="-3"/>
        </w:rPr>
        <w:t>账</w:t>
      </w:r>
      <w:r>
        <w:rPr>
          <w:sz w:val="18"/>
          <w:szCs w:val="18"/>
        </w:rPr>
        <w:t xml:space="preserve"> </w:t>
      </w:r>
      <w:r>
        <w:rPr>
          <w:sz w:val="18"/>
          <w:szCs w:val="18"/>
        </w:rPr>
        <w:t>户完成本公司非公开发行股份的认购。除上述账户外，中国人寿通过其自身控制的其他账户合计持有本公司股份 </w:t>
      </w:r>
      <w:r>
        <w:rPr>
          <w:sz w:val="18"/>
          <w:szCs w:val="18"/>
          <w:spacing w:val="-7"/>
        </w:rPr>
        <w:t>约</w:t>
      </w:r>
      <w:r>
        <w:rPr>
          <w:sz w:val="18"/>
          <w:szCs w:val="18"/>
          <w:spacing w:val="-36"/>
        </w:rPr>
        <w:t xml:space="preserve"> </w:t>
      </w:r>
      <w:r>
        <w:rPr>
          <w:rFonts w:ascii="Calibri" w:hAnsi="Calibri" w:eastAsia="Calibri" w:cs="Calibri"/>
          <w:sz w:val="18"/>
          <w:szCs w:val="18"/>
          <w:spacing w:val="-7"/>
        </w:rPr>
        <w:t>370</w:t>
      </w:r>
      <w:r>
        <w:rPr>
          <w:rFonts w:ascii="Calibri" w:hAnsi="Calibri" w:eastAsia="Calibri" w:cs="Calibri"/>
          <w:sz w:val="18"/>
          <w:szCs w:val="18"/>
          <w:spacing w:val="17"/>
        </w:rPr>
        <w:t xml:space="preserve"> </w:t>
      </w:r>
      <w:r>
        <w:rPr>
          <w:sz w:val="18"/>
          <w:szCs w:val="18"/>
          <w:spacing w:val="-7"/>
        </w:rPr>
        <w:t>万股。</w:t>
      </w:r>
    </w:p>
    <w:p>
      <w:pPr>
        <w:pStyle w:val="BodyText"/>
        <w:ind w:left="717" w:right="362" w:firstLine="3"/>
        <w:spacing w:before="23" w:line="311" w:lineRule="auto"/>
        <w:jc w:val="both"/>
        <w:rPr>
          <w:sz w:val="18"/>
          <w:szCs w:val="18"/>
        </w:rPr>
      </w:pPr>
      <w:r>
        <w:rPr>
          <w:rFonts w:ascii="Calibri" w:hAnsi="Calibri" w:eastAsia="Calibri" w:cs="Calibri"/>
          <w:sz w:val="18"/>
          <w:szCs w:val="18"/>
          <w:spacing w:val="-2"/>
        </w:rPr>
        <w:t>2.</w:t>
      </w:r>
      <w:r>
        <w:rPr>
          <w:sz w:val="18"/>
          <w:szCs w:val="18"/>
          <w:spacing w:val="-2"/>
        </w:rPr>
        <w:t>前十名无限售条件股东中，包含中国国有企业结构调整基金股份有限公司（简称</w:t>
      </w:r>
      <w:r>
        <w:rPr>
          <w:rFonts w:ascii="Calibri" w:hAnsi="Calibri" w:eastAsia="Calibri" w:cs="Calibri"/>
          <w:sz w:val="18"/>
          <w:szCs w:val="18"/>
          <w:spacing w:val="-2"/>
        </w:rPr>
        <w:t>“</w:t>
      </w:r>
      <w:r>
        <w:rPr>
          <w:sz w:val="18"/>
          <w:szCs w:val="18"/>
          <w:spacing w:val="-2"/>
        </w:rPr>
        <w:t>结构调整基金</w:t>
      </w:r>
      <w:r>
        <w:rPr>
          <w:rFonts w:ascii="Calibri" w:hAnsi="Calibri" w:eastAsia="Calibri" w:cs="Calibri"/>
          <w:sz w:val="18"/>
          <w:szCs w:val="18"/>
          <w:spacing w:val="-2"/>
        </w:rPr>
        <w:t>”</w:t>
      </w:r>
      <w:r>
        <w:rPr>
          <w:sz w:val="18"/>
          <w:szCs w:val="18"/>
          <w:spacing w:val="-2"/>
        </w:rPr>
        <w:t>）。公</w:t>
      </w:r>
      <w:r>
        <w:rPr>
          <w:sz w:val="18"/>
          <w:szCs w:val="18"/>
          <w:spacing w:val="-3"/>
        </w:rPr>
        <w:t>司控股股</w:t>
      </w:r>
      <w:r>
        <w:rPr>
          <w:sz w:val="18"/>
          <w:szCs w:val="18"/>
        </w:rPr>
        <w:t xml:space="preserve"> </w:t>
      </w:r>
      <w:r>
        <w:rPr>
          <w:sz w:val="18"/>
          <w:szCs w:val="18"/>
          <w:spacing w:val="-2"/>
        </w:rPr>
        <w:t>东中国联合网络通信集团有限公司于</w:t>
      </w:r>
      <w:r>
        <w:rPr>
          <w:sz w:val="18"/>
          <w:szCs w:val="18"/>
          <w:spacing w:val="-28"/>
        </w:rPr>
        <w:t xml:space="preserve"> </w:t>
      </w:r>
      <w:r>
        <w:rPr>
          <w:rFonts w:ascii="Calibri" w:hAnsi="Calibri" w:eastAsia="Calibri" w:cs="Calibri"/>
          <w:sz w:val="18"/>
          <w:szCs w:val="18"/>
          <w:spacing w:val="-2"/>
        </w:rPr>
        <w:t>2017</w:t>
      </w:r>
      <w:r>
        <w:rPr>
          <w:rFonts w:ascii="Calibri" w:hAnsi="Calibri" w:eastAsia="Calibri" w:cs="Calibri"/>
          <w:sz w:val="18"/>
          <w:szCs w:val="18"/>
          <w:spacing w:val="13"/>
          <w:w w:val="101"/>
        </w:rPr>
        <w:t xml:space="preserve"> </w:t>
      </w:r>
      <w:r>
        <w:rPr>
          <w:sz w:val="18"/>
          <w:szCs w:val="18"/>
          <w:spacing w:val="-2"/>
        </w:rPr>
        <w:t>年</w:t>
      </w:r>
      <w:r>
        <w:rPr>
          <w:sz w:val="18"/>
          <w:szCs w:val="18"/>
          <w:spacing w:val="-30"/>
        </w:rPr>
        <w:t xml:space="preserve"> </w:t>
      </w:r>
      <w:r>
        <w:rPr>
          <w:rFonts w:ascii="Calibri" w:hAnsi="Calibri" w:eastAsia="Calibri" w:cs="Calibri"/>
          <w:sz w:val="18"/>
          <w:szCs w:val="18"/>
          <w:spacing w:val="-2"/>
        </w:rPr>
        <w:t>11</w:t>
      </w:r>
      <w:r>
        <w:rPr>
          <w:rFonts w:ascii="Calibri" w:hAnsi="Calibri" w:eastAsia="Calibri" w:cs="Calibri"/>
          <w:sz w:val="18"/>
          <w:szCs w:val="18"/>
          <w:spacing w:val="17"/>
        </w:rPr>
        <w:t xml:space="preserve"> </w:t>
      </w:r>
      <w:r>
        <w:rPr>
          <w:sz w:val="18"/>
          <w:szCs w:val="18"/>
          <w:spacing w:val="-2"/>
        </w:rPr>
        <w:t>月底向结构调整基金完成协议转让</w:t>
      </w:r>
      <w:r>
        <w:rPr>
          <w:sz w:val="18"/>
          <w:szCs w:val="18"/>
          <w:spacing w:val="-29"/>
        </w:rPr>
        <w:t xml:space="preserve"> </w:t>
      </w:r>
      <w:r>
        <w:rPr>
          <w:rFonts w:ascii="Calibri" w:hAnsi="Calibri" w:eastAsia="Calibri" w:cs="Calibri"/>
          <w:sz w:val="18"/>
          <w:szCs w:val="18"/>
          <w:spacing w:val="-2"/>
        </w:rPr>
        <w:t>1,899,764,201</w:t>
      </w:r>
      <w:r>
        <w:rPr>
          <w:rFonts w:ascii="Calibri" w:hAnsi="Calibri" w:eastAsia="Calibri" w:cs="Calibri"/>
          <w:sz w:val="18"/>
          <w:szCs w:val="18"/>
          <w:spacing w:val="13"/>
          <w:w w:val="101"/>
        </w:rPr>
        <w:t xml:space="preserve"> </w:t>
      </w:r>
      <w:r>
        <w:rPr>
          <w:sz w:val="18"/>
          <w:szCs w:val="18"/>
          <w:spacing w:val="-2"/>
        </w:rPr>
        <w:t>股本公司股份。</w:t>
      </w:r>
      <w:r>
        <w:rPr>
          <w:sz w:val="18"/>
          <w:szCs w:val="18"/>
        </w:rPr>
        <w:t xml:space="preserve"> </w:t>
      </w:r>
      <w:r>
        <w:rPr>
          <w:sz w:val="18"/>
          <w:szCs w:val="18"/>
          <w:spacing w:val="-2"/>
        </w:rPr>
        <w:t>根据双方《股份转让协议》相关约定，自交割日起</w:t>
      </w:r>
      <w:r>
        <w:rPr>
          <w:sz w:val="18"/>
          <w:szCs w:val="18"/>
          <w:spacing w:val="-35"/>
        </w:rPr>
        <w:t xml:space="preserve"> </w:t>
      </w:r>
      <w:r>
        <w:rPr>
          <w:rFonts w:ascii="Calibri" w:hAnsi="Calibri" w:eastAsia="Calibri" w:cs="Calibri"/>
          <w:sz w:val="18"/>
          <w:szCs w:val="18"/>
          <w:spacing w:val="-2"/>
        </w:rPr>
        <w:t>36</w:t>
      </w:r>
      <w:r>
        <w:rPr>
          <w:rFonts w:ascii="Calibri" w:hAnsi="Calibri" w:eastAsia="Calibri" w:cs="Calibri"/>
          <w:sz w:val="18"/>
          <w:szCs w:val="18"/>
          <w:spacing w:val="12"/>
          <w:w w:val="101"/>
        </w:rPr>
        <w:t xml:space="preserve"> </w:t>
      </w:r>
      <w:r>
        <w:rPr>
          <w:sz w:val="18"/>
          <w:szCs w:val="18"/>
          <w:spacing w:val="-2"/>
        </w:rPr>
        <w:t>个月内，结构调整基金不得直接或间接转让此</w:t>
      </w:r>
      <w:r>
        <w:rPr>
          <w:sz w:val="18"/>
          <w:szCs w:val="18"/>
          <w:spacing w:val="-3"/>
        </w:rPr>
        <w:t>次协议转让股</w:t>
      </w:r>
      <w:r>
        <w:rPr>
          <w:sz w:val="18"/>
          <w:szCs w:val="18"/>
        </w:rPr>
        <w:t xml:space="preserve"> </w:t>
      </w:r>
      <w:r>
        <w:rPr>
          <w:sz w:val="18"/>
          <w:szCs w:val="18"/>
          <w:spacing w:val="-9"/>
        </w:rPr>
        <w:t>份。</w:t>
      </w:r>
    </w:p>
    <w:p>
      <w:pPr>
        <w:spacing w:line="342" w:lineRule="auto"/>
        <w:rPr>
          <w:rFonts w:ascii="Arial"/>
          <w:sz w:val="21"/>
        </w:rPr>
      </w:pPr>
      <w:r/>
    </w:p>
    <w:p>
      <w:pPr>
        <w:pStyle w:val="BodyText"/>
        <w:ind w:left="721"/>
        <w:spacing w:before="68" w:line="219" w:lineRule="auto"/>
        <w:outlineLvl w:val="1"/>
        <w:rPr/>
      </w:pPr>
      <w:r>
        <w:rPr>
          <w:b/>
          <w:bCs/>
          <w:spacing w:val="-2"/>
        </w:rPr>
        <w:t>2.4</w:t>
      </w:r>
      <w:r>
        <w:rPr>
          <w:spacing w:val="-2"/>
        </w:rPr>
        <w:t xml:space="preserve"> </w:t>
      </w:r>
      <w:r>
        <w:rPr>
          <w:b/>
          <w:bCs/>
          <w:spacing w:val="-2"/>
        </w:rPr>
        <w:t>截止报告期末的优先股股东总数、前十名优先股股东情况表</w:t>
      </w:r>
    </w:p>
    <w:p>
      <w:pPr>
        <w:pStyle w:val="BodyText"/>
        <w:ind w:left="740"/>
        <w:spacing w:before="142" w:line="222" w:lineRule="auto"/>
        <w:rPr/>
      </w:pPr>
      <w:r>
        <w:rPr>
          <w:spacing w:val="-13"/>
        </w:rPr>
        <w:t>□适用</w:t>
      </w:r>
      <w:r>
        <w:rPr>
          <w:spacing w:val="31"/>
        </w:rPr>
        <w:t xml:space="preserve">  </w:t>
      </w:r>
      <w:r>
        <w:rPr>
          <w:spacing w:val="-13"/>
        </w:rPr>
        <w:t>√不适用</w:t>
      </w:r>
    </w:p>
    <w:p>
      <w:pPr>
        <w:spacing w:line="377" w:lineRule="auto"/>
        <w:rPr>
          <w:rFonts w:ascii="Arial"/>
          <w:sz w:val="21"/>
        </w:rPr>
      </w:pPr>
      <w:r/>
    </w:p>
    <w:p>
      <w:pPr>
        <w:pStyle w:val="BodyText"/>
        <w:ind w:left="721"/>
        <w:spacing w:before="69" w:line="221" w:lineRule="auto"/>
        <w:outlineLvl w:val="1"/>
        <w:rPr/>
      </w:pPr>
      <w:r>
        <w:rPr>
          <w:b/>
          <w:bCs/>
          <w:spacing w:val="-3"/>
        </w:rPr>
        <w:t>2.5</w:t>
      </w:r>
      <w:r>
        <w:rPr>
          <w:spacing w:val="-3"/>
        </w:rPr>
        <w:t xml:space="preserve"> </w:t>
      </w:r>
      <w:r>
        <w:rPr>
          <w:b/>
          <w:bCs/>
          <w:spacing w:val="-3"/>
        </w:rPr>
        <w:t>控股股东或实际控制人变更情况</w:t>
      </w:r>
    </w:p>
    <w:p>
      <w:pPr>
        <w:pStyle w:val="BodyText"/>
        <w:ind w:left="740"/>
        <w:spacing w:before="141" w:line="222" w:lineRule="auto"/>
        <w:rPr/>
      </w:pPr>
      <w:r>
        <w:rPr>
          <w:spacing w:val="-13"/>
        </w:rPr>
        <w:t>□适用</w:t>
      </w:r>
      <w:r>
        <w:rPr>
          <w:spacing w:val="31"/>
        </w:rPr>
        <w:t xml:space="preserve">  </w:t>
      </w:r>
      <w:r>
        <w:rPr>
          <w:spacing w:val="-13"/>
        </w:rPr>
        <w:t>√不适用</w:t>
      </w:r>
    </w:p>
    <w:p>
      <w:pPr>
        <w:spacing w:line="222" w:lineRule="auto"/>
        <w:sectPr>
          <w:footerReference w:type="default" r:id="rId8"/>
          <w:pgSz w:w="11907" w:h="16839"/>
          <w:pgMar w:top="1391" w:right="888" w:bottom="1374" w:left="1089" w:header="842" w:footer="1212" w:gutter="0"/>
        </w:sectPr>
        <w:rPr/>
      </w:pPr>
    </w:p>
    <w:p>
      <w:pPr>
        <w:pStyle w:val="BodyText"/>
        <w:ind w:left="724"/>
        <w:spacing w:before="265" w:line="221" w:lineRule="auto"/>
        <w:outlineLvl w:val="1"/>
        <w:rPr/>
      </w:pPr>
      <w:r>
        <w:rPr>
          <w:b/>
          <w:bCs/>
          <w:spacing w:val="-3"/>
        </w:rPr>
        <w:t>2.6</w:t>
      </w:r>
      <w:r>
        <w:rPr>
          <w:spacing w:val="-3"/>
        </w:rPr>
        <w:t xml:space="preserve"> </w:t>
      </w:r>
      <w:r>
        <w:rPr>
          <w:b/>
          <w:bCs/>
          <w:spacing w:val="-3"/>
        </w:rPr>
        <w:t>未到期及逾期未兑付公司债情况</w:t>
      </w:r>
    </w:p>
    <w:p>
      <w:pPr>
        <w:pStyle w:val="BodyText"/>
        <w:ind w:left="773" w:right="3679" w:hanging="48"/>
        <w:spacing w:before="139" w:line="262" w:lineRule="auto"/>
        <w:rPr/>
      </w:pPr>
      <w:r>
        <w:rPr>
          <w:rFonts w:ascii="Calibri" w:hAnsi="Calibri" w:eastAsia="Calibri" w:cs="Calibri"/>
          <w:spacing w:val="-2"/>
        </w:rPr>
        <w:t>2.6</w:t>
      </w:r>
      <w:r>
        <w:rPr>
          <w:rFonts w:ascii="Calibri" w:hAnsi="Calibri" w:eastAsia="Calibri" w:cs="Calibri"/>
          <w:spacing w:val="22"/>
        </w:rPr>
        <w:t xml:space="preserve"> </w:t>
      </w:r>
      <w:r>
        <w:rPr>
          <w:spacing w:val="-2"/>
        </w:rPr>
        <w:t>节所提供信息为公司债券发行人—联通运营公司之信息。</w:t>
      </w:r>
      <w:r>
        <w:rPr/>
        <w:t xml:space="preserve"> </w:t>
      </w:r>
      <w:r>
        <w:rPr>
          <w:spacing w:val="-9"/>
        </w:rPr>
        <w:t>√适用□不适用</w:t>
      </w:r>
    </w:p>
    <w:p>
      <w:pPr>
        <w:pStyle w:val="BodyText"/>
        <w:ind w:left="7555"/>
        <w:spacing w:before="29" w:line="229" w:lineRule="auto"/>
        <w:rPr/>
      </w:pPr>
      <w:r>
        <w:rPr>
          <w:spacing w:val="-4"/>
        </w:rPr>
        <w:t>单位</w:t>
      </w:r>
      <w:r>
        <w:rPr>
          <w:rFonts w:ascii="Calibri" w:hAnsi="Calibri" w:eastAsia="Calibri" w:cs="Calibri"/>
          <w:spacing w:val="-4"/>
        </w:rPr>
        <w:t>:</w:t>
      </w:r>
      <w:r>
        <w:rPr>
          <w:spacing w:val="-4"/>
        </w:rPr>
        <w:t>元</w:t>
      </w:r>
      <w:r>
        <w:rPr>
          <w:spacing w:val="15"/>
        </w:rPr>
        <w:t xml:space="preserve">  </w:t>
      </w:r>
      <w:r>
        <w:rPr>
          <w:spacing w:val="-4"/>
        </w:rPr>
        <w:t>币种</w:t>
      </w:r>
      <w:r>
        <w:rPr>
          <w:rFonts w:ascii="Calibri" w:hAnsi="Calibri" w:eastAsia="Calibri" w:cs="Calibri"/>
          <w:spacing w:val="-4"/>
        </w:rPr>
        <w:t>:</w:t>
      </w:r>
      <w:r>
        <w:rPr>
          <w:spacing w:val="-4"/>
        </w:rPr>
        <w:t>人民币</w:t>
      </w:r>
    </w:p>
    <w:tbl>
      <w:tblPr>
        <w:tblStyle w:val="TableNormal"/>
        <w:tblW w:w="993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250"/>
        <w:gridCol w:w="1114"/>
        <w:gridCol w:w="1255"/>
        <w:gridCol w:w="1252"/>
        <w:gridCol w:w="1254"/>
        <w:gridCol w:w="1687"/>
        <w:gridCol w:w="1118"/>
      </w:tblGrid>
      <w:tr>
        <w:trPr>
          <w:trHeight w:val="450" w:hRule="atLeast"/>
        </w:trPr>
        <w:tc>
          <w:tcPr>
            <w:shd w:val="clear" w:fill="D9D9D9"/>
            <w:tcW w:w="2250" w:type="dxa"/>
            <w:vAlign w:val="top"/>
          </w:tcPr>
          <w:p>
            <w:pPr>
              <w:pStyle w:val="TableText"/>
              <w:ind w:left="712"/>
              <w:spacing w:before="120" w:line="221" w:lineRule="auto"/>
              <w:rPr/>
            </w:pPr>
            <w:r>
              <w:rPr>
                <w:b/>
                <w:bCs/>
                <w:spacing w:val="-4"/>
              </w:rPr>
              <w:t>债券名称</w:t>
            </w:r>
          </w:p>
        </w:tc>
        <w:tc>
          <w:tcPr>
            <w:shd w:val="clear" w:fill="D9D9D9"/>
            <w:tcW w:w="1114" w:type="dxa"/>
            <w:vAlign w:val="top"/>
          </w:tcPr>
          <w:p>
            <w:pPr>
              <w:pStyle w:val="TableText"/>
              <w:ind w:left="355"/>
              <w:spacing w:before="120" w:line="220" w:lineRule="auto"/>
              <w:rPr/>
            </w:pPr>
            <w:r>
              <w:rPr>
                <w:b/>
                <w:bCs/>
                <w:spacing w:val="-5"/>
              </w:rPr>
              <w:t>简称</w:t>
            </w:r>
          </w:p>
        </w:tc>
        <w:tc>
          <w:tcPr>
            <w:shd w:val="clear" w:fill="D9D9D9"/>
            <w:tcW w:w="1255" w:type="dxa"/>
            <w:vAlign w:val="top"/>
          </w:tcPr>
          <w:p>
            <w:pPr>
              <w:pStyle w:val="TableText"/>
              <w:ind w:left="419"/>
              <w:spacing w:before="120" w:line="221" w:lineRule="auto"/>
              <w:rPr/>
            </w:pPr>
            <w:r>
              <w:rPr>
                <w:b/>
                <w:bCs/>
                <w:spacing w:val="-4"/>
              </w:rPr>
              <w:t>代码</w:t>
            </w:r>
          </w:p>
        </w:tc>
        <w:tc>
          <w:tcPr>
            <w:shd w:val="clear" w:fill="D9D9D9"/>
            <w:tcW w:w="1252" w:type="dxa"/>
            <w:vAlign w:val="top"/>
          </w:tcPr>
          <w:p>
            <w:pPr>
              <w:pStyle w:val="TableText"/>
              <w:ind w:left="315"/>
              <w:spacing w:before="121" w:line="221" w:lineRule="auto"/>
              <w:rPr/>
            </w:pPr>
            <w:r>
              <w:rPr>
                <w:b/>
                <w:bCs/>
                <w:spacing w:val="-4"/>
              </w:rPr>
              <w:t>发行日</w:t>
            </w:r>
          </w:p>
        </w:tc>
        <w:tc>
          <w:tcPr>
            <w:shd w:val="clear" w:fill="D9D9D9"/>
            <w:tcW w:w="1254" w:type="dxa"/>
            <w:vAlign w:val="top"/>
          </w:tcPr>
          <w:p>
            <w:pPr>
              <w:pStyle w:val="TableText"/>
              <w:ind w:left="321"/>
              <w:spacing w:before="121" w:line="221" w:lineRule="auto"/>
              <w:rPr/>
            </w:pPr>
            <w:r>
              <w:rPr>
                <w:b/>
                <w:bCs/>
                <w:spacing w:val="-5"/>
              </w:rPr>
              <w:t>到期日</w:t>
            </w:r>
          </w:p>
        </w:tc>
        <w:tc>
          <w:tcPr>
            <w:shd w:val="clear" w:fill="D9D9D9"/>
            <w:tcW w:w="1687" w:type="dxa"/>
            <w:vAlign w:val="top"/>
          </w:tcPr>
          <w:p>
            <w:pPr>
              <w:pStyle w:val="TableText"/>
              <w:ind w:left="431"/>
              <w:spacing w:before="120" w:line="221" w:lineRule="auto"/>
              <w:rPr/>
            </w:pPr>
            <w:r>
              <w:rPr>
                <w:b/>
                <w:bCs/>
                <w:spacing w:val="-4"/>
              </w:rPr>
              <w:t>债券余额</w:t>
            </w:r>
          </w:p>
        </w:tc>
        <w:tc>
          <w:tcPr>
            <w:shd w:val="clear" w:fill="D9D9D9"/>
            <w:tcW w:w="1118" w:type="dxa"/>
            <w:vAlign w:val="top"/>
          </w:tcPr>
          <w:p>
            <w:pPr>
              <w:pStyle w:val="TableText"/>
              <w:ind w:right="7"/>
              <w:spacing w:before="120" w:line="241" w:lineRule="auto"/>
              <w:jc w:val="right"/>
              <w:rPr/>
            </w:pPr>
            <w:r>
              <w:rPr>
                <w:b/>
                <w:bCs/>
                <w:spacing w:val="-3"/>
              </w:rPr>
              <w:t>利率（</w:t>
            </w:r>
            <w:r>
              <w:rPr>
                <w:rFonts w:ascii="Calibri" w:hAnsi="Calibri" w:eastAsia="Calibri" w:cs="Calibri"/>
                <w:b/>
                <w:bCs/>
                <w:spacing w:val="-3"/>
              </w:rPr>
              <w:t>%</w:t>
            </w:r>
            <w:r>
              <w:rPr>
                <w:b/>
                <w:bCs/>
                <w:spacing w:val="-3"/>
              </w:rPr>
              <w:t>）</w:t>
            </w:r>
          </w:p>
        </w:tc>
      </w:tr>
      <w:tr>
        <w:trPr>
          <w:trHeight w:val="942" w:hRule="atLeast"/>
        </w:trPr>
        <w:tc>
          <w:tcPr>
            <w:tcW w:w="2250" w:type="dxa"/>
            <w:vAlign w:val="top"/>
          </w:tcPr>
          <w:p>
            <w:pPr>
              <w:pStyle w:val="TableText"/>
              <w:ind w:left="115" w:right="101" w:firstLine="20"/>
              <w:spacing w:before="54" w:line="257" w:lineRule="auto"/>
              <w:jc w:val="both"/>
              <w:rPr>
                <w:rFonts w:ascii="Calibri" w:hAnsi="Calibri" w:eastAsia="Calibri" w:cs="Calibri"/>
              </w:rPr>
            </w:pPr>
            <w:r>
              <w:rPr>
                <w:spacing w:val="13"/>
              </w:rPr>
              <w:t>中国联合网络通信有</w:t>
            </w:r>
            <w:r>
              <w:rPr/>
              <w:t xml:space="preserve"> </w:t>
            </w:r>
            <w:r>
              <w:rPr>
                <w:spacing w:val="-3"/>
              </w:rPr>
              <w:t>限公司</w:t>
            </w:r>
            <w:r>
              <w:rPr>
                <w:spacing w:val="-19"/>
              </w:rPr>
              <w:t xml:space="preserve"> </w:t>
            </w:r>
            <w:r>
              <w:rPr>
                <w:rFonts w:ascii="Calibri" w:hAnsi="Calibri" w:eastAsia="Calibri" w:cs="Calibri"/>
                <w:spacing w:val="-3"/>
              </w:rPr>
              <w:t>2016</w:t>
            </w:r>
            <w:r>
              <w:rPr>
                <w:rFonts w:ascii="Calibri" w:hAnsi="Calibri" w:eastAsia="Calibri" w:cs="Calibri"/>
                <w:spacing w:val="30"/>
                <w:w w:val="101"/>
              </w:rPr>
              <w:t xml:space="preserve"> </w:t>
            </w:r>
            <w:r>
              <w:rPr>
                <w:spacing w:val="-3"/>
              </w:rPr>
              <w:t>年公司债</w:t>
            </w:r>
            <w:r>
              <w:rPr/>
              <w:t xml:space="preserve"> </w:t>
            </w:r>
            <w:r>
              <w:rPr>
                <w:spacing w:val="-1"/>
              </w:rPr>
              <w:t>券</w:t>
            </w:r>
            <w:r>
              <w:rPr>
                <w:rFonts w:ascii="Calibri" w:hAnsi="Calibri" w:eastAsia="Calibri" w:cs="Calibri"/>
                <w:spacing w:val="-1"/>
              </w:rPr>
              <w:t>(</w:t>
            </w:r>
            <w:r>
              <w:rPr>
                <w:spacing w:val="-1"/>
              </w:rPr>
              <w:t>第一期</w:t>
            </w:r>
            <w:r>
              <w:rPr>
                <w:rFonts w:ascii="Calibri" w:hAnsi="Calibri" w:eastAsia="Calibri" w:cs="Calibri"/>
                <w:spacing w:val="-1"/>
              </w:rPr>
              <w:t>)(</w:t>
            </w:r>
            <w:r>
              <w:rPr>
                <w:spacing w:val="-1"/>
              </w:rPr>
              <w:t>品种二</w:t>
            </w:r>
            <w:r>
              <w:rPr>
                <w:rFonts w:ascii="Calibri" w:hAnsi="Calibri" w:eastAsia="Calibri" w:cs="Calibri"/>
                <w:spacing w:val="-1"/>
              </w:rPr>
              <w:t>)</w:t>
            </w:r>
          </w:p>
        </w:tc>
        <w:tc>
          <w:tcPr>
            <w:tcW w:w="1114" w:type="dxa"/>
            <w:vAlign w:val="top"/>
          </w:tcPr>
          <w:p>
            <w:pPr>
              <w:spacing w:line="296" w:lineRule="auto"/>
              <w:rPr>
                <w:rFonts w:ascii="Arial"/>
                <w:sz w:val="21"/>
              </w:rPr>
            </w:pPr>
            <w:r/>
          </w:p>
          <w:p>
            <w:pPr>
              <w:pStyle w:val="TableText"/>
              <w:ind w:left="128"/>
              <w:spacing w:before="68" w:line="223" w:lineRule="auto"/>
              <w:rPr/>
            </w:pPr>
            <w:r>
              <w:rPr>
                <w:spacing w:val="6"/>
              </w:rPr>
              <w:t>16联通02</w:t>
            </w:r>
          </w:p>
        </w:tc>
        <w:tc>
          <w:tcPr>
            <w:tcW w:w="1255" w:type="dxa"/>
            <w:vAlign w:val="top"/>
          </w:tcPr>
          <w:p>
            <w:pPr>
              <w:spacing w:line="330" w:lineRule="auto"/>
              <w:rPr>
                <w:rFonts w:ascii="Arial"/>
                <w:sz w:val="21"/>
              </w:rPr>
            </w:pPr>
            <w:r/>
          </w:p>
          <w:p>
            <w:pPr>
              <w:pStyle w:val="TableText"/>
              <w:ind w:left="174"/>
              <w:spacing w:before="68" w:line="183" w:lineRule="auto"/>
              <w:rPr/>
            </w:pPr>
            <w:r>
              <w:rPr>
                <w:spacing w:val="-2"/>
              </w:rPr>
              <w:t>136470.SH</w:t>
            </w:r>
          </w:p>
        </w:tc>
        <w:tc>
          <w:tcPr>
            <w:tcW w:w="1252" w:type="dxa"/>
            <w:vAlign w:val="top"/>
          </w:tcPr>
          <w:p>
            <w:pPr>
              <w:pStyle w:val="TableText"/>
              <w:ind w:left="237" w:right="229" w:firstLine="53"/>
              <w:spacing w:before="210" w:line="261" w:lineRule="auto"/>
              <w:rPr/>
            </w:pPr>
            <w:r>
              <w:rPr>
                <w:spacing w:val="-4"/>
              </w:rPr>
              <w:t>2016</w:t>
            </w:r>
            <w:r>
              <w:rPr>
                <w:spacing w:val="-43"/>
              </w:rPr>
              <w:t xml:space="preserve"> </w:t>
            </w:r>
            <w:r>
              <w:rPr>
                <w:spacing w:val="-4"/>
              </w:rPr>
              <w:t>年</w:t>
            </w:r>
            <w:r>
              <w:rPr/>
              <w:t xml:space="preserve"> </w:t>
            </w:r>
            <w:r>
              <w:rPr>
                <w:spacing w:val="-18"/>
              </w:rPr>
              <w:t>6</w:t>
            </w:r>
            <w:r>
              <w:rPr>
                <w:spacing w:val="-38"/>
              </w:rPr>
              <w:t xml:space="preserve"> </w:t>
            </w:r>
            <w:r>
              <w:rPr>
                <w:spacing w:val="-18"/>
              </w:rPr>
              <w:t>月</w:t>
            </w:r>
            <w:r>
              <w:rPr>
                <w:spacing w:val="-38"/>
              </w:rPr>
              <w:t xml:space="preserve"> </w:t>
            </w:r>
            <w:r>
              <w:rPr>
                <w:spacing w:val="-18"/>
              </w:rPr>
              <w:t>7 日</w:t>
            </w:r>
          </w:p>
        </w:tc>
        <w:tc>
          <w:tcPr>
            <w:tcW w:w="1254" w:type="dxa"/>
            <w:vAlign w:val="top"/>
          </w:tcPr>
          <w:p>
            <w:pPr>
              <w:pStyle w:val="TableText"/>
              <w:ind w:left="240" w:right="228" w:firstLine="53"/>
              <w:spacing w:before="210" w:line="261" w:lineRule="auto"/>
              <w:rPr/>
            </w:pPr>
            <w:r>
              <w:rPr>
                <w:spacing w:val="-4"/>
              </w:rPr>
              <w:t>2021</w:t>
            </w:r>
            <w:r>
              <w:rPr>
                <w:spacing w:val="-43"/>
              </w:rPr>
              <w:t xml:space="preserve"> </w:t>
            </w:r>
            <w:r>
              <w:rPr>
                <w:spacing w:val="-4"/>
              </w:rPr>
              <w:t>年</w:t>
            </w:r>
            <w:r>
              <w:rPr/>
              <w:t xml:space="preserve"> </w:t>
            </w:r>
            <w:r>
              <w:rPr>
                <w:spacing w:val="-18"/>
              </w:rPr>
              <w:t>6</w:t>
            </w:r>
            <w:r>
              <w:rPr>
                <w:spacing w:val="-38"/>
              </w:rPr>
              <w:t xml:space="preserve"> </w:t>
            </w:r>
            <w:r>
              <w:rPr>
                <w:spacing w:val="-18"/>
              </w:rPr>
              <w:t>月</w:t>
            </w:r>
            <w:r>
              <w:rPr>
                <w:spacing w:val="-39"/>
              </w:rPr>
              <w:t xml:space="preserve"> </w:t>
            </w:r>
            <w:r>
              <w:rPr>
                <w:spacing w:val="-18"/>
              </w:rPr>
              <w:t>7 日</w:t>
            </w:r>
          </w:p>
        </w:tc>
        <w:tc>
          <w:tcPr>
            <w:tcW w:w="1687" w:type="dxa"/>
            <w:vAlign w:val="top"/>
          </w:tcPr>
          <w:p>
            <w:pPr>
              <w:spacing w:line="330" w:lineRule="auto"/>
              <w:rPr>
                <w:rFonts w:ascii="Arial"/>
                <w:sz w:val="21"/>
              </w:rPr>
            </w:pPr>
            <w:r/>
          </w:p>
          <w:p>
            <w:pPr>
              <w:pStyle w:val="TableText"/>
              <w:ind w:left="184"/>
              <w:spacing w:before="68" w:line="183" w:lineRule="auto"/>
              <w:rPr/>
            </w:pPr>
            <w:r>
              <w:rPr>
                <w:spacing w:val="-2"/>
              </w:rPr>
              <w:t>1,000,000,000</w:t>
            </w:r>
          </w:p>
        </w:tc>
        <w:tc>
          <w:tcPr>
            <w:tcW w:w="1118" w:type="dxa"/>
            <w:vAlign w:val="top"/>
          </w:tcPr>
          <w:p>
            <w:pPr>
              <w:spacing w:line="331" w:lineRule="auto"/>
              <w:rPr>
                <w:rFonts w:ascii="Arial"/>
                <w:sz w:val="21"/>
              </w:rPr>
            </w:pPr>
            <w:r/>
          </w:p>
          <w:p>
            <w:pPr>
              <w:pStyle w:val="TableText"/>
              <w:ind w:left="358"/>
              <w:spacing w:before="68" w:line="182" w:lineRule="auto"/>
              <w:rPr/>
            </w:pPr>
            <w:r>
              <w:rPr>
                <w:spacing w:val="-2"/>
              </w:rPr>
              <w:t>3.43</w:t>
            </w:r>
          </w:p>
        </w:tc>
      </w:tr>
      <w:tr>
        <w:trPr>
          <w:trHeight w:val="939" w:hRule="atLeast"/>
        </w:trPr>
        <w:tc>
          <w:tcPr>
            <w:tcW w:w="2250" w:type="dxa"/>
            <w:vAlign w:val="top"/>
          </w:tcPr>
          <w:p>
            <w:pPr>
              <w:pStyle w:val="TableText"/>
              <w:ind w:left="115" w:right="101" w:firstLine="20"/>
              <w:spacing w:before="51" w:line="257" w:lineRule="auto"/>
              <w:jc w:val="both"/>
              <w:rPr>
                <w:rFonts w:ascii="Calibri" w:hAnsi="Calibri" w:eastAsia="Calibri" w:cs="Calibri"/>
              </w:rPr>
            </w:pPr>
            <w:r>
              <w:rPr>
                <w:spacing w:val="13"/>
              </w:rPr>
              <w:t>中国联合网络通信有</w:t>
            </w:r>
            <w:r>
              <w:rPr/>
              <w:t xml:space="preserve"> </w:t>
            </w:r>
            <w:r>
              <w:rPr>
                <w:spacing w:val="-3"/>
              </w:rPr>
              <w:t>限公司</w:t>
            </w:r>
            <w:r>
              <w:rPr>
                <w:spacing w:val="-19"/>
              </w:rPr>
              <w:t xml:space="preserve"> </w:t>
            </w:r>
            <w:r>
              <w:rPr>
                <w:rFonts w:ascii="Calibri" w:hAnsi="Calibri" w:eastAsia="Calibri" w:cs="Calibri"/>
                <w:spacing w:val="-3"/>
              </w:rPr>
              <w:t>2016</w:t>
            </w:r>
            <w:r>
              <w:rPr>
                <w:rFonts w:ascii="Calibri" w:hAnsi="Calibri" w:eastAsia="Calibri" w:cs="Calibri"/>
                <w:spacing w:val="30"/>
                <w:w w:val="101"/>
              </w:rPr>
              <w:t xml:space="preserve"> </w:t>
            </w:r>
            <w:r>
              <w:rPr>
                <w:spacing w:val="-3"/>
              </w:rPr>
              <w:t>年公司债</w:t>
            </w:r>
            <w:r>
              <w:rPr/>
              <w:t xml:space="preserve"> </w:t>
            </w:r>
            <w:r>
              <w:rPr>
                <w:spacing w:val="-1"/>
              </w:rPr>
              <w:t>券</w:t>
            </w:r>
            <w:r>
              <w:rPr>
                <w:rFonts w:ascii="Calibri" w:hAnsi="Calibri" w:eastAsia="Calibri" w:cs="Calibri"/>
                <w:spacing w:val="-1"/>
              </w:rPr>
              <w:t>(</w:t>
            </w:r>
            <w:r>
              <w:rPr>
                <w:spacing w:val="-1"/>
              </w:rPr>
              <w:t>第二期</w:t>
            </w:r>
            <w:r>
              <w:rPr>
                <w:rFonts w:ascii="Calibri" w:hAnsi="Calibri" w:eastAsia="Calibri" w:cs="Calibri"/>
                <w:spacing w:val="-1"/>
              </w:rPr>
              <w:t>)</w:t>
            </w:r>
          </w:p>
        </w:tc>
        <w:tc>
          <w:tcPr>
            <w:tcW w:w="1114" w:type="dxa"/>
            <w:vAlign w:val="top"/>
          </w:tcPr>
          <w:p>
            <w:pPr>
              <w:spacing w:line="294" w:lineRule="auto"/>
              <w:rPr>
                <w:rFonts w:ascii="Arial"/>
                <w:sz w:val="21"/>
              </w:rPr>
            </w:pPr>
            <w:r/>
          </w:p>
          <w:p>
            <w:pPr>
              <w:pStyle w:val="TableText"/>
              <w:ind w:left="128"/>
              <w:spacing w:before="69" w:line="223" w:lineRule="auto"/>
              <w:rPr/>
            </w:pPr>
            <w:r>
              <w:rPr>
                <w:spacing w:val="6"/>
              </w:rPr>
              <w:t>16联通03</w:t>
            </w:r>
          </w:p>
        </w:tc>
        <w:tc>
          <w:tcPr>
            <w:tcW w:w="1255" w:type="dxa"/>
            <w:vAlign w:val="top"/>
          </w:tcPr>
          <w:p>
            <w:pPr>
              <w:spacing w:line="329" w:lineRule="auto"/>
              <w:rPr>
                <w:rFonts w:ascii="Arial"/>
                <w:sz w:val="21"/>
              </w:rPr>
            </w:pPr>
            <w:r/>
          </w:p>
          <w:p>
            <w:pPr>
              <w:pStyle w:val="TableText"/>
              <w:ind w:left="174"/>
              <w:spacing w:before="68" w:line="183" w:lineRule="auto"/>
              <w:rPr/>
            </w:pPr>
            <w:r>
              <w:rPr>
                <w:spacing w:val="-2"/>
              </w:rPr>
              <w:t>136544.SH</w:t>
            </w:r>
          </w:p>
        </w:tc>
        <w:tc>
          <w:tcPr>
            <w:tcW w:w="1252" w:type="dxa"/>
            <w:vAlign w:val="top"/>
          </w:tcPr>
          <w:p>
            <w:pPr>
              <w:pStyle w:val="TableText"/>
              <w:ind w:left="187" w:right="176" w:firstLine="103"/>
              <w:spacing w:before="208" w:line="261" w:lineRule="auto"/>
              <w:rPr/>
            </w:pPr>
            <w:r>
              <w:rPr>
                <w:spacing w:val="-4"/>
              </w:rPr>
              <w:t>2016</w:t>
            </w:r>
            <w:r>
              <w:rPr>
                <w:spacing w:val="-43"/>
              </w:rPr>
              <w:t xml:space="preserve"> </w:t>
            </w:r>
            <w:r>
              <w:rPr>
                <w:spacing w:val="-4"/>
              </w:rPr>
              <w:t>年</w:t>
            </w:r>
            <w:r>
              <w:rPr/>
              <w:t xml:space="preserve">  </w:t>
            </w:r>
            <w:r>
              <w:rPr>
                <w:spacing w:val="-17"/>
              </w:rPr>
              <w:t>7</w:t>
            </w:r>
            <w:r>
              <w:rPr>
                <w:spacing w:val="-39"/>
              </w:rPr>
              <w:t xml:space="preserve"> </w:t>
            </w:r>
            <w:r>
              <w:rPr>
                <w:spacing w:val="-17"/>
              </w:rPr>
              <w:t>月</w:t>
            </w:r>
            <w:r>
              <w:rPr>
                <w:spacing w:val="-28"/>
              </w:rPr>
              <w:t xml:space="preserve"> </w:t>
            </w:r>
            <w:r>
              <w:rPr>
                <w:spacing w:val="-17"/>
              </w:rPr>
              <w:t>14 日</w:t>
            </w:r>
          </w:p>
        </w:tc>
        <w:tc>
          <w:tcPr>
            <w:tcW w:w="1254" w:type="dxa"/>
            <w:vAlign w:val="top"/>
          </w:tcPr>
          <w:p>
            <w:pPr>
              <w:pStyle w:val="TableText"/>
              <w:ind w:left="191" w:right="175" w:firstLine="103"/>
              <w:spacing w:before="208" w:line="261" w:lineRule="auto"/>
              <w:rPr/>
            </w:pPr>
            <w:r>
              <w:rPr>
                <w:spacing w:val="-4"/>
              </w:rPr>
              <w:t>2019</w:t>
            </w:r>
            <w:r>
              <w:rPr>
                <w:spacing w:val="-43"/>
              </w:rPr>
              <w:t xml:space="preserve"> </w:t>
            </w:r>
            <w:r>
              <w:rPr>
                <w:spacing w:val="-4"/>
              </w:rPr>
              <w:t>年</w:t>
            </w:r>
            <w:r>
              <w:rPr/>
              <w:t xml:space="preserve">  </w:t>
            </w:r>
            <w:r>
              <w:rPr>
                <w:spacing w:val="-17"/>
              </w:rPr>
              <w:t>7</w:t>
            </w:r>
            <w:r>
              <w:rPr>
                <w:spacing w:val="-39"/>
              </w:rPr>
              <w:t xml:space="preserve"> </w:t>
            </w:r>
            <w:r>
              <w:rPr>
                <w:spacing w:val="-17"/>
              </w:rPr>
              <w:t>月</w:t>
            </w:r>
            <w:r>
              <w:rPr>
                <w:spacing w:val="-29"/>
              </w:rPr>
              <w:t xml:space="preserve"> </w:t>
            </w:r>
            <w:r>
              <w:rPr>
                <w:spacing w:val="-17"/>
              </w:rPr>
              <w:t>14 日</w:t>
            </w:r>
          </w:p>
        </w:tc>
        <w:tc>
          <w:tcPr>
            <w:tcW w:w="1687" w:type="dxa"/>
            <w:vAlign w:val="top"/>
          </w:tcPr>
          <w:p>
            <w:pPr>
              <w:spacing w:line="329" w:lineRule="auto"/>
              <w:rPr>
                <w:rFonts w:ascii="Arial"/>
                <w:sz w:val="21"/>
              </w:rPr>
            </w:pPr>
            <w:r/>
          </w:p>
          <w:p>
            <w:pPr>
              <w:pStyle w:val="TableText"/>
              <w:ind w:left="131"/>
              <w:spacing w:before="68" w:line="183" w:lineRule="auto"/>
              <w:rPr/>
            </w:pPr>
            <w:r>
              <w:rPr>
                <w:spacing w:val="-2"/>
              </w:rPr>
              <w:t>10,000,000,000</w:t>
            </w:r>
          </w:p>
        </w:tc>
        <w:tc>
          <w:tcPr>
            <w:tcW w:w="1118" w:type="dxa"/>
            <w:vAlign w:val="top"/>
          </w:tcPr>
          <w:p>
            <w:pPr>
              <w:spacing w:line="330" w:lineRule="auto"/>
              <w:rPr>
                <w:rFonts w:ascii="Arial"/>
                <w:sz w:val="21"/>
              </w:rPr>
            </w:pPr>
            <w:r/>
          </w:p>
          <w:p>
            <w:pPr>
              <w:pStyle w:val="TableText"/>
              <w:ind w:left="356"/>
              <w:spacing w:before="68" w:line="182" w:lineRule="auto"/>
              <w:rPr/>
            </w:pPr>
            <w:r>
              <w:rPr>
                <w:spacing w:val="-2"/>
              </w:rPr>
              <w:t>2.95</w:t>
            </w:r>
          </w:p>
        </w:tc>
      </w:tr>
      <w:tr>
        <w:trPr>
          <w:trHeight w:val="944" w:hRule="atLeast"/>
        </w:trPr>
        <w:tc>
          <w:tcPr>
            <w:tcW w:w="2250" w:type="dxa"/>
            <w:vAlign w:val="top"/>
          </w:tcPr>
          <w:p>
            <w:pPr>
              <w:pStyle w:val="TableText"/>
              <w:ind w:left="117" w:right="101" w:firstLine="19"/>
              <w:spacing w:before="56" w:line="257" w:lineRule="auto"/>
              <w:jc w:val="both"/>
              <w:rPr>
                <w:rFonts w:ascii="Calibri" w:hAnsi="Calibri" w:eastAsia="Calibri" w:cs="Calibri"/>
              </w:rPr>
            </w:pPr>
            <w:r>
              <w:rPr>
                <w:spacing w:val="13"/>
              </w:rPr>
              <w:t>中国联合网络通信有</w:t>
            </w:r>
            <w:r>
              <w:rPr/>
              <w:t xml:space="preserve"> </w:t>
            </w:r>
            <w:r>
              <w:rPr>
                <w:spacing w:val="2"/>
              </w:rPr>
              <w:t>限公司公开发行 </w:t>
            </w:r>
            <w:r>
              <w:rPr>
                <w:rFonts w:ascii="Calibri" w:hAnsi="Calibri" w:eastAsia="Calibri" w:cs="Calibri"/>
                <w:spacing w:val="2"/>
              </w:rPr>
              <w:t>2019</w:t>
            </w:r>
            <w:r>
              <w:rPr>
                <w:rFonts w:ascii="Calibri" w:hAnsi="Calibri" w:eastAsia="Calibri" w:cs="Calibri"/>
              </w:rPr>
              <w:t xml:space="preserve"> </w:t>
            </w:r>
            <w:r>
              <w:rPr>
                <w:spacing w:val="-1"/>
              </w:rPr>
              <w:t>年公司债券</w:t>
            </w:r>
            <w:r>
              <w:rPr>
                <w:rFonts w:ascii="Calibri" w:hAnsi="Calibri" w:eastAsia="Calibri" w:cs="Calibri"/>
                <w:spacing w:val="-1"/>
              </w:rPr>
              <w:t>(</w:t>
            </w:r>
            <w:r>
              <w:rPr>
                <w:spacing w:val="-1"/>
              </w:rPr>
              <w:t>第一期</w:t>
            </w:r>
            <w:r>
              <w:rPr>
                <w:rFonts w:ascii="Calibri" w:hAnsi="Calibri" w:eastAsia="Calibri" w:cs="Calibri"/>
                <w:spacing w:val="-1"/>
              </w:rPr>
              <w:t>)</w:t>
            </w:r>
          </w:p>
        </w:tc>
        <w:tc>
          <w:tcPr>
            <w:tcW w:w="1114" w:type="dxa"/>
            <w:vAlign w:val="top"/>
          </w:tcPr>
          <w:p>
            <w:pPr>
              <w:spacing w:line="296" w:lineRule="auto"/>
              <w:rPr>
                <w:rFonts w:ascii="Arial"/>
                <w:sz w:val="21"/>
              </w:rPr>
            </w:pPr>
            <w:r/>
          </w:p>
          <w:p>
            <w:pPr>
              <w:pStyle w:val="TableText"/>
              <w:ind w:left="128"/>
              <w:spacing w:before="69" w:line="223" w:lineRule="auto"/>
              <w:rPr/>
            </w:pPr>
            <w:r>
              <w:rPr>
                <w:spacing w:val="6"/>
              </w:rPr>
              <w:t>19联通01</w:t>
            </w:r>
          </w:p>
        </w:tc>
        <w:tc>
          <w:tcPr>
            <w:tcW w:w="1255" w:type="dxa"/>
            <w:vAlign w:val="top"/>
          </w:tcPr>
          <w:p>
            <w:pPr>
              <w:spacing w:line="331" w:lineRule="auto"/>
              <w:rPr>
                <w:rFonts w:ascii="Arial"/>
                <w:sz w:val="21"/>
              </w:rPr>
            </w:pPr>
            <w:r/>
          </w:p>
          <w:p>
            <w:pPr>
              <w:pStyle w:val="TableText"/>
              <w:ind w:left="174"/>
              <w:spacing w:before="68" w:line="183" w:lineRule="auto"/>
              <w:rPr/>
            </w:pPr>
            <w:r>
              <w:rPr>
                <w:spacing w:val="-2"/>
              </w:rPr>
              <w:t>155478.SH</w:t>
            </w:r>
          </w:p>
        </w:tc>
        <w:tc>
          <w:tcPr>
            <w:tcW w:w="1252" w:type="dxa"/>
            <w:vAlign w:val="top"/>
          </w:tcPr>
          <w:p>
            <w:pPr>
              <w:pStyle w:val="TableText"/>
              <w:ind w:left="184" w:right="176" w:firstLine="106"/>
              <w:spacing w:before="210" w:line="261" w:lineRule="auto"/>
              <w:rPr/>
            </w:pPr>
            <w:r>
              <w:rPr>
                <w:spacing w:val="-4"/>
              </w:rPr>
              <w:t>2019</w:t>
            </w:r>
            <w:r>
              <w:rPr>
                <w:spacing w:val="-43"/>
              </w:rPr>
              <w:t xml:space="preserve"> </w:t>
            </w:r>
            <w:r>
              <w:rPr>
                <w:spacing w:val="-4"/>
              </w:rPr>
              <w:t>年</w:t>
            </w:r>
            <w:r>
              <w:rPr/>
              <w:t xml:space="preserve">  </w:t>
            </w:r>
            <w:r>
              <w:rPr>
                <w:spacing w:val="-17"/>
              </w:rPr>
              <w:t>6</w:t>
            </w:r>
            <w:r>
              <w:rPr>
                <w:spacing w:val="-36"/>
              </w:rPr>
              <w:t xml:space="preserve"> </w:t>
            </w:r>
            <w:r>
              <w:rPr>
                <w:spacing w:val="-17"/>
              </w:rPr>
              <w:t>月</w:t>
            </w:r>
            <w:r>
              <w:rPr>
                <w:spacing w:val="-28"/>
              </w:rPr>
              <w:t xml:space="preserve"> </w:t>
            </w:r>
            <w:r>
              <w:rPr>
                <w:spacing w:val="-17"/>
              </w:rPr>
              <w:t>19 日</w:t>
            </w:r>
          </w:p>
        </w:tc>
        <w:tc>
          <w:tcPr>
            <w:tcW w:w="1254" w:type="dxa"/>
            <w:vAlign w:val="top"/>
          </w:tcPr>
          <w:p>
            <w:pPr>
              <w:pStyle w:val="TableText"/>
              <w:ind w:left="188" w:right="175" w:firstLine="106"/>
              <w:spacing w:before="210" w:line="261" w:lineRule="auto"/>
              <w:rPr/>
            </w:pPr>
            <w:r>
              <w:rPr>
                <w:spacing w:val="-4"/>
              </w:rPr>
              <w:t>2022</w:t>
            </w:r>
            <w:r>
              <w:rPr>
                <w:spacing w:val="-43"/>
              </w:rPr>
              <w:t xml:space="preserve"> </w:t>
            </w:r>
            <w:r>
              <w:rPr>
                <w:spacing w:val="-4"/>
              </w:rPr>
              <w:t>年</w:t>
            </w:r>
            <w:r>
              <w:rPr/>
              <w:t xml:space="preserve">  </w:t>
            </w:r>
            <w:r>
              <w:rPr>
                <w:spacing w:val="-17"/>
              </w:rPr>
              <w:t>6</w:t>
            </w:r>
            <w:r>
              <w:rPr>
                <w:spacing w:val="-36"/>
              </w:rPr>
              <w:t xml:space="preserve"> </w:t>
            </w:r>
            <w:r>
              <w:rPr>
                <w:spacing w:val="-17"/>
              </w:rPr>
              <w:t>月</w:t>
            </w:r>
            <w:r>
              <w:rPr>
                <w:spacing w:val="-28"/>
              </w:rPr>
              <w:t xml:space="preserve"> </w:t>
            </w:r>
            <w:r>
              <w:rPr>
                <w:spacing w:val="-17"/>
              </w:rPr>
              <w:t>19 日</w:t>
            </w:r>
          </w:p>
        </w:tc>
        <w:tc>
          <w:tcPr>
            <w:tcW w:w="1687" w:type="dxa"/>
            <w:vAlign w:val="top"/>
          </w:tcPr>
          <w:p>
            <w:pPr>
              <w:spacing w:line="332" w:lineRule="auto"/>
              <w:rPr>
                <w:rFonts w:ascii="Arial"/>
                <w:sz w:val="21"/>
              </w:rPr>
            </w:pPr>
            <w:r/>
          </w:p>
          <w:p>
            <w:pPr>
              <w:pStyle w:val="TableText"/>
              <w:ind w:left="170"/>
              <w:spacing w:before="68" w:line="182" w:lineRule="auto"/>
              <w:rPr/>
            </w:pPr>
            <w:r>
              <w:rPr>
                <w:spacing w:val="-1"/>
              </w:rPr>
              <w:t>2,000,000,000</w:t>
            </w:r>
          </w:p>
        </w:tc>
        <w:tc>
          <w:tcPr>
            <w:tcW w:w="1118" w:type="dxa"/>
            <w:vAlign w:val="top"/>
          </w:tcPr>
          <w:p>
            <w:pPr>
              <w:spacing w:line="332" w:lineRule="auto"/>
              <w:rPr>
                <w:rFonts w:ascii="Arial"/>
                <w:sz w:val="21"/>
              </w:rPr>
            </w:pPr>
            <w:r/>
          </w:p>
          <w:p>
            <w:pPr>
              <w:pStyle w:val="TableText"/>
              <w:ind w:left="358"/>
              <w:spacing w:before="68" w:line="182" w:lineRule="auto"/>
              <w:rPr/>
            </w:pPr>
            <w:r>
              <w:rPr>
                <w:spacing w:val="-2"/>
              </w:rPr>
              <w:t>3.67</w:t>
            </w:r>
          </w:p>
        </w:tc>
      </w:tr>
    </w:tbl>
    <w:p>
      <w:pPr>
        <w:spacing w:line="292" w:lineRule="auto"/>
        <w:rPr>
          <w:rFonts w:ascii="Arial"/>
          <w:sz w:val="21"/>
        </w:rPr>
      </w:pPr>
      <w:r/>
    </w:p>
    <w:p>
      <w:pPr>
        <w:pStyle w:val="BodyText"/>
        <w:ind w:left="722"/>
        <w:spacing w:before="69" w:line="221" w:lineRule="auto"/>
        <w:rPr/>
      </w:pPr>
      <w:r>
        <w:rPr>
          <w:b/>
          <w:bCs/>
          <w:spacing w:val="-4"/>
        </w:rPr>
        <w:t>反映发行人偿债能力的指标：</w:t>
      </w:r>
    </w:p>
    <w:p>
      <w:pPr>
        <w:pStyle w:val="BodyText"/>
        <w:ind w:left="773"/>
        <w:spacing w:before="61" w:line="222" w:lineRule="auto"/>
        <w:rPr/>
      </w:pPr>
      <w:r>
        <w:rPr>
          <w:spacing w:val="-9"/>
        </w:rPr>
        <w:t>√适用□不适用</w:t>
      </w:r>
    </w:p>
    <w:p>
      <w:pPr>
        <w:spacing w:line="84" w:lineRule="auto"/>
        <w:rPr>
          <w:rFonts w:ascii="Arial"/>
          <w:sz w:val="2"/>
        </w:rPr>
      </w:pPr>
      <w:r>
        <w:rPr>
          <w:rFonts w:ascii="Arial"/>
          <w:sz w:val="2"/>
        </w:rPr>
      </w:r>
    </w:p>
    <w:tbl>
      <w:tblPr>
        <w:tblStyle w:val="TableNormal"/>
        <w:tblW w:w="9054" w:type="dxa"/>
        <w:tblInd w:w="60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804"/>
        <w:gridCol w:w="3119"/>
        <w:gridCol w:w="3131"/>
      </w:tblGrid>
      <w:tr>
        <w:trPr>
          <w:trHeight w:val="375" w:hRule="atLeast"/>
        </w:trPr>
        <w:tc>
          <w:tcPr>
            <w:shd w:val="clear" w:fill="D9D9D9"/>
            <w:tcW w:w="2804" w:type="dxa"/>
            <w:vAlign w:val="top"/>
          </w:tcPr>
          <w:p>
            <w:pPr>
              <w:pStyle w:val="TableText"/>
              <w:ind w:left="988"/>
              <w:spacing w:before="82" w:line="221" w:lineRule="auto"/>
              <w:rPr/>
            </w:pPr>
            <w:r>
              <w:rPr>
                <w:spacing w:val="-2"/>
              </w:rPr>
              <w:t>主要指标</w:t>
            </w:r>
          </w:p>
        </w:tc>
        <w:tc>
          <w:tcPr>
            <w:shd w:val="clear" w:fill="D9D9D9"/>
            <w:tcW w:w="3119" w:type="dxa"/>
            <w:vAlign w:val="top"/>
          </w:tcPr>
          <w:p>
            <w:pPr>
              <w:pStyle w:val="TableText"/>
              <w:ind w:left="1040"/>
              <w:spacing w:before="82" w:line="219" w:lineRule="auto"/>
              <w:rPr/>
            </w:pPr>
            <w:r>
              <w:rPr>
                <w:spacing w:val="-2"/>
              </w:rPr>
              <w:t>本报告期末</w:t>
            </w:r>
          </w:p>
        </w:tc>
        <w:tc>
          <w:tcPr>
            <w:shd w:val="clear" w:fill="D9D9D9"/>
            <w:tcW w:w="3131" w:type="dxa"/>
            <w:vAlign w:val="top"/>
          </w:tcPr>
          <w:p>
            <w:pPr>
              <w:pStyle w:val="TableText"/>
              <w:ind w:left="1151"/>
              <w:spacing w:before="81" w:line="221" w:lineRule="auto"/>
              <w:rPr/>
            </w:pPr>
            <w:r>
              <w:rPr>
                <w:spacing w:val="-2"/>
              </w:rPr>
              <w:t>上年度末</w:t>
            </w:r>
          </w:p>
        </w:tc>
      </w:tr>
      <w:tr>
        <w:trPr>
          <w:trHeight w:val="315" w:hRule="atLeast"/>
        </w:trPr>
        <w:tc>
          <w:tcPr>
            <w:tcW w:w="2804" w:type="dxa"/>
            <w:vAlign w:val="top"/>
          </w:tcPr>
          <w:p>
            <w:pPr>
              <w:pStyle w:val="TableText"/>
              <w:ind w:left="125"/>
              <w:spacing w:before="52" w:line="221" w:lineRule="auto"/>
              <w:rPr/>
            </w:pPr>
            <w:r>
              <w:rPr>
                <w:spacing w:val="-3"/>
              </w:rPr>
              <w:t>资产负债率</w:t>
            </w:r>
          </w:p>
        </w:tc>
        <w:tc>
          <w:tcPr>
            <w:tcW w:w="3119" w:type="dxa"/>
            <w:vAlign w:val="top"/>
          </w:tcPr>
          <w:p>
            <w:pPr>
              <w:pStyle w:val="TableText"/>
              <w:ind w:left="2488"/>
              <w:spacing w:before="88" w:line="182" w:lineRule="auto"/>
              <w:rPr/>
            </w:pPr>
            <w:r>
              <w:rPr>
                <w:spacing w:val="-1"/>
              </w:rPr>
              <w:t>46.72</w:t>
            </w:r>
          </w:p>
        </w:tc>
        <w:tc>
          <w:tcPr>
            <w:tcW w:w="3131" w:type="dxa"/>
            <w:vAlign w:val="top"/>
          </w:tcPr>
          <w:p>
            <w:pPr>
              <w:pStyle w:val="TableText"/>
              <w:ind w:left="2497"/>
              <w:spacing w:before="88" w:line="182" w:lineRule="auto"/>
              <w:rPr/>
            </w:pPr>
            <w:r>
              <w:rPr>
                <w:spacing w:val="-1"/>
              </w:rPr>
              <w:t>44.88</w:t>
            </w:r>
          </w:p>
        </w:tc>
      </w:tr>
      <w:tr>
        <w:trPr>
          <w:trHeight w:val="380" w:hRule="atLeast"/>
        </w:trPr>
        <w:tc>
          <w:tcPr>
            <w:shd w:val="clear" w:fill="D9D9D9"/>
            <w:tcW w:w="2804" w:type="dxa"/>
            <w:vAlign w:val="top"/>
          </w:tcPr>
          <w:p>
            <w:pPr>
              <w:rPr>
                <w:rFonts w:ascii="Arial"/>
                <w:sz w:val="21"/>
              </w:rPr>
            </w:pPr>
            <w:r/>
          </w:p>
        </w:tc>
        <w:tc>
          <w:tcPr>
            <w:shd w:val="clear" w:fill="D9D9D9"/>
            <w:tcW w:w="3119" w:type="dxa"/>
            <w:vAlign w:val="top"/>
          </w:tcPr>
          <w:p>
            <w:pPr>
              <w:pStyle w:val="TableText"/>
              <w:ind w:left="673"/>
              <w:spacing w:before="85" w:line="219" w:lineRule="auto"/>
              <w:rPr/>
            </w:pPr>
            <w:r>
              <w:rPr>
                <w:spacing w:val="-2"/>
              </w:rPr>
              <w:t>本报告期（1-6月）</w:t>
            </w:r>
          </w:p>
        </w:tc>
        <w:tc>
          <w:tcPr>
            <w:shd w:val="clear" w:fill="D9D9D9"/>
            <w:tcW w:w="3131" w:type="dxa"/>
            <w:vAlign w:val="top"/>
          </w:tcPr>
          <w:p>
            <w:pPr>
              <w:pStyle w:val="TableText"/>
              <w:ind w:left="1151"/>
              <w:spacing w:before="85" w:line="221" w:lineRule="auto"/>
              <w:rPr/>
            </w:pPr>
            <w:r>
              <w:rPr>
                <w:spacing w:val="-2"/>
              </w:rPr>
              <w:t>上年同期</w:t>
            </w:r>
          </w:p>
        </w:tc>
      </w:tr>
      <w:tr>
        <w:trPr>
          <w:trHeight w:val="320" w:hRule="atLeast"/>
        </w:trPr>
        <w:tc>
          <w:tcPr>
            <w:tcW w:w="2804" w:type="dxa"/>
            <w:vAlign w:val="top"/>
          </w:tcPr>
          <w:p>
            <w:pPr>
              <w:pStyle w:val="TableText"/>
              <w:ind w:left="113"/>
              <w:spacing w:before="55" w:line="221" w:lineRule="auto"/>
              <w:rPr/>
            </w:pPr>
            <w:r>
              <w:rPr>
                <w:spacing w:val="-2"/>
              </w:rPr>
              <w:t>EBITDA</w:t>
            </w:r>
            <w:r>
              <w:rPr>
                <w:spacing w:val="-33"/>
              </w:rPr>
              <w:t xml:space="preserve"> </w:t>
            </w:r>
            <w:r>
              <w:rPr>
                <w:spacing w:val="-2"/>
              </w:rPr>
              <w:t>利息保障倍数</w:t>
            </w:r>
          </w:p>
        </w:tc>
        <w:tc>
          <w:tcPr>
            <w:tcW w:w="3119" w:type="dxa"/>
            <w:vAlign w:val="top"/>
          </w:tcPr>
          <w:p>
            <w:pPr>
              <w:pStyle w:val="TableText"/>
              <w:ind w:left="2493"/>
              <w:spacing w:before="91" w:line="182" w:lineRule="auto"/>
              <w:rPr/>
            </w:pPr>
            <w:r>
              <w:rPr>
                <w:spacing w:val="-2"/>
              </w:rPr>
              <w:t>32.69</w:t>
            </w:r>
          </w:p>
        </w:tc>
        <w:tc>
          <w:tcPr>
            <w:tcW w:w="3131" w:type="dxa"/>
            <w:vAlign w:val="top"/>
          </w:tcPr>
          <w:p>
            <w:pPr>
              <w:pStyle w:val="TableText"/>
              <w:ind w:left="2502"/>
              <w:spacing w:before="91" w:line="182" w:lineRule="auto"/>
              <w:rPr/>
            </w:pPr>
            <w:r>
              <w:rPr>
                <w:spacing w:val="-2"/>
              </w:rPr>
              <w:t>30.98</w:t>
            </w:r>
          </w:p>
        </w:tc>
      </w:tr>
    </w:tbl>
    <w:p>
      <w:pPr>
        <w:pStyle w:val="BodyText"/>
        <w:ind w:left="721"/>
        <w:spacing w:before="50" w:line="221" w:lineRule="auto"/>
        <w:rPr/>
      </w:pPr>
      <w:r>
        <w:rPr>
          <w:spacing w:val="-1"/>
        </w:rPr>
        <w:t>注：表内为债券发行人联通运营公司之信息</w:t>
      </w:r>
    </w:p>
    <w:p>
      <w:pPr>
        <w:spacing w:line="302" w:lineRule="auto"/>
        <w:rPr>
          <w:rFonts w:ascii="Arial"/>
          <w:sz w:val="21"/>
        </w:rPr>
      </w:pPr>
      <w:r/>
    </w:p>
    <w:p>
      <w:pPr>
        <w:pStyle w:val="BodyText"/>
        <w:ind w:left="724"/>
        <w:spacing w:before="69" w:line="221" w:lineRule="auto"/>
        <w:rPr/>
      </w:pPr>
      <w:r>
        <w:rPr>
          <w:b/>
          <w:bCs/>
          <w:spacing w:val="-3"/>
        </w:rPr>
        <w:t>关于逾期债项的说明</w:t>
      </w:r>
    </w:p>
    <w:p>
      <w:pPr>
        <w:pStyle w:val="BodyText"/>
        <w:ind w:left="743"/>
        <w:spacing w:before="61" w:line="222" w:lineRule="auto"/>
        <w:rPr/>
      </w:pPr>
      <w:r>
        <w:rPr>
          <w:spacing w:val="-12"/>
        </w:rPr>
        <w:t>□适用</w:t>
      </w:r>
      <w:r>
        <w:rPr>
          <w:spacing w:val="-48"/>
        </w:rPr>
        <w:t xml:space="preserve"> </w:t>
      </w:r>
      <w:r>
        <w:rPr>
          <w:spacing w:val="-12"/>
        </w:rPr>
        <w:t>√不适用</w:t>
      </w:r>
    </w:p>
    <w:p>
      <w:pPr>
        <w:spacing w:line="306" w:lineRule="auto"/>
        <w:rPr>
          <w:rFonts w:ascii="Arial"/>
          <w:sz w:val="21"/>
        </w:rPr>
      </w:pPr>
      <w:r/>
    </w:p>
    <w:p>
      <w:pPr>
        <w:spacing w:line="306" w:lineRule="auto"/>
        <w:rPr>
          <w:rFonts w:ascii="Arial"/>
          <w:sz w:val="21"/>
        </w:rPr>
      </w:pPr>
      <w:r/>
    </w:p>
    <w:p>
      <w:pPr>
        <w:ind w:left="727"/>
        <w:spacing w:before="78" w:line="220" w:lineRule="auto"/>
        <w:outlineLvl w:val="1"/>
        <w:rPr>
          <w:rFonts w:ascii="SimHei" w:hAnsi="SimHei" w:eastAsia="SimHei" w:cs="SimHei"/>
          <w:sz w:val="24"/>
          <w:szCs w:val="24"/>
        </w:rPr>
      </w:pPr>
      <w:r>
        <w:rPr>
          <w:rFonts w:ascii="SimHei" w:hAnsi="SimHei" w:eastAsia="SimHei" w:cs="SimHei"/>
          <w:sz w:val="24"/>
          <w:szCs w:val="24"/>
          <w:b/>
          <w:bCs/>
          <w:spacing w:val="-5"/>
        </w:rPr>
        <w:t>三</w:t>
      </w:r>
      <w:r>
        <w:rPr>
          <w:rFonts w:ascii="SimHei" w:hAnsi="SimHei" w:eastAsia="SimHei" w:cs="SimHei"/>
          <w:sz w:val="24"/>
          <w:szCs w:val="24"/>
          <w:spacing w:val="78"/>
        </w:rPr>
        <w:t xml:space="preserve"> </w:t>
      </w:r>
      <w:r>
        <w:rPr>
          <w:rFonts w:ascii="SimHei" w:hAnsi="SimHei" w:eastAsia="SimHei" w:cs="SimHei"/>
          <w:sz w:val="24"/>
          <w:szCs w:val="24"/>
          <w:b/>
          <w:bCs/>
          <w:spacing w:val="-5"/>
        </w:rPr>
        <w:t>经营情况讨论与分析</w:t>
      </w:r>
    </w:p>
    <w:p>
      <w:pPr>
        <w:spacing w:line="379" w:lineRule="auto"/>
        <w:rPr>
          <w:rFonts w:ascii="Arial"/>
          <w:sz w:val="21"/>
        </w:rPr>
      </w:pPr>
      <w:r/>
    </w:p>
    <w:p>
      <w:pPr>
        <w:pStyle w:val="BodyText"/>
        <w:ind w:left="725"/>
        <w:spacing w:before="69" w:line="221" w:lineRule="auto"/>
        <w:outlineLvl w:val="1"/>
        <w:rPr/>
      </w:pPr>
      <w:r>
        <w:rPr>
          <w:b/>
          <w:bCs/>
          <w:spacing w:val="-3"/>
        </w:rPr>
        <w:t>3.1</w:t>
      </w:r>
      <w:r>
        <w:rPr>
          <w:spacing w:val="-3"/>
        </w:rPr>
        <w:t xml:space="preserve"> </w:t>
      </w:r>
      <w:r>
        <w:rPr>
          <w:b/>
          <w:bCs/>
          <w:spacing w:val="-3"/>
        </w:rPr>
        <w:t>经营情况的讨论与分析</w:t>
      </w:r>
    </w:p>
    <w:p>
      <w:pPr>
        <w:pStyle w:val="BodyText"/>
        <w:ind w:left="1141"/>
        <w:spacing w:before="216" w:line="219" w:lineRule="auto"/>
        <w:rPr/>
      </w:pPr>
      <w:r>
        <w:rPr>
          <w:b/>
          <w:bCs/>
          <w:spacing w:val="-2"/>
        </w:rPr>
        <w:t>第一部分：董事长报告书</w:t>
      </w:r>
    </w:p>
    <w:p>
      <w:pPr>
        <w:spacing w:line="282" w:lineRule="auto"/>
        <w:rPr>
          <w:rFonts w:ascii="Arial"/>
          <w:sz w:val="21"/>
        </w:rPr>
      </w:pPr>
      <w:r/>
    </w:p>
    <w:p>
      <w:pPr>
        <w:pStyle w:val="BodyText"/>
        <w:ind w:left="723" w:right="383" w:firstLine="420"/>
        <w:spacing w:before="69" w:line="308" w:lineRule="auto"/>
        <w:jc w:val="both"/>
        <w:rPr/>
      </w:pPr>
      <w:r>
        <w:rPr>
          <w:spacing w:val="-1"/>
        </w:rPr>
        <w:t>2019</w:t>
      </w:r>
      <w:r>
        <w:rPr>
          <w:spacing w:val="-46"/>
        </w:rPr>
        <w:t xml:space="preserve"> </w:t>
      </w:r>
      <w:r>
        <w:rPr>
          <w:spacing w:val="-1"/>
        </w:rPr>
        <w:t>年上半年，面对更加复杂的外部环境和行业发展的新挑战，公</w:t>
      </w:r>
      <w:r>
        <w:rPr>
          <w:spacing w:val="-2"/>
        </w:rPr>
        <w:t>司深化实施聚焦创新合作</w:t>
      </w:r>
      <w:r>
        <w:rPr/>
        <w:t xml:space="preserve"> </w:t>
      </w:r>
      <w:r>
        <w:rPr/>
        <w:t>战略，加快互联网化运营转型，纵深推进混改，创新业务持续快速增长，发展质量和效益明显提</w:t>
      </w:r>
      <w:r>
        <w:rPr>
          <w:spacing w:val="6"/>
        </w:rPr>
        <w:t xml:space="preserve"> </w:t>
      </w:r>
      <w:r>
        <w:rPr>
          <w:spacing w:val="-1"/>
        </w:rPr>
        <w:t>升，企业活力不断增强，“五新</w:t>
      </w:r>
      <w:r>
        <w:rPr>
          <w:spacing w:val="-80"/>
        </w:rPr>
        <w:t xml:space="preserve"> </w:t>
      </w:r>
      <w:r>
        <w:rPr>
          <w:spacing w:val="-1"/>
        </w:rPr>
        <w:t>”联通建设不断迈出坚实步</w:t>
      </w:r>
      <w:r>
        <w:rPr>
          <w:spacing w:val="-2"/>
        </w:rPr>
        <w:t>伐。</w:t>
      </w:r>
    </w:p>
    <w:p>
      <w:pPr>
        <w:pStyle w:val="BodyText"/>
        <w:ind w:left="1152"/>
        <w:spacing w:before="131" w:line="221" w:lineRule="auto"/>
        <w:outlineLvl w:val="2"/>
        <w:rPr/>
      </w:pPr>
      <w:r>
        <w:rPr>
          <w:b/>
          <w:bCs/>
          <w:spacing w:val="-5"/>
        </w:rPr>
        <w:t>（一）整体业绩</w:t>
      </w:r>
    </w:p>
    <w:p>
      <w:pPr>
        <w:pStyle w:val="BodyText"/>
        <w:ind w:left="720" w:right="312" w:firstLine="423"/>
        <w:spacing w:before="269" w:line="310" w:lineRule="auto"/>
        <w:jc w:val="both"/>
        <w:rPr/>
      </w:pPr>
      <w:r>
        <w:rPr>
          <w:spacing w:val="-1"/>
        </w:rPr>
        <w:t>2019</w:t>
      </w:r>
      <w:r>
        <w:rPr>
          <w:spacing w:val="-45"/>
        </w:rPr>
        <w:t xml:space="preserve"> </w:t>
      </w:r>
      <w:r>
        <w:rPr>
          <w:spacing w:val="-1"/>
        </w:rPr>
        <w:t>年上半年，伴随国内通信行业步入发展的阵痛期，公司收入</w:t>
      </w:r>
      <w:r>
        <w:rPr>
          <w:spacing w:val="-2"/>
        </w:rPr>
        <w:t>增长面临压力，主营业务收</w:t>
      </w:r>
      <w:r>
        <w:rPr/>
        <w:t xml:space="preserve"> </w:t>
      </w:r>
      <w:r>
        <w:rPr>
          <w:spacing w:val="-5"/>
        </w:rPr>
        <w:t>入实现人民币</w:t>
      </w:r>
      <w:r>
        <w:rPr>
          <w:spacing w:val="-28"/>
        </w:rPr>
        <w:t xml:space="preserve"> </w:t>
      </w:r>
      <w:r>
        <w:rPr>
          <w:spacing w:val="-5"/>
        </w:rPr>
        <w:t>1,330</w:t>
      </w:r>
      <w:r>
        <w:rPr>
          <w:spacing w:val="-45"/>
        </w:rPr>
        <w:t xml:space="preserve"> </w:t>
      </w:r>
      <w:r>
        <w:rPr>
          <w:spacing w:val="-5"/>
        </w:rPr>
        <w:t>亿元，同比下降</w:t>
      </w:r>
      <w:r>
        <w:rPr>
          <w:spacing w:val="-29"/>
        </w:rPr>
        <w:t xml:space="preserve"> </w:t>
      </w:r>
      <w:r>
        <w:rPr>
          <w:spacing w:val="-5"/>
        </w:rPr>
        <w:t>1.1%。公司坚持新发展理念，转换创新发展新动能，控成</w:t>
      </w:r>
      <w:r>
        <w:rPr>
          <w:spacing w:val="-6"/>
        </w:rPr>
        <w:t>本、</w:t>
      </w:r>
      <w:r>
        <w:rPr/>
        <w:t xml:space="preserve"> </w:t>
      </w:r>
      <w:r>
        <w:rPr>
          <w:spacing w:val="-1"/>
        </w:rPr>
        <w:t>提效益，盈利持续快速提升。EBITDA</w:t>
      </w:r>
      <w:r>
        <w:rPr>
          <w:spacing w:val="-47"/>
        </w:rPr>
        <w:t xml:space="preserve"> </w:t>
      </w:r>
      <w:r>
        <w:rPr>
          <w:spacing w:val="-1"/>
        </w:rPr>
        <w:t>达到人民币496</w:t>
      </w:r>
      <w:r>
        <w:rPr>
          <w:spacing w:val="-44"/>
        </w:rPr>
        <w:t xml:space="preserve"> </w:t>
      </w:r>
      <w:r>
        <w:rPr>
          <w:spacing w:val="-1"/>
        </w:rPr>
        <w:t>亿元</w:t>
      </w:r>
      <w:r>
        <w:rPr>
          <w:spacing w:val="-2"/>
        </w:rPr>
        <w:t>，同比增长</w:t>
      </w:r>
      <w:r>
        <w:rPr>
          <w:spacing w:val="-43"/>
        </w:rPr>
        <w:t xml:space="preserve"> </w:t>
      </w:r>
      <w:r>
        <w:rPr>
          <w:spacing w:val="-2"/>
        </w:rPr>
        <w:t>8.3%；利润总额达到人民币</w:t>
      </w:r>
      <w:r>
        <w:rPr/>
        <w:t xml:space="preserve"> </w:t>
      </w:r>
      <w:r>
        <w:rPr>
          <w:spacing w:val="-2"/>
        </w:rPr>
        <w:t>87</w:t>
      </w:r>
      <w:r>
        <w:rPr>
          <w:spacing w:val="-40"/>
        </w:rPr>
        <w:t xml:space="preserve"> </w:t>
      </w:r>
      <w:r>
        <w:rPr>
          <w:spacing w:val="-2"/>
        </w:rPr>
        <w:t>亿元，归属于母公司净利润达到人民币</w:t>
      </w:r>
      <w:r>
        <w:rPr>
          <w:spacing w:val="-40"/>
        </w:rPr>
        <w:t xml:space="preserve"> </w:t>
      </w:r>
      <w:r>
        <w:rPr>
          <w:spacing w:val="-2"/>
        </w:rPr>
        <w:t>30</w:t>
      </w:r>
      <w:r>
        <w:rPr>
          <w:spacing w:val="-45"/>
        </w:rPr>
        <w:t xml:space="preserve"> </w:t>
      </w:r>
      <w:r>
        <w:rPr>
          <w:spacing w:val="-2"/>
        </w:rPr>
        <w:t>亿元，同比增长</w:t>
      </w:r>
      <w:r>
        <w:rPr>
          <w:spacing w:val="-28"/>
        </w:rPr>
        <w:t xml:space="preserve"> </w:t>
      </w:r>
      <w:r>
        <w:rPr>
          <w:spacing w:val="-2"/>
        </w:rPr>
        <w:t>17%。</w:t>
      </w:r>
    </w:p>
    <w:p>
      <w:pPr>
        <w:spacing w:line="310" w:lineRule="auto"/>
        <w:sectPr>
          <w:headerReference w:type="default" r:id="rId9"/>
          <w:footerReference w:type="default" r:id="rId10"/>
          <w:pgSz w:w="11907" w:h="16839"/>
          <w:pgMar w:top="1391" w:right="883" w:bottom="1374" w:left="1087" w:header="842" w:footer="1212" w:gutter="0"/>
        </w:sectPr>
        <w:rPr/>
      </w:pPr>
    </w:p>
    <w:p>
      <w:pPr>
        <w:pStyle w:val="BodyText"/>
        <w:ind w:left="40" w:right="74" w:firstLine="423"/>
        <w:spacing w:before="245" w:line="307" w:lineRule="auto"/>
        <w:jc w:val="both"/>
        <w:rPr/>
      </w:pPr>
      <w:r>
        <w:rPr/>
        <w:t>公司坚持精准投资和共享合作，提升投资效能。上半年资本开支继续得到有效控制，为人民 </w:t>
      </w:r>
      <w:r>
        <w:rPr>
          <w:spacing w:val="-1"/>
        </w:rPr>
        <w:t>币</w:t>
      </w:r>
      <w:r>
        <w:rPr>
          <w:spacing w:val="-40"/>
        </w:rPr>
        <w:t xml:space="preserve"> </w:t>
      </w:r>
      <w:r>
        <w:rPr>
          <w:spacing w:val="-1"/>
        </w:rPr>
        <w:t>220</w:t>
      </w:r>
      <w:r>
        <w:rPr>
          <w:spacing w:val="-41"/>
        </w:rPr>
        <w:t xml:space="preserve"> </w:t>
      </w:r>
      <w:r>
        <w:rPr>
          <w:spacing w:val="-1"/>
        </w:rPr>
        <w:t>亿元。得益于良好的支出管控，自由现金流保持强劲，达到人民币</w:t>
      </w:r>
      <w:r>
        <w:rPr>
          <w:spacing w:val="-39"/>
        </w:rPr>
        <w:t xml:space="preserve"> </w:t>
      </w:r>
      <w:r>
        <w:rPr>
          <w:spacing w:val="-1"/>
        </w:rPr>
        <w:t>215</w:t>
      </w:r>
      <w:r>
        <w:rPr>
          <w:spacing w:val="-41"/>
        </w:rPr>
        <w:t xml:space="preserve"> </w:t>
      </w:r>
      <w:r>
        <w:rPr>
          <w:spacing w:val="-1"/>
        </w:rPr>
        <w:t>亿元，公司财务实</w:t>
      </w:r>
      <w:r>
        <w:rPr/>
        <w:t xml:space="preserve"> </w:t>
      </w:r>
      <w:r>
        <w:rPr>
          <w:spacing w:val="-1"/>
        </w:rPr>
        <w:t>力持续增强，财务状况更加稳健。</w:t>
      </w:r>
    </w:p>
    <w:p>
      <w:pPr>
        <w:pStyle w:val="BodyText"/>
        <w:ind w:left="468"/>
        <w:spacing w:before="131" w:line="221" w:lineRule="auto"/>
        <w:outlineLvl w:val="2"/>
        <w:rPr/>
      </w:pPr>
      <w:r>
        <w:rPr>
          <w:b/>
          <w:bCs/>
          <w:spacing w:val="-5"/>
        </w:rPr>
        <w:t>（二）业务发展</w:t>
      </w:r>
    </w:p>
    <w:p>
      <w:pPr>
        <w:pStyle w:val="BodyText"/>
        <w:ind w:left="36" w:right="74" w:firstLine="423"/>
        <w:spacing w:before="273" w:line="307" w:lineRule="auto"/>
        <w:jc w:val="both"/>
        <w:rPr/>
      </w:pPr>
      <w:r>
        <w:rPr>
          <w:spacing w:val="-1"/>
        </w:rPr>
        <w:t>2019</w:t>
      </w:r>
      <w:r>
        <w:rPr>
          <w:spacing w:val="-45"/>
        </w:rPr>
        <w:t xml:space="preserve"> </w:t>
      </w:r>
      <w:r>
        <w:rPr>
          <w:spacing w:val="-1"/>
        </w:rPr>
        <w:t>年上半年，国内通信行业收入同比负增长。公司直面行业发</w:t>
      </w:r>
      <w:r>
        <w:rPr>
          <w:spacing w:val="-2"/>
        </w:rPr>
        <w:t>展的新挑战，积极推动基础</w:t>
      </w:r>
      <w:r>
        <w:rPr/>
        <w:t xml:space="preserve"> </w:t>
      </w:r>
      <w:r>
        <w:rPr/>
        <w:t>业务创新经营的同时，加快创新业务能力培养和规模发展，创新业务保持强劲增长势头，带动主</w:t>
      </w:r>
      <w:r>
        <w:rPr>
          <w:spacing w:val="9"/>
        </w:rPr>
        <w:t xml:space="preserve"> </w:t>
      </w:r>
      <w:r>
        <w:rPr>
          <w:spacing w:val="-1"/>
        </w:rPr>
        <w:t>营业务收入结构持续优化。</w:t>
      </w:r>
    </w:p>
    <w:p>
      <w:pPr>
        <w:pStyle w:val="BodyText"/>
        <w:ind w:left="464"/>
        <w:spacing w:before="131" w:line="220" w:lineRule="auto"/>
        <w:rPr/>
      </w:pPr>
      <w:r>
        <w:rPr>
          <w:b/>
          <w:bCs/>
          <w:spacing w:val="-2"/>
        </w:rPr>
        <w:t>持续推动互联网化运营转型，促进移动业务高质量可持续发展</w:t>
      </w:r>
    </w:p>
    <w:p>
      <w:pPr>
        <w:pStyle w:val="BodyText"/>
        <w:ind w:left="37" w:firstLine="422"/>
        <w:spacing w:before="270" w:line="314" w:lineRule="auto"/>
        <w:jc w:val="both"/>
        <w:rPr/>
      </w:pPr>
      <w:r>
        <w:rPr>
          <w:spacing w:val="-1"/>
        </w:rPr>
        <w:t>2019</w:t>
      </w:r>
      <w:r>
        <w:rPr>
          <w:spacing w:val="-46"/>
        </w:rPr>
        <w:t xml:space="preserve"> </w:t>
      </w:r>
      <w:r>
        <w:rPr>
          <w:spacing w:val="-1"/>
        </w:rPr>
        <w:t>年上半年，面对移动业务发展的困难与挑战，公司</w:t>
      </w:r>
      <w:r>
        <w:rPr>
          <w:spacing w:val="-2"/>
        </w:rPr>
        <w:t>坚持差异化经营，聚焦产品、渠道和</w:t>
      </w:r>
      <w:r>
        <w:rPr/>
        <w:t xml:space="preserve"> </w:t>
      </w:r>
      <w:r>
        <w:rPr/>
        <w:t>营销，加大力度推动互联网化运营转型，努力避免简单价格战，促进高质量可持续发展。公司着</w:t>
      </w:r>
      <w:r>
        <w:rPr>
          <w:spacing w:val="8"/>
        </w:rPr>
        <w:t xml:space="preserve"> </w:t>
      </w:r>
      <w:r>
        <w:rPr>
          <w:spacing w:val="5"/>
        </w:rPr>
        <w:t>力提升产品差异化优势，细分客户，强化融合、会员权益及金融分期等功能叠加。拓展“轻触</w:t>
      </w:r>
      <w:r>
        <w:rPr>
          <w:spacing w:val="11"/>
        </w:rPr>
        <w:t xml:space="preserve"> </w:t>
      </w:r>
      <w:r>
        <w:rPr>
          <w:spacing w:val="-1"/>
        </w:rPr>
        <w:t>点</w:t>
      </w:r>
      <w:r>
        <w:rPr>
          <w:spacing w:val="-77"/>
        </w:rPr>
        <w:t xml:space="preserve"> </w:t>
      </w:r>
      <w:r>
        <w:rPr>
          <w:spacing w:val="-1"/>
        </w:rPr>
        <w:t>”“薄补贴</w:t>
      </w:r>
      <w:r>
        <w:rPr>
          <w:spacing w:val="-79"/>
        </w:rPr>
        <w:t xml:space="preserve"> </w:t>
      </w:r>
      <w:r>
        <w:rPr>
          <w:spacing w:val="-1"/>
        </w:rPr>
        <w:t>”发展模式，提升用户发展效益。深化线上线下全触点统一运营，精耕细</w:t>
      </w:r>
      <w:r>
        <w:rPr>
          <w:spacing w:val="-2"/>
        </w:rPr>
        <w:t>作存量经</w:t>
      </w:r>
      <w:r>
        <w:rPr/>
        <w:t xml:space="preserve"> </w:t>
      </w:r>
      <w:r>
        <w:rPr>
          <w:spacing w:val="3"/>
        </w:rPr>
        <w:t>营，以大数据赋能，促进用户维护和价值提升。受提速降</w:t>
      </w:r>
      <w:r>
        <w:rPr>
          <w:spacing w:val="2"/>
        </w:rPr>
        <w:t>费、市场饱和、激烈市场竞争以及 4G</w:t>
      </w:r>
      <w:r>
        <w:rPr/>
        <w:t xml:space="preserve"> </w:t>
      </w:r>
      <w:r>
        <w:rPr>
          <w:spacing w:val="-4"/>
        </w:rPr>
        <w:t>流量红利逐步消退的影响，上半年，公司实</w:t>
      </w:r>
      <w:r>
        <w:rPr>
          <w:spacing w:val="-5"/>
        </w:rPr>
        <w:t>现移动主营业务收入人民币</w:t>
      </w:r>
      <w:r>
        <w:rPr>
          <w:spacing w:val="-39"/>
        </w:rPr>
        <w:t xml:space="preserve"> </w:t>
      </w:r>
      <w:r>
        <w:rPr>
          <w:spacing w:val="-5"/>
        </w:rPr>
        <w:t>787</w:t>
      </w:r>
      <w:r>
        <w:rPr>
          <w:spacing w:val="-42"/>
        </w:rPr>
        <w:t xml:space="preserve"> </w:t>
      </w:r>
      <w:r>
        <w:rPr>
          <w:spacing w:val="-5"/>
        </w:rPr>
        <w:t>亿元，同比下降</w:t>
      </w:r>
      <w:r>
        <w:rPr>
          <w:spacing w:val="-45"/>
        </w:rPr>
        <w:t xml:space="preserve"> </w:t>
      </w:r>
      <w:r>
        <w:rPr>
          <w:spacing w:val="-5"/>
        </w:rPr>
        <w:t>6.6%。</w:t>
      </w:r>
      <w:r>
        <w:rPr/>
        <w:t xml:space="preserve"> </w:t>
      </w:r>
      <w:r>
        <w:rPr>
          <w:spacing w:val="-5"/>
        </w:rPr>
        <w:t>移动出账用户净增</w:t>
      </w:r>
      <w:r>
        <w:rPr>
          <w:spacing w:val="-44"/>
        </w:rPr>
        <w:t xml:space="preserve"> </w:t>
      </w:r>
      <w:r>
        <w:rPr>
          <w:spacing w:val="-5"/>
        </w:rPr>
        <w:t>932</w:t>
      </w:r>
      <w:r>
        <w:rPr>
          <w:spacing w:val="-36"/>
        </w:rPr>
        <w:t xml:space="preserve"> </w:t>
      </w:r>
      <w:r>
        <w:rPr>
          <w:spacing w:val="-5"/>
        </w:rPr>
        <w:t>万户，总数达到</w:t>
      </w:r>
      <w:r>
        <w:rPr>
          <w:spacing w:val="-39"/>
        </w:rPr>
        <w:t xml:space="preserve"> </w:t>
      </w:r>
      <w:r>
        <w:rPr>
          <w:spacing w:val="-5"/>
        </w:rPr>
        <w:t>3.2</w:t>
      </w:r>
      <w:r>
        <w:rPr>
          <w:spacing w:val="-41"/>
        </w:rPr>
        <w:t xml:space="preserve"> </w:t>
      </w:r>
      <w:r>
        <w:rPr>
          <w:spacing w:val="-5"/>
        </w:rPr>
        <w:t>亿户</w:t>
      </w:r>
      <w:r>
        <w:rPr>
          <w:spacing w:val="-6"/>
        </w:rPr>
        <w:t>。其中，</w:t>
      </w:r>
      <w:r>
        <w:rPr>
          <w:spacing w:val="52"/>
        </w:rPr>
        <w:t xml:space="preserve"> </w:t>
      </w:r>
      <w:r>
        <w:rPr>
          <w:spacing w:val="-6"/>
        </w:rPr>
        <w:t>4G</w:t>
      </w:r>
      <w:r>
        <w:rPr>
          <w:spacing w:val="-42"/>
        </w:rPr>
        <w:t xml:space="preserve"> </w:t>
      </w:r>
      <w:r>
        <w:rPr>
          <w:spacing w:val="-6"/>
        </w:rPr>
        <w:t>用户净增</w:t>
      </w:r>
      <w:r>
        <w:rPr>
          <w:spacing w:val="-26"/>
        </w:rPr>
        <w:t xml:space="preserve"> </w:t>
      </w:r>
      <w:r>
        <w:rPr>
          <w:spacing w:val="-6"/>
        </w:rPr>
        <w:t>1,901</w:t>
      </w:r>
      <w:r>
        <w:rPr>
          <w:spacing w:val="-38"/>
        </w:rPr>
        <w:t xml:space="preserve"> </w:t>
      </w:r>
      <w:r>
        <w:rPr>
          <w:spacing w:val="-6"/>
        </w:rPr>
        <w:t>万户，总数接近</w:t>
      </w:r>
      <w:r>
        <w:rPr>
          <w:spacing w:val="-40"/>
        </w:rPr>
        <w:t xml:space="preserve"> </w:t>
      </w:r>
      <w:r>
        <w:rPr>
          <w:spacing w:val="-6"/>
        </w:rPr>
        <w:t>2.4</w:t>
      </w:r>
      <w:r>
        <w:rPr/>
        <w:t xml:space="preserve"> </w:t>
      </w:r>
      <w:r>
        <w:rPr>
          <w:spacing w:val="-2"/>
        </w:rPr>
        <w:t>亿户，4G</w:t>
      </w:r>
      <w:r>
        <w:rPr>
          <w:spacing w:val="-43"/>
        </w:rPr>
        <w:t xml:space="preserve"> </w:t>
      </w:r>
      <w:r>
        <w:rPr>
          <w:spacing w:val="-2"/>
        </w:rPr>
        <w:t>用户市场份额同比提高</w:t>
      </w:r>
      <w:r>
        <w:rPr>
          <w:spacing w:val="-42"/>
        </w:rPr>
        <w:t xml:space="preserve"> </w:t>
      </w:r>
      <w:r>
        <w:rPr>
          <w:spacing w:val="-2"/>
        </w:rPr>
        <w:t>0.8</w:t>
      </w:r>
      <w:r>
        <w:rPr>
          <w:spacing w:val="-46"/>
        </w:rPr>
        <w:t xml:space="preserve"> </w:t>
      </w:r>
      <w:r>
        <w:rPr>
          <w:spacing w:val="-2"/>
        </w:rPr>
        <w:t>个百分点。4G</w:t>
      </w:r>
      <w:r>
        <w:rPr>
          <w:spacing w:val="-45"/>
        </w:rPr>
        <w:t xml:space="preserve"> </w:t>
      </w:r>
      <w:r>
        <w:rPr>
          <w:spacing w:val="-2"/>
        </w:rPr>
        <w:t>用户对移动出账用户渗透率达到</w:t>
      </w:r>
      <w:r>
        <w:rPr>
          <w:spacing w:val="-38"/>
        </w:rPr>
        <w:t xml:space="preserve"> </w:t>
      </w:r>
      <w:r>
        <w:rPr>
          <w:spacing w:val="-2"/>
        </w:rPr>
        <w:t>74%，同比提</w:t>
      </w:r>
      <w:r>
        <w:rPr/>
        <w:t xml:space="preserve"> </w:t>
      </w:r>
      <w:r>
        <w:rPr>
          <w:spacing w:val="-3"/>
        </w:rPr>
        <w:t>升</w:t>
      </w:r>
      <w:r>
        <w:rPr>
          <w:spacing w:val="-43"/>
        </w:rPr>
        <w:t xml:space="preserve"> </w:t>
      </w:r>
      <w:r>
        <w:rPr>
          <w:spacing w:val="-3"/>
        </w:rPr>
        <w:t>6.4</w:t>
      </w:r>
      <w:r>
        <w:rPr>
          <w:spacing w:val="-46"/>
        </w:rPr>
        <w:t xml:space="preserve"> </w:t>
      </w:r>
      <w:r>
        <w:rPr>
          <w:spacing w:val="-3"/>
        </w:rPr>
        <w:t>个百分点，移动用户结构持续改善。公司落实提速降费，手机上网</w:t>
      </w:r>
      <w:r>
        <w:rPr>
          <w:spacing w:val="-4"/>
        </w:rPr>
        <w:t>流量单价同比大幅下降，</w:t>
      </w:r>
      <w:r>
        <w:rPr/>
        <w:t xml:space="preserve"> </w:t>
      </w:r>
      <w:r>
        <w:rPr>
          <w:spacing w:val="-1"/>
        </w:rPr>
        <w:t>手机上网总流量增长</w:t>
      </w:r>
      <w:r>
        <w:rPr>
          <w:spacing w:val="-40"/>
        </w:rPr>
        <w:t xml:space="preserve"> </w:t>
      </w:r>
      <w:r>
        <w:rPr>
          <w:spacing w:val="-1"/>
        </w:rPr>
        <w:t>62%，手机用户月户均数据流量达到约</w:t>
      </w:r>
      <w:r>
        <w:rPr>
          <w:spacing w:val="-39"/>
        </w:rPr>
        <w:t xml:space="preserve"> </w:t>
      </w:r>
      <w:r>
        <w:rPr>
          <w:spacing w:val="-1"/>
        </w:rPr>
        <w:t>7GB。</w:t>
      </w:r>
    </w:p>
    <w:p>
      <w:pPr>
        <w:pStyle w:val="BodyText"/>
        <w:ind w:left="22" w:right="74" w:firstLine="440"/>
        <w:spacing w:before="33" w:line="311" w:lineRule="auto"/>
        <w:jc w:val="both"/>
        <w:rPr/>
      </w:pPr>
      <w:r>
        <w:rPr>
          <w:spacing w:val="7"/>
        </w:rPr>
        <w:t>下半年，公司将充分发挥 </w:t>
      </w:r>
      <w:r>
        <w:rPr/>
        <w:t>LTE</w:t>
      </w:r>
      <w:r>
        <w:rPr>
          <w:spacing w:val="7"/>
        </w:rPr>
        <w:t xml:space="preserve"> 900</w:t>
      </w:r>
      <w:r>
        <w:rPr/>
        <w:t>MHz</w:t>
      </w:r>
      <w:r>
        <w:rPr>
          <w:spacing w:val="7"/>
        </w:rPr>
        <w:t xml:space="preserve"> 4G</w:t>
      </w:r>
      <w:r>
        <w:rPr>
          <w:spacing w:val="36"/>
        </w:rPr>
        <w:t xml:space="preserve"> </w:t>
      </w:r>
      <w:r>
        <w:rPr>
          <w:spacing w:val="7"/>
        </w:rPr>
        <w:t>网络的深度覆盖和农村区域广覆盖优势，强化</w:t>
      </w:r>
      <w:r>
        <w:rPr/>
        <w:t xml:space="preserve"> </w:t>
      </w:r>
      <w:r>
        <w:rPr>
          <w:spacing w:val="-2"/>
        </w:rPr>
        <w:t>“5G+4G”精品网对业务发展的支撑能力；优化互联网化产品体系，严控用户发展成本及超低资费</w:t>
      </w:r>
      <w:r>
        <w:rPr>
          <w:spacing w:val="5"/>
        </w:rPr>
        <w:t xml:space="preserve"> </w:t>
      </w:r>
      <w:r>
        <w:rPr/>
        <w:t>套餐，提升发展质量；强化融合经营，加大“通信能力+智能硬件+内容应用</w:t>
      </w:r>
      <w:r>
        <w:rPr>
          <w:spacing w:val="-79"/>
        </w:rPr>
        <w:t xml:space="preserve"> </w:t>
      </w:r>
      <w:r>
        <w:rPr/>
        <w:t>”新型产品推</w:t>
      </w:r>
      <w:r>
        <w:rPr>
          <w:spacing w:val="-1"/>
        </w:rPr>
        <w:t>广；以</w:t>
      </w:r>
      <w:r>
        <w:rPr/>
        <w:t xml:space="preserve"> </w:t>
      </w:r>
      <w:r>
        <w:rPr>
          <w:spacing w:val="1"/>
        </w:rPr>
        <w:t>差异化产品和服务提升用户感知，积极应对携号转网</w:t>
      </w:r>
      <w:r>
        <w:rPr/>
        <w:t>挑战，全力推动移动业务收入企稳回升。今 </w:t>
      </w:r>
      <w:r>
        <w:rPr>
          <w:spacing w:val="-3"/>
        </w:rPr>
        <w:t>年</w:t>
      </w:r>
      <w:r>
        <w:rPr>
          <w:spacing w:val="-31"/>
        </w:rPr>
        <w:t xml:space="preserve"> </w:t>
      </w:r>
      <w:r>
        <w:rPr>
          <w:spacing w:val="-3"/>
        </w:rPr>
        <w:t>7</w:t>
      </w:r>
      <w:r>
        <w:rPr>
          <w:spacing w:val="-39"/>
        </w:rPr>
        <w:t xml:space="preserve"> </w:t>
      </w:r>
      <w:r>
        <w:rPr>
          <w:spacing w:val="-3"/>
        </w:rPr>
        <w:t>月份公司移动主营业务收入环比</w:t>
      </w:r>
      <w:r>
        <w:rPr>
          <w:spacing w:val="-43"/>
        </w:rPr>
        <w:t xml:space="preserve"> </w:t>
      </w:r>
      <w:r>
        <w:rPr>
          <w:spacing w:val="-3"/>
        </w:rPr>
        <w:t>6</w:t>
      </w:r>
      <w:r>
        <w:rPr>
          <w:spacing w:val="-38"/>
        </w:rPr>
        <w:t xml:space="preserve"> </w:t>
      </w:r>
      <w:r>
        <w:rPr>
          <w:spacing w:val="-3"/>
        </w:rPr>
        <w:t>月提升</w:t>
      </w:r>
      <w:r>
        <w:rPr>
          <w:spacing w:val="-29"/>
        </w:rPr>
        <w:t xml:space="preserve"> </w:t>
      </w:r>
      <w:r>
        <w:rPr>
          <w:spacing w:val="-3"/>
        </w:rPr>
        <w:t>1.6%。</w:t>
      </w:r>
    </w:p>
    <w:p>
      <w:pPr>
        <w:pStyle w:val="BodyText"/>
        <w:ind w:left="461"/>
        <w:spacing w:before="130" w:line="221" w:lineRule="auto"/>
        <w:rPr/>
      </w:pPr>
      <w:r>
        <w:rPr>
          <w:b/>
          <w:bCs/>
          <w:spacing w:val="-2"/>
        </w:rPr>
        <w:t>积极应对异常激烈的固网宽带竞争，构筑面向未来的竞争优势</w:t>
      </w:r>
    </w:p>
    <w:p>
      <w:pPr>
        <w:pStyle w:val="BodyText"/>
        <w:ind w:left="38" w:right="18" w:firstLine="420"/>
        <w:spacing w:before="273" w:line="312" w:lineRule="auto"/>
        <w:jc w:val="both"/>
        <w:rPr/>
      </w:pPr>
      <w:r>
        <w:rPr>
          <w:spacing w:val="-1"/>
        </w:rPr>
        <w:t>2019</w:t>
      </w:r>
      <w:r>
        <w:rPr>
          <w:spacing w:val="-45"/>
        </w:rPr>
        <w:t xml:space="preserve"> </w:t>
      </w:r>
      <w:r>
        <w:rPr>
          <w:spacing w:val="-1"/>
        </w:rPr>
        <w:t>年上半年，公司以“大视频、大融合、大带宽”，积极应对宽带市场的激烈竞争挑</w:t>
      </w:r>
      <w:r>
        <w:rPr>
          <w:spacing w:val="-2"/>
        </w:rPr>
        <w:t>战。</w:t>
      </w:r>
      <w:r>
        <w:rPr/>
        <w:t xml:space="preserve"> </w:t>
      </w:r>
      <w:r>
        <w:rPr>
          <w:spacing w:val="-3"/>
        </w:rPr>
        <w:t>突出高速带宽优势，在北方主导区域及南方重点城市发</w:t>
      </w:r>
      <w:r>
        <w:rPr>
          <w:spacing w:val="-4"/>
        </w:rPr>
        <w:t>力千兆高品质宽带，加快提升资源利用率，</w:t>
      </w:r>
      <w:r>
        <w:rPr/>
        <w:t xml:space="preserve"> </w:t>
      </w:r>
      <w:r>
        <w:rPr>
          <w:spacing w:val="-3"/>
        </w:rPr>
        <w:t>并深度推进南方宽带合作。打造宽带</w:t>
      </w:r>
      <w:r>
        <w:rPr>
          <w:spacing w:val="-28"/>
        </w:rPr>
        <w:t xml:space="preserve"> </w:t>
      </w:r>
      <w:r>
        <w:rPr>
          <w:spacing w:val="-3"/>
        </w:rPr>
        <w:t>2I2H、2B2H</w:t>
      </w:r>
      <w:r>
        <w:rPr>
          <w:spacing w:val="-37"/>
        </w:rPr>
        <w:t xml:space="preserve"> </w:t>
      </w:r>
      <w:r>
        <w:rPr>
          <w:spacing w:val="-3"/>
        </w:rPr>
        <w:t>营销新模式，提升营销能力。借力战略投资者优</w:t>
      </w:r>
      <w:r>
        <w:rPr/>
        <w:t xml:space="preserve"> </w:t>
      </w:r>
      <w:r>
        <w:rPr/>
        <w:t>势资源，丰富优质视频内容及各类权益应用，增强用</w:t>
      </w:r>
      <w:r>
        <w:rPr>
          <w:spacing w:val="-1"/>
        </w:rPr>
        <w:t>户粘性。集中开展“</w:t>
      </w:r>
      <w:r>
        <w:rPr>
          <w:spacing w:val="-78"/>
        </w:rPr>
        <w:t xml:space="preserve"> </w:t>
      </w:r>
      <w:r>
        <w:rPr>
          <w:spacing w:val="-1"/>
        </w:rPr>
        <w:t>固网宽带+移网号码+智</w:t>
      </w:r>
      <w:r>
        <w:rPr/>
        <w:t xml:space="preserve"> </w:t>
      </w:r>
      <w:r>
        <w:rPr>
          <w:spacing w:val="-3"/>
        </w:rPr>
        <w:t>能硬件</w:t>
      </w:r>
      <w:r>
        <w:rPr>
          <w:spacing w:val="-77"/>
        </w:rPr>
        <w:t xml:space="preserve"> </w:t>
      </w:r>
      <w:r>
        <w:rPr>
          <w:spacing w:val="-3"/>
        </w:rPr>
        <w:t>”融合发展，加快布局推广“沃家固话</w:t>
      </w:r>
      <w:r>
        <w:rPr>
          <w:spacing w:val="-80"/>
        </w:rPr>
        <w:t xml:space="preserve"> </w:t>
      </w:r>
      <w:r>
        <w:rPr>
          <w:spacing w:val="-3"/>
        </w:rPr>
        <w:t>”“沃家组网</w:t>
      </w:r>
      <w:r>
        <w:rPr>
          <w:spacing w:val="-79"/>
        </w:rPr>
        <w:t xml:space="preserve"> </w:t>
      </w:r>
      <w:r>
        <w:rPr>
          <w:spacing w:val="-3"/>
        </w:rPr>
        <w:t>”“沃家神眼</w:t>
      </w:r>
      <w:r>
        <w:rPr>
          <w:spacing w:val="-77"/>
        </w:rPr>
        <w:t xml:space="preserve"> </w:t>
      </w:r>
      <w:r>
        <w:rPr>
          <w:spacing w:val="-3"/>
        </w:rPr>
        <w:t>”“沃家视频</w:t>
      </w:r>
      <w:r>
        <w:rPr>
          <w:spacing w:val="-77"/>
        </w:rPr>
        <w:t xml:space="preserve"> </w:t>
      </w:r>
      <w:r>
        <w:rPr>
          <w:spacing w:val="-3"/>
        </w:rPr>
        <w:t>”等</w:t>
      </w:r>
      <w:r>
        <w:rPr>
          <w:spacing w:val="-4"/>
        </w:rPr>
        <w:t>智慧</w:t>
      </w:r>
      <w:r>
        <w:rPr/>
        <w:t xml:space="preserve"> </w:t>
      </w:r>
      <w:r>
        <w:rPr>
          <w:spacing w:val="-2"/>
        </w:rPr>
        <w:t>家庭产品，促进相互拉动发展。</w:t>
      </w:r>
    </w:p>
    <w:p>
      <w:pPr>
        <w:pStyle w:val="BodyText"/>
        <w:ind w:left="36" w:right="74" w:firstLine="424"/>
        <w:spacing w:before="30" w:line="310" w:lineRule="auto"/>
        <w:jc w:val="both"/>
        <w:rPr/>
      </w:pPr>
      <w:r>
        <w:rPr/>
        <w:t>受激烈竞争影响，2019 年上半年，公司固网宽带接入收入同比下降 4.1%，达到人民币 206</w:t>
      </w:r>
      <w:r>
        <w:rPr>
          <w:spacing w:val="4"/>
        </w:rPr>
        <w:t xml:space="preserve"> </w:t>
      </w:r>
      <w:r>
        <w:rPr>
          <w:spacing w:val="-1"/>
        </w:rPr>
        <w:t>亿元。固网宽带用户净增</w:t>
      </w:r>
      <w:r>
        <w:rPr>
          <w:spacing w:val="-42"/>
        </w:rPr>
        <w:t xml:space="preserve"> </w:t>
      </w:r>
      <w:r>
        <w:rPr>
          <w:spacing w:val="-1"/>
        </w:rPr>
        <w:t>253</w:t>
      </w:r>
      <w:r>
        <w:rPr>
          <w:spacing w:val="-36"/>
        </w:rPr>
        <w:t xml:space="preserve"> </w:t>
      </w:r>
      <w:r>
        <w:rPr>
          <w:spacing w:val="-1"/>
        </w:rPr>
        <w:t>万户，总数达到</w:t>
      </w:r>
      <w:r>
        <w:rPr>
          <w:spacing w:val="-41"/>
        </w:rPr>
        <w:t xml:space="preserve"> </w:t>
      </w:r>
      <w:r>
        <w:rPr>
          <w:spacing w:val="-1"/>
        </w:rPr>
        <w:t>8,341</w:t>
      </w:r>
      <w:r>
        <w:rPr>
          <w:spacing w:val="-37"/>
        </w:rPr>
        <w:t xml:space="preserve"> </w:t>
      </w:r>
      <w:r>
        <w:rPr>
          <w:spacing w:val="-1"/>
        </w:rPr>
        <w:t>万户。视频业务在固网宽带用户中的渗透率</w:t>
      </w:r>
      <w:r>
        <w:rPr/>
        <w:t xml:space="preserve"> </w:t>
      </w:r>
      <w:r>
        <w:rPr>
          <w:spacing w:val="-2"/>
        </w:rPr>
        <w:t>达到 50%，同比提高约 9 个百分点。融合业务在固网宽带用户中的渗透率达到 55%，同比提升 9</w:t>
      </w:r>
      <w:r>
        <w:rPr>
          <w:spacing w:val="2"/>
        </w:rPr>
        <w:t xml:space="preserve"> </w:t>
      </w:r>
      <w:r>
        <w:rPr>
          <w:spacing w:val="-4"/>
        </w:rPr>
        <w:t>个百分点。</w:t>
      </w:r>
    </w:p>
    <w:p>
      <w:pPr>
        <w:pStyle w:val="BodyText"/>
        <w:ind w:left="461"/>
        <w:spacing w:before="131" w:line="221" w:lineRule="auto"/>
        <w:rPr/>
      </w:pPr>
      <w:r>
        <w:rPr>
          <w:b/>
          <w:bCs/>
          <w:spacing w:val="-2"/>
        </w:rPr>
        <w:t>产业互联网业务持续快速增长，助力固网业务良好增长</w:t>
      </w:r>
    </w:p>
    <w:p>
      <w:pPr>
        <w:spacing w:line="221" w:lineRule="auto"/>
        <w:sectPr>
          <w:headerReference w:type="default" r:id="rId11"/>
          <w:footerReference w:type="default" r:id="rId12"/>
          <w:pgSz w:w="11907" w:h="16839"/>
          <w:pgMar w:top="1391" w:right="1193" w:bottom="1375" w:left="1771" w:header="842" w:footer="1212" w:gutter="0"/>
        </w:sectPr>
        <w:rPr/>
      </w:pPr>
    </w:p>
    <w:p>
      <w:pPr>
        <w:pStyle w:val="BodyText"/>
        <w:ind w:left="37" w:right="81" w:firstLine="422"/>
        <w:spacing w:before="244" w:line="303" w:lineRule="auto"/>
        <w:rPr/>
      </w:pPr>
      <w:r>
        <w:rPr>
          <w:spacing w:val="-1"/>
        </w:rPr>
        <w:t>2019</w:t>
      </w:r>
      <w:r>
        <w:rPr>
          <w:spacing w:val="-45"/>
        </w:rPr>
        <w:t xml:space="preserve"> </w:t>
      </w:r>
      <w:r>
        <w:rPr>
          <w:spacing w:val="-1"/>
        </w:rPr>
        <w:t>年上半年，公司加快云计算、大数据、物联</w:t>
      </w:r>
      <w:r>
        <w:rPr>
          <w:spacing w:val="-2"/>
        </w:rPr>
        <w:t>网等重点创新业务的能力培养和规模拓展，</w:t>
      </w:r>
      <w:r>
        <w:rPr/>
        <w:t xml:space="preserve"> </w:t>
      </w:r>
      <w:r>
        <w:rPr>
          <w:spacing w:val="-2"/>
        </w:rPr>
        <w:t>产业互联网业务发展实现持续快速突破。</w:t>
      </w:r>
    </w:p>
    <w:p>
      <w:pPr>
        <w:pStyle w:val="BodyText"/>
        <w:ind w:left="37" w:firstLine="426"/>
        <w:spacing w:before="30" w:line="311" w:lineRule="auto"/>
        <w:rPr/>
      </w:pPr>
      <w:r>
        <w:rPr>
          <w:spacing w:val="-1"/>
        </w:rPr>
        <w:t>公司以“云+智慧网络+智慧应用</w:t>
      </w:r>
      <w:r>
        <w:rPr>
          <w:spacing w:val="-77"/>
        </w:rPr>
        <w:t xml:space="preserve"> </w:t>
      </w:r>
      <w:r>
        <w:rPr>
          <w:spacing w:val="-1"/>
        </w:rPr>
        <w:t>”为引领，积极开展“云光慧</w:t>
      </w:r>
      <w:r>
        <w:rPr>
          <w:spacing w:val="-2"/>
        </w:rPr>
        <w:t>企</w:t>
      </w:r>
      <w:r>
        <w:rPr>
          <w:spacing w:val="-80"/>
        </w:rPr>
        <w:t xml:space="preserve"> </w:t>
      </w:r>
      <w:r>
        <w:rPr>
          <w:spacing w:val="-2"/>
        </w:rPr>
        <w:t>”营销活动，通过生态合作</w:t>
      </w:r>
      <w:r>
        <w:rPr/>
        <w:t xml:space="preserve"> </w:t>
      </w:r>
      <w:r>
        <w:rPr/>
        <w:t>打造能力平台，助力行业客户上云；加快政企精品网、云联网等重点智能网络产品的部署推广，</w:t>
      </w:r>
      <w:r>
        <w:rPr>
          <w:spacing w:val="7"/>
        </w:rPr>
        <w:t xml:space="preserve"> </w:t>
      </w:r>
      <w:r>
        <w:rPr>
          <w:spacing w:val="-3"/>
        </w:rPr>
        <w:t>发挥云网一体化优势，提升差异化服务能力；持续打造产业互联网智慧应用解决方案，聚焦政务、</w:t>
      </w:r>
      <w:r>
        <w:rPr>
          <w:spacing w:val="2"/>
        </w:rPr>
        <w:t xml:space="preserve"> </w:t>
      </w:r>
      <w:r>
        <w:rPr>
          <w:spacing w:val="-3"/>
        </w:rPr>
        <w:t>教育、医卫、生态环境、交通文旅等重点行业，规模化推广成熟标准化产品；不断强化机制创新，</w:t>
      </w:r>
      <w:r>
        <w:rPr>
          <w:spacing w:val="2"/>
        </w:rPr>
        <w:t xml:space="preserve"> </w:t>
      </w:r>
      <w:r>
        <w:rPr/>
        <w:t>加快创新人才队伍建设和激励分配改革，为创新领域不断注入新的</w:t>
      </w:r>
      <w:r>
        <w:rPr>
          <w:spacing w:val="-1"/>
        </w:rPr>
        <w:t>活力。</w:t>
      </w:r>
    </w:p>
    <w:p>
      <w:pPr>
        <w:pStyle w:val="BodyText"/>
        <w:ind w:left="36" w:right="74" w:firstLine="423"/>
        <w:spacing w:before="31" w:line="311" w:lineRule="auto"/>
        <w:rPr/>
      </w:pPr>
      <w:r>
        <w:rPr>
          <w:spacing w:val="2"/>
        </w:rPr>
        <w:t>2019 年上半年，创新业务成为稳定公司收入的主要驱动力。产业互联网业务收入同比增长</w:t>
      </w:r>
      <w:r>
        <w:rPr>
          <w:spacing w:val="17"/>
        </w:rPr>
        <w:t xml:space="preserve"> </w:t>
      </w:r>
      <w:r>
        <w:rPr>
          <w:spacing w:val="-2"/>
        </w:rPr>
        <w:t>43%，达到人民币 167</w:t>
      </w:r>
      <w:r>
        <w:rPr>
          <w:spacing w:val="-26"/>
        </w:rPr>
        <w:t xml:space="preserve"> </w:t>
      </w:r>
      <w:r>
        <w:rPr>
          <w:spacing w:val="-2"/>
        </w:rPr>
        <w:t>亿元，占整体主营业务收入比</w:t>
      </w:r>
      <w:r>
        <w:rPr>
          <w:spacing w:val="-3"/>
        </w:rPr>
        <w:t>例提高至 13%。其中 ICT</w:t>
      </w:r>
      <w:r>
        <w:rPr>
          <w:spacing w:val="-27"/>
        </w:rPr>
        <w:t xml:space="preserve"> </w:t>
      </w:r>
      <w:r>
        <w:rPr>
          <w:spacing w:val="-3"/>
        </w:rPr>
        <w:t>业务收入人民币</w:t>
      </w:r>
      <w:r>
        <w:rPr>
          <w:spacing w:val="-24"/>
        </w:rPr>
        <w:t xml:space="preserve"> </w:t>
      </w:r>
      <w:r>
        <w:rPr>
          <w:spacing w:val="-3"/>
        </w:rPr>
        <w:t>54</w:t>
      </w:r>
      <w:r>
        <w:rPr/>
        <w:t xml:space="preserve"> </w:t>
      </w:r>
      <w:r>
        <w:rPr>
          <w:spacing w:val="-1"/>
        </w:rPr>
        <w:t>亿元，同比增长</w:t>
      </w:r>
      <w:r>
        <w:rPr>
          <w:spacing w:val="-28"/>
        </w:rPr>
        <w:t xml:space="preserve"> </w:t>
      </w:r>
      <w:r>
        <w:rPr>
          <w:spacing w:val="-1"/>
        </w:rPr>
        <w:t>74%；IDC</w:t>
      </w:r>
      <w:r>
        <w:rPr>
          <w:spacing w:val="-35"/>
        </w:rPr>
        <w:t xml:space="preserve"> </w:t>
      </w:r>
      <w:r>
        <w:rPr>
          <w:spacing w:val="-1"/>
        </w:rPr>
        <w:t>及云计算业务收入达到人民币</w:t>
      </w:r>
      <w:r>
        <w:rPr>
          <w:spacing w:val="-31"/>
        </w:rPr>
        <w:t xml:space="preserve"> </w:t>
      </w:r>
      <w:r>
        <w:rPr>
          <w:spacing w:val="-1"/>
        </w:rPr>
        <w:t>93</w:t>
      </w:r>
      <w:r>
        <w:rPr>
          <w:spacing w:val="-32"/>
        </w:rPr>
        <w:t xml:space="preserve"> </w:t>
      </w:r>
      <w:r>
        <w:rPr>
          <w:spacing w:val="-1"/>
        </w:rPr>
        <w:t>亿元，同比增长</w:t>
      </w:r>
      <w:r>
        <w:rPr>
          <w:spacing w:val="-29"/>
        </w:rPr>
        <w:t xml:space="preserve"> </w:t>
      </w:r>
      <w:r>
        <w:rPr>
          <w:spacing w:val="-1"/>
        </w:rPr>
        <w:t>27%；物联网业务及</w:t>
      </w:r>
      <w:r>
        <w:rPr/>
        <w:t xml:space="preserve"> </w:t>
      </w:r>
      <w:r>
        <w:rPr>
          <w:spacing w:val="-2"/>
        </w:rPr>
        <w:t>大数据业务收入分别达到人民币</w:t>
      </w:r>
      <w:r>
        <w:rPr>
          <w:spacing w:val="-28"/>
        </w:rPr>
        <w:t xml:space="preserve"> </w:t>
      </w:r>
      <w:r>
        <w:rPr>
          <w:spacing w:val="-2"/>
        </w:rPr>
        <w:t>14</w:t>
      </w:r>
      <w:r>
        <w:rPr>
          <w:spacing w:val="-46"/>
        </w:rPr>
        <w:t xml:space="preserve"> </w:t>
      </w:r>
      <w:r>
        <w:rPr>
          <w:spacing w:val="-2"/>
        </w:rPr>
        <w:t>亿元和人民币5</w:t>
      </w:r>
      <w:r>
        <w:rPr>
          <w:spacing w:val="-45"/>
        </w:rPr>
        <w:t xml:space="preserve"> </w:t>
      </w:r>
      <w:r>
        <w:rPr>
          <w:spacing w:val="-3"/>
        </w:rPr>
        <w:t>亿元，同比分别增长</w:t>
      </w:r>
      <w:r>
        <w:rPr>
          <w:spacing w:val="-45"/>
        </w:rPr>
        <w:t xml:space="preserve"> </w:t>
      </w:r>
      <w:r>
        <w:rPr>
          <w:spacing w:val="-3"/>
        </w:rPr>
        <w:t>43%和</w:t>
      </w:r>
      <w:r>
        <w:rPr>
          <w:spacing w:val="-29"/>
        </w:rPr>
        <w:t xml:space="preserve"> </w:t>
      </w:r>
      <w:r>
        <w:rPr>
          <w:spacing w:val="-3"/>
        </w:rPr>
        <w:t>128%。受创新业务</w:t>
      </w:r>
      <w:r>
        <w:rPr/>
        <w:t xml:space="preserve"> </w:t>
      </w:r>
      <w:r>
        <w:rPr>
          <w:spacing w:val="-1"/>
        </w:rPr>
        <w:t>快速增长拉动，公司固网主营业务收入达到人民币</w:t>
      </w:r>
      <w:r>
        <w:rPr>
          <w:spacing w:val="-36"/>
        </w:rPr>
        <w:t xml:space="preserve"> </w:t>
      </w:r>
      <w:r>
        <w:rPr>
          <w:spacing w:val="-1"/>
        </w:rPr>
        <w:t>531</w:t>
      </w:r>
      <w:r>
        <w:rPr>
          <w:spacing w:val="-43"/>
        </w:rPr>
        <w:t xml:space="preserve"> </w:t>
      </w:r>
      <w:r>
        <w:rPr>
          <w:spacing w:val="-1"/>
        </w:rPr>
        <w:t>亿元，同比增长</w:t>
      </w:r>
      <w:r>
        <w:rPr>
          <w:spacing w:val="-46"/>
        </w:rPr>
        <w:t xml:space="preserve"> </w:t>
      </w:r>
      <w:r>
        <w:rPr>
          <w:spacing w:val="-1"/>
        </w:rPr>
        <w:t>8.2%。</w:t>
      </w:r>
    </w:p>
    <w:p>
      <w:pPr>
        <w:pStyle w:val="BodyText"/>
        <w:ind w:left="468"/>
        <w:spacing w:before="132" w:line="222" w:lineRule="auto"/>
        <w:outlineLvl w:val="2"/>
        <w:rPr/>
      </w:pPr>
      <w:r>
        <w:rPr>
          <w:b/>
          <w:bCs/>
          <w:spacing w:val="-5"/>
        </w:rPr>
        <w:t>（三）网络建设</w:t>
      </w:r>
    </w:p>
    <w:p>
      <w:pPr>
        <w:spacing w:line="301" w:lineRule="auto"/>
        <w:rPr>
          <w:rFonts w:ascii="Arial"/>
          <w:sz w:val="21"/>
        </w:rPr>
      </w:pPr>
      <w:r/>
    </w:p>
    <w:p>
      <w:pPr>
        <w:pStyle w:val="BodyText"/>
        <w:ind w:left="461"/>
        <w:spacing w:before="68" w:line="220" w:lineRule="auto"/>
        <w:rPr/>
      </w:pPr>
      <w:r>
        <w:rPr>
          <w:b/>
          <w:bCs/>
          <w:spacing w:val="-2"/>
        </w:rPr>
        <w:t>精准高效建设精品网络，网络竞争力不断提升</w:t>
      </w:r>
    </w:p>
    <w:p>
      <w:pPr>
        <w:pStyle w:val="BodyText"/>
        <w:ind w:left="54" w:right="76" w:firstLine="405"/>
        <w:spacing w:before="273" w:line="303" w:lineRule="auto"/>
        <w:rPr/>
      </w:pPr>
      <w:r>
        <w:rPr/>
        <w:t>2019 年上半年，公司继续坚持以效益和市场为导向的精准高效建设，优先满足“5G+4G”精</w:t>
      </w:r>
      <w:r>
        <w:rPr>
          <w:spacing w:val="4"/>
        </w:rPr>
        <w:t xml:space="preserve"> </w:t>
      </w:r>
      <w:r>
        <w:rPr>
          <w:spacing w:val="-1"/>
        </w:rPr>
        <w:t>品网、创新业务等需求，不断提升网络竞争力。</w:t>
      </w:r>
    </w:p>
    <w:p>
      <w:pPr>
        <w:pStyle w:val="BodyText"/>
        <w:ind w:left="36" w:right="74" w:firstLine="421"/>
        <w:spacing w:before="30" w:line="310" w:lineRule="auto"/>
        <w:jc w:val="both"/>
        <w:rPr/>
      </w:pPr>
      <w:r>
        <w:rPr>
          <w:spacing w:val="-1"/>
        </w:rPr>
        <w:t>移动网络方面，加快利用高效频率资源，完善</w:t>
      </w:r>
      <w:r>
        <w:rPr>
          <w:spacing w:val="-29"/>
        </w:rPr>
        <w:t xml:space="preserve"> </w:t>
      </w:r>
      <w:r>
        <w:rPr>
          <w:spacing w:val="-1"/>
        </w:rPr>
        <w:t>4G</w:t>
      </w:r>
      <w:r>
        <w:rPr>
          <w:spacing w:val="-25"/>
        </w:rPr>
        <w:t xml:space="preserve"> </w:t>
      </w:r>
      <w:r>
        <w:rPr>
          <w:spacing w:val="-1"/>
        </w:rPr>
        <w:t>网络覆盖，优化网络架构，为“5G+4G”精</w:t>
      </w:r>
      <w:r>
        <w:rPr/>
        <w:t xml:space="preserve"> </w:t>
      </w:r>
      <w:r>
        <w:rPr>
          <w:spacing w:val="-5"/>
        </w:rPr>
        <w:t>品网打好坚实基础。截至</w:t>
      </w:r>
      <w:r>
        <w:rPr>
          <w:spacing w:val="-28"/>
        </w:rPr>
        <w:t xml:space="preserve"> </w:t>
      </w:r>
      <w:r>
        <w:rPr>
          <w:spacing w:val="-5"/>
        </w:rPr>
        <w:t>2019</w:t>
      </w:r>
      <w:r>
        <w:rPr>
          <w:spacing w:val="-43"/>
        </w:rPr>
        <w:t xml:space="preserve"> </w:t>
      </w:r>
      <w:r>
        <w:rPr>
          <w:spacing w:val="-5"/>
        </w:rPr>
        <w:t>年</w:t>
      </w:r>
      <w:r>
        <w:rPr>
          <w:spacing w:val="-45"/>
        </w:rPr>
        <w:t xml:space="preserve"> </w:t>
      </w:r>
      <w:r>
        <w:rPr>
          <w:spacing w:val="-5"/>
        </w:rPr>
        <w:t>6</w:t>
      </w:r>
      <w:r>
        <w:rPr>
          <w:spacing w:val="-39"/>
        </w:rPr>
        <w:t xml:space="preserve"> </w:t>
      </w:r>
      <w:r>
        <w:rPr>
          <w:spacing w:val="-5"/>
        </w:rPr>
        <w:t>月底，公司</w:t>
      </w:r>
      <w:r>
        <w:rPr>
          <w:spacing w:val="-47"/>
        </w:rPr>
        <w:t xml:space="preserve"> </w:t>
      </w:r>
      <w:r>
        <w:rPr>
          <w:spacing w:val="-5"/>
        </w:rPr>
        <w:t>4G</w:t>
      </w:r>
      <w:r>
        <w:rPr>
          <w:spacing w:val="-44"/>
        </w:rPr>
        <w:t xml:space="preserve"> </w:t>
      </w:r>
      <w:r>
        <w:rPr>
          <w:spacing w:val="-5"/>
        </w:rPr>
        <w:t>基站总数达到</w:t>
      </w:r>
      <w:r>
        <w:rPr>
          <w:spacing w:val="-28"/>
        </w:rPr>
        <w:t xml:space="preserve"> </w:t>
      </w:r>
      <w:r>
        <w:rPr>
          <w:spacing w:val="-5"/>
        </w:rPr>
        <w:t>135</w:t>
      </w:r>
      <w:r>
        <w:rPr>
          <w:spacing w:val="-41"/>
        </w:rPr>
        <w:t xml:space="preserve"> </w:t>
      </w:r>
      <w:r>
        <w:rPr>
          <w:spacing w:val="-5"/>
        </w:rPr>
        <w:t>万个（含</w:t>
      </w:r>
      <w:r>
        <w:rPr>
          <w:spacing w:val="-37"/>
        </w:rPr>
        <w:t xml:space="preserve"> </w:t>
      </w:r>
      <w:r>
        <w:rPr>
          <w:spacing w:val="-5"/>
        </w:rPr>
        <w:t>4G</w:t>
      </w:r>
      <w:r>
        <w:rPr>
          <w:spacing w:val="-41"/>
        </w:rPr>
        <w:t xml:space="preserve"> </w:t>
      </w:r>
      <w:r>
        <w:rPr>
          <w:spacing w:val="-5"/>
        </w:rPr>
        <w:t>室外站及室分信</w:t>
      </w:r>
      <w:r>
        <w:rPr/>
        <w:t xml:space="preserve"> </w:t>
      </w:r>
      <w:r>
        <w:rPr>
          <w:spacing w:val="-5"/>
        </w:rPr>
        <w:t>源</w:t>
      </w:r>
      <w:r>
        <w:rPr>
          <w:spacing w:val="-44"/>
        </w:rPr>
        <w:t>），</w:t>
      </w:r>
      <w:r>
        <w:rPr>
          <w:spacing w:val="-5"/>
        </w:rPr>
        <w:t>其中</w:t>
      </w:r>
      <w:r>
        <w:rPr>
          <w:spacing w:val="-46"/>
        </w:rPr>
        <w:t xml:space="preserve"> </w:t>
      </w:r>
      <w:r>
        <w:rPr>
          <w:spacing w:val="-5"/>
        </w:rPr>
        <w:t>LTE</w:t>
      </w:r>
      <w:r>
        <w:rPr>
          <w:spacing w:val="-45"/>
        </w:rPr>
        <w:t xml:space="preserve"> </w:t>
      </w:r>
      <w:r>
        <w:rPr>
          <w:spacing w:val="-5"/>
        </w:rPr>
        <w:t>900MHz</w:t>
      </w:r>
      <w:r>
        <w:rPr>
          <w:spacing w:val="-46"/>
        </w:rPr>
        <w:t xml:space="preserve"> </w:t>
      </w:r>
      <w:r>
        <w:rPr>
          <w:spacing w:val="-5"/>
        </w:rPr>
        <w:t>基站</w:t>
      </w:r>
      <w:r>
        <w:rPr>
          <w:spacing w:val="-29"/>
        </w:rPr>
        <w:t xml:space="preserve"> </w:t>
      </w:r>
      <w:r>
        <w:rPr>
          <w:spacing w:val="-5"/>
        </w:rPr>
        <w:t>18</w:t>
      </w:r>
      <w:r>
        <w:rPr>
          <w:spacing w:val="-41"/>
        </w:rPr>
        <w:t xml:space="preserve"> </w:t>
      </w:r>
      <w:r>
        <w:rPr>
          <w:spacing w:val="-5"/>
        </w:rPr>
        <w:t>万个，4G</w:t>
      </w:r>
      <w:r>
        <w:rPr>
          <w:spacing w:val="-27"/>
        </w:rPr>
        <w:t xml:space="preserve"> </w:t>
      </w:r>
      <w:r>
        <w:rPr>
          <w:spacing w:val="-5"/>
        </w:rPr>
        <w:t>网络深度覆盖和农村广度覆盖显著提升；累计开通</w:t>
      </w:r>
      <w:r>
        <w:rPr>
          <w:spacing w:val="-53"/>
        </w:rPr>
        <w:t xml:space="preserve"> </w:t>
      </w:r>
      <w:r>
        <w:rPr>
          <w:spacing w:val="-5"/>
        </w:rPr>
        <w:t>NB-</w:t>
      </w:r>
      <w:r>
        <w:rPr>
          <w:spacing w:val="-6"/>
        </w:rPr>
        <w:t>IOT</w:t>
      </w:r>
      <w:r>
        <w:rPr/>
        <w:t xml:space="preserve"> </w:t>
      </w:r>
      <w:r>
        <w:rPr>
          <w:spacing w:val="-2"/>
        </w:rPr>
        <w:t>基站</w:t>
      </w:r>
      <w:r>
        <w:rPr>
          <w:spacing w:val="-37"/>
        </w:rPr>
        <w:t xml:space="preserve"> </w:t>
      </w:r>
      <w:r>
        <w:rPr>
          <w:spacing w:val="-2"/>
        </w:rPr>
        <w:t>20</w:t>
      </w:r>
      <w:r>
        <w:rPr>
          <w:spacing w:val="-39"/>
        </w:rPr>
        <w:t xml:space="preserve"> </w:t>
      </w:r>
      <w:r>
        <w:rPr>
          <w:spacing w:val="-2"/>
        </w:rPr>
        <w:t>万个，物联网业务承载能力显著增强；VoLTE</w:t>
      </w:r>
      <w:r>
        <w:rPr>
          <w:spacing w:val="-27"/>
        </w:rPr>
        <w:t xml:space="preserve"> </w:t>
      </w:r>
      <w:r>
        <w:rPr>
          <w:spacing w:val="-2"/>
        </w:rPr>
        <w:t>网络全网具备业务开通能力。</w:t>
      </w:r>
    </w:p>
    <w:p>
      <w:pPr>
        <w:pStyle w:val="BodyText"/>
        <w:ind w:left="37" w:right="76" w:firstLine="430"/>
        <w:spacing w:before="30" w:line="310" w:lineRule="auto"/>
        <w:jc w:val="both"/>
        <w:rPr/>
      </w:pPr>
      <w:r>
        <w:rPr/>
        <w:t>宽带网络方面，在北方区域保障覆盖、质量、体验领先，南方地区聚焦价值区域</w:t>
      </w:r>
      <w:r>
        <w:rPr>
          <w:spacing w:val="-1"/>
        </w:rPr>
        <w:t>进行社会化</w:t>
      </w:r>
      <w:r>
        <w:rPr/>
        <w:t xml:space="preserve"> </w:t>
      </w:r>
      <w:r>
        <w:rPr/>
        <w:t>合作，提升网络能力。着眼云网一体化和企业信息化机会，打造“政企精</w:t>
      </w:r>
      <w:r>
        <w:rPr>
          <w:spacing w:val="-1"/>
        </w:rPr>
        <w:t>品网”智能网络，助力</w:t>
      </w:r>
      <w:r>
        <w:rPr/>
        <w:t xml:space="preserve"> </w:t>
      </w:r>
      <w:r>
        <w:rPr>
          <w:spacing w:val="-1"/>
        </w:rPr>
        <w:t>创新业务发展。截至</w:t>
      </w:r>
      <w:r>
        <w:rPr>
          <w:spacing w:val="-32"/>
        </w:rPr>
        <w:t xml:space="preserve"> </w:t>
      </w:r>
      <w:r>
        <w:rPr>
          <w:spacing w:val="-1"/>
        </w:rPr>
        <w:t>2019</w:t>
      </w:r>
      <w:r>
        <w:rPr>
          <w:spacing w:val="-36"/>
        </w:rPr>
        <w:t xml:space="preserve"> </w:t>
      </w:r>
      <w:r>
        <w:rPr>
          <w:spacing w:val="-1"/>
        </w:rPr>
        <w:t>年</w:t>
      </w:r>
      <w:r>
        <w:rPr>
          <w:spacing w:val="-32"/>
        </w:rPr>
        <w:t xml:space="preserve"> </w:t>
      </w:r>
      <w:r>
        <w:rPr>
          <w:spacing w:val="-1"/>
        </w:rPr>
        <w:t>6</w:t>
      </w:r>
      <w:r>
        <w:rPr>
          <w:spacing w:val="-32"/>
        </w:rPr>
        <w:t xml:space="preserve"> </w:t>
      </w:r>
      <w:r>
        <w:rPr>
          <w:spacing w:val="-1"/>
        </w:rPr>
        <w:t>月底，公司固网</w:t>
      </w:r>
      <w:r>
        <w:rPr>
          <w:spacing w:val="-2"/>
        </w:rPr>
        <w:t>宽带端口中</w:t>
      </w:r>
      <w:r>
        <w:rPr>
          <w:spacing w:val="-38"/>
        </w:rPr>
        <w:t xml:space="preserve"> </w:t>
      </w:r>
      <w:r>
        <w:rPr>
          <w:spacing w:val="-2"/>
        </w:rPr>
        <w:t>FTTH</w:t>
      </w:r>
      <w:r>
        <w:rPr>
          <w:spacing w:val="-36"/>
        </w:rPr>
        <w:t xml:space="preserve"> </w:t>
      </w:r>
      <w:r>
        <w:rPr>
          <w:spacing w:val="-2"/>
        </w:rPr>
        <w:t>端口渗透率达到</w:t>
      </w:r>
      <w:r>
        <w:rPr>
          <w:spacing w:val="-33"/>
        </w:rPr>
        <w:t xml:space="preserve"> </w:t>
      </w:r>
      <w:r>
        <w:rPr>
          <w:spacing w:val="-2"/>
        </w:rPr>
        <w:t>83%，宽带用户</w:t>
      </w:r>
      <w:r>
        <w:rPr/>
        <w:t xml:space="preserve"> </w:t>
      </w:r>
      <w:r>
        <w:rPr>
          <w:spacing w:val="-3"/>
        </w:rPr>
        <w:t>中</w:t>
      </w:r>
      <w:r>
        <w:rPr>
          <w:spacing w:val="-35"/>
        </w:rPr>
        <w:t xml:space="preserve"> </w:t>
      </w:r>
      <w:r>
        <w:rPr>
          <w:spacing w:val="-3"/>
        </w:rPr>
        <w:t>FTTH</w:t>
      </w:r>
      <w:r>
        <w:rPr>
          <w:spacing w:val="-42"/>
        </w:rPr>
        <w:t xml:space="preserve"> </w:t>
      </w:r>
      <w:r>
        <w:rPr>
          <w:spacing w:val="-3"/>
        </w:rPr>
        <w:t>用户占比达到</w:t>
      </w:r>
      <w:r>
        <w:rPr>
          <w:spacing w:val="-43"/>
        </w:rPr>
        <w:t xml:space="preserve"> </w:t>
      </w:r>
      <w:r>
        <w:rPr>
          <w:spacing w:val="-3"/>
        </w:rPr>
        <w:t>82%。</w:t>
      </w:r>
    </w:p>
    <w:p>
      <w:pPr>
        <w:pStyle w:val="BodyText"/>
        <w:ind w:left="53" w:right="77" w:firstLine="404"/>
        <w:spacing w:before="30" w:line="303" w:lineRule="auto"/>
        <w:rPr/>
      </w:pPr>
      <w:r>
        <w:rPr/>
        <w:t>得益于精准的资源投放和网络优化扩容，公司聚焦地区网络质量和客户感知持续提升。移动</w:t>
      </w:r>
      <w:r>
        <w:rPr>
          <w:spacing w:val="5"/>
        </w:rPr>
        <w:t xml:space="preserve"> </w:t>
      </w:r>
      <w:r>
        <w:rPr>
          <w:spacing w:val="-1"/>
        </w:rPr>
        <w:t>网络和固网宽带</w:t>
      </w:r>
      <w:r>
        <w:rPr>
          <w:spacing w:val="-51"/>
        </w:rPr>
        <w:t xml:space="preserve"> </w:t>
      </w:r>
      <w:r>
        <w:rPr>
          <w:spacing w:val="-1"/>
        </w:rPr>
        <w:t>NPS</w:t>
      </w:r>
      <w:r>
        <w:rPr>
          <w:spacing w:val="-46"/>
        </w:rPr>
        <w:t xml:space="preserve"> </w:t>
      </w:r>
      <w:r>
        <w:rPr>
          <w:spacing w:val="-1"/>
        </w:rPr>
        <w:t>双提升，4G</w:t>
      </w:r>
      <w:r>
        <w:rPr>
          <w:spacing w:val="-27"/>
        </w:rPr>
        <w:t xml:space="preserve"> </w:t>
      </w:r>
      <w:r>
        <w:rPr>
          <w:spacing w:val="-1"/>
        </w:rPr>
        <w:t>网络平均上下行速率保持行业领先，网</w:t>
      </w:r>
      <w:r>
        <w:rPr>
          <w:spacing w:val="-2"/>
        </w:rPr>
        <w:t>络时延指标行业最优。</w:t>
      </w:r>
    </w:p>
    <w:p>
      <w:pPr>
        <w:pStyle w:val="BodyText"/>
        <w:ind w:left="461"/>
        <w:spacing w:before="131" w:line="220" w:lineRule="auto"/>
        <w:rPr/>
      </w:pPr>
      <w:r>
        <w:rPr>
          <w:b/>
          <w:bCs/>
          <w:spacing w:val="-3"/>
        </w:rPr>
        <w:t>积极构建</w:t>
      </w:r>
      <w:r>
        <w:rPr>
          <w:spacing w:val="-25"/>
        </w:rPr>
        <w:t xml:space="preserve"> </w:t>
      </w:r>
      <w:r>
        <w:rPr>
          <w:rFonts w:ascii="Calibri" w:hAnsi="Calibri" w:eastAsia="Calibri" w:cs="Calibri"/>
          <w:b/>
          <w:bCs/>
          <w:spacing w:val="-3"/>
        </w:rPr>
        <w:t>5G </w:t>
      </w:r>
      <w:r>
        <w:rPr>
          <w:b/>
          <w:bCs/>
          <w:spacing w:val="-3"/>
        </w:rPr>
        <w:t>产业生态，</w:t>
      </w:r>
      <w:r>
        <w:rPr>
          <w:rFonts w:ascii="Calibri" w:hAnsi="Calibri" w:eastAsia="Calibri" w:cs="Calibri"/>
          <w:b/>
          <w:bCs/>
          <w:spacing w:val="-3"/>
        </w:rPr>
        <w:t>5G</w:t>
      </w:r>
      <w:r>
        <w:rPr>
          <w:rFonts w:ascii="Calibri" w:hAnsi="Calibri" w:eastAsia="Calibri" w:cs="Calibri"/>
          <w:b/>
          <w:bCs/>
          <w:spacing w:val="16"/>
          <w:w w:val="101"/>
        </w:rPr>
        <w:t xml:space="preserve"> </w:t>
      </w:r>
      <w:r>
        <w:rPr>
          <w:b/>
          <w:bCs/>
          <w:spacing w:val="-3"/>
        </w:rPr>
        <w:t>部署赢得先机</w:t>
      </w:r>
    </w:p>
    <w:p>
      <w:pPr>
        <w:pStyle w:val="BodyText"/>
        <w:ind w:left="37" w:right="76" w:firstLine="421"/>
        <w:spacing w:before="273" w:line="303" w:lineRule="auto"/>
        <w:rPr/>
      </w:pPr>
      <w:r>
        <w:rPr>
          <w:spacing w:val="-2"/>
        </w:rPr>
        <w:t>工信部已于</w:t>
      </w:r>
      <w:r>
        <w:rPr>
          <w:spacing w:val="-23"/>
        </w:rPr>
        <w:t xml:space="preserve"> </w:t>
      </w:r>
      <w:r>
        <w:rPr>
          <w:spacing w:val="-2"/>
        </w:rPr>
        <w:t>2018</w:t>
      </w:r>
      <w:r>
        <w:rPr>
          <w:spacing w:val="-26"/>
        </w:rPr>
        <w:t xml:space="preserve"> </w:t>
      </w:r>
      <w:r>
        <w:rPr>
          <w:spacing w:val="-2"/>
        </w:rPr>
        <w:t>年 12</w:t>
      </w:r>
      <w:r>
        <w:rPr>
          <w:spacing w:val="-19"/>
        </w:rPr>
        <w:t xml:space="preserve"> </w:t>
      </w:r>
      <w:r>
        <w:rPr>
          <w:spacing w:val="-2"/>
        </w:rPr>
        <w:t>月同意公司在全国使用</w:t>
      </w:r>
      <w:r>
        <w:rPr>
          <w:spacing w:val="-21"/>
        </w:rPr>
        <w:t xml:space="preserve"> </w:t>
      </w:r>
      <w:r>
        <w:rPr>
          <w:spacing w:val="-2"/>
        </w:rPr>
        <w:t>350</w:t>
      </w:r>
      <w:r>
        <w:rPr>
          <w:spacing w:val="-3"/>
        </w:rPr>
        <w:t>0-3600MHz</w:t>
      </w:r>
      <w:r>
        <w:rPr>
          <w:spacing w:val="-26"/>
        </w:rPr>
        <w:t xml:space="preserve"> </w:t>
      </w:r>
      <w:r>
        <w:rPr>
          <w:spacing w:val="-3"/>
        </w:rPr>
        <w:t>频率开展</w:t>
      </w:r>
      <w:r>
        <w:rPr>
          <w:spacing w:val="-23"/>
        </w:rPr>
        <w:t xml:space="preserve"> </w:t>
      </w:r>
      <w:r>
        <w:rPr>
          <w:spacing w:val="-3"/>
        </w:rPr>
        <w:t>5G</w:t>
      </w:r>
      <w:r>
        <w:rPr>
          <w:spacing w:val="-27"/>
        </w:rPr>
        <w:t xml:space="preserve"> </w:t>
      </w:r>
      <w:r>
        <w:rPr>
          <w:spacing w:val="-3"/>
        </w:rPr>
        <w:t>试验，并于</w:t>
      </w:r>
      <w:r>
        <w:rPr>
          <w:spacing w:val="-22"/>
        </w:rPr>
        <w:t xml:space="preserve"> </w:t>
      </w:r>
      <w:r>
        <w:rPr>
          <w:spacing w:val="-3"/>
        </w:rPr>
        <w:t>2019</w:t>
      </w:r>
      <w:r>
        <w:rPr/>
        <w:t xml:space="preserve"> </w:t>
      </w:r>
      <w:r>
        <w:rPr>
          <w:spacing w:val="-3"/>
        </w:rPr>
        <w:t>年</w:t>
      </w:r>
      <w:r>
        <w:rPr>
          <w:spacing w:val="-37"/>
        </w:rPr>
        <w:t xml:space="preserve"> </w:t>
      </w:r>
      <w:r>
        <w:rPr>
          <w:spacing w:val="-3"/>
        </w:rPr>
        <w:t>6</w:t>
      </w:r>
      <w:r>
        <w:rPr>
          <w:spacing w:val="-39"/>
        </w:rPr>
        <w:t xml:space="preserve"> </w:t>
      </w:r>
      <w:r>
        <w:rPr>
          <w:spacing w:val="-3"/>
        </w:rPr>
        <w:t>月正式批准公司在全国范围内经营</w:t>
      </w:r>
      <w:r>
        <w:rPr>
          <w:spacing w:val="-40"/>
        </w:rPr>
        <w:t xml:space="preserve"> </w:t>
      </w:r>
      <w:r>
        <w:rPr>
          <w:spacing w:val="-3"/>
        </w:rPr>
        <w:t>5G</w:t>
      </w:r>
      <w:r>
        <w:rPr>
          <w:spacing w:val="-43"/>
        </w:rPr>
        <w:t xml:space="preserve"> </w:t>
      </w:r>
      <w:r>
        <w:rPr>
          <w:spacing w:val="-3"/>
        </w:rPr>
        <w:t>移动通信业务。</w:t>
      </w:r>
    </w:p>
    <w:p>
      <w:pPr>
        <w:pStyle w:val="BodyText"/>
        <w:ind w:left="37" w:right="11" w:firstLine="426"/>
        <w:spacing w:before="32" w:line="311" w:lineRule="auto"/>
        <w:rPr/>
      </w:pPr>
      <w:r>
        <w:rPr>
          <w:spacing w:val="-1"/>
        </w:rPr>
        <w:t>公司携手产业链积极布局</w:t>
      </w:r>
      <w:r>
        <w:rPr>
          <w:spacing w:val="-20"/>
        </w:rPr>
        <w:t xml:space="preserve"> </w:t>
      </w:r>
      <w:r>
        <w:rPr>
          <w:spacing w:val="-1"/>
        </w:rPr>
        <w:t>5G 网络建设和发</w:t>
      </w:r>
      <w:r>
        <w:rPr>
          <w:spacing w:val="-2"/>
        </w:rPr>
        <w:t>展，抢占市场先机。2019</w:t>
      </w:r>
      <w:r>
        <w:rPr>
          <w:spacing w:val="-22"/>
        </w:rPr>
        <w:t xml:space="preserve"> </w:t>
      </w:r>
      <w:r>
        <w:rPr>
          <w:spacing w:val="-2"/>
        </w:rPr>
        <w:t>年上半年，公司率先发</w:t>
      </w:r>
      <w:r>
        <w:rPr/>
        <w:t xml:space="preserve"> </w:t>
      </w:r>
      <w:r>
        <w:rPr>
          <w:spacing w:val="-2"/>
        </w:rPr>
        <w:t>布</w:t>
      </w:r>
      <w:r>
        <w:rPr>
          <w:spacing w:val="-28"/>
        </w:rPr>
        <w:t xml:space="preserve"> </w:t>
      </w:r>
      <w:r>
        <w:rPr>
          <w:spacing w:val="-2"/>
        </w:rPr>
        <w:t>5G 品牌</w:t>
      </w:r>
      <w:r>
        <w:rPr>
          <w:spacing w:val="-28"/>
        </w:rPr>
        <w:t xml:space="preserve"> </w:t>
      </w:r>
      <w:r>
        <w:rPr>
          <w:spacing w:val="-2"/>
        </w:rPr>
        <w:t>5Gn，聚焦“7+33+N”城市开展</w:t>
      </w:r>
      <w:r>
        <w:rPr>
          <w:spacing w:val="-28"/>
        </w:rPr>
        <w:t xml:space="preserve"> </w:t>
      </w:r>
      <w:r>
        <w:rPr>
          <w:spacing w:val="-2"/>
        </w:rPr>
        <w:t>5G 网络</w:t>
      </w:r>
      <w:r>
        <w:rPr>
          <w:spacing w:val="-3"/>
        </w:rPr>
        <w:t>规模试验，并率先在北京、上海、广东、深圳</w:t>
      </w:r>
      <w:r>
        <w:rPr/>
        <w:t xml:space="preserve"> </w:t>
      </w:r>
      <w:r>
        <w:rPr>
          <w:spacing w:val="-2"/>
        </w:rPr>
        <w:t>启动用户友好体验。积极谋求</w:t>
      </w:r>
      <w:r>
        <w:rPr>
          <w:spacing w:val="-26"/>
        </w:rPr>
        <w:t xml:space="preserve"> </w:t>
      </w:r>
      <w:r>
        <w:rPr>
          <w:spacing w:val="-2"/>
        </w:rPr>
        <w:t>5G</w:t>
      </w:r>
      <w:r>
        <w:rPr>
          <w:spacing w:val="-27"/>
        </w:rPr>
        <w:t xml:space="preserve"> </w:t>
      </w:r>
      <w:r>
        <w:rPr>
          <w:spacing w:val="-2"/>
        </w:rPr>
        <w:t>网络共建共享，探索多种合作模式，提升网络能力和行业价值。</w:t>
      </w:r>
      <w:r>
        <w:rPr/>
        <w:t xml:space="preserve"> </w:t>
      </w:r>
      <w:r>
        <w:rPr>
          <w:spacing w:val="-5"/>
        </w:rPr>
        <w:t>秉承开放合作理念，发起“</w:t>
      </w:r>
      <w:r>
        <w:rPr>
          <w:spacing w:val="-59"/>
        </w:rPr>
        <w:t xml:space="preserve"> </w:t>
      </w:r>
      <w:r>
        <w:rPr>
          <w:spacing w:val="-5"/>
        </w:rPr>
        <w:t>中国联通</w:t>
      </w:r>
      <w:r>
        <w:rPr>
          <w:spacing w:val="-40"/>
        </w:rPr>
        <w:t xml:space="preserve"> </w:t>
      </w:r>
      <w:r>
        <w:rPr>
          <w:spacing w:val="-5"/>
        </w:rPr>
        <w:t>5G</w:t>
      </w:r>
      <w:r>
        <w:rPr>
          <w:spacing w:val="-47"/>
        </w:rPr>
        <w:t xml:space="preserve"> </w:t>
      </w:r>
      <w:r>
        <w:rPr>
          <w:spacing w:val="-5"/>
        </w:rPr>
        <w:t>应用创新联盟</w:t>
      </w:r>
      <w:r>
        <w:rPr>
          <w:spacing w:val="-76"/>
        </w:rPr>
        <w:t xml:space="preserve"> </w:t>
      </w:r>
      <w:r>
        <w:rPr>
          <w:spacing w:val="-5"/>
        </w:rPr>
        <w:t>”，启动“领航者计划</w:t>
      </w:r>
      <w:r>
        <w:rPr>
          <w:spacing w:val="-79"/>
        </w:rPr>
        <w:t xml:space="preserve"> </w:t>
      </w:r>
      <w:r>
        <w:rPr>
          <w:spacing w:val="-5"/>
        </w:rPr>
        <w:t>”，与众多重点行业</w:t>
      </w:r>
      <w:r>
        <w:rPr/>
        <w:t xml:space="preserve"> </w:t>
      </w:r>
      <w:r>
        <w:rPr>
          <w:spacing w:val="-3"/>
        </w:rPr>
        <w:t>客户签署</w:t>
      </w:r>
      <w:r>
        <w:rPr>
          <w:spacing w:val="-22"/>
        </w:rPr>
        <w:t xml:space="preserve"> </w:t>
      </w:r>
      <w:r>
        <w:rPr>
          <w:spacing w:val="-3"/>
        </w:rPr>
        <w:t>5G</w:t>
      </w:r>
      <w:r>
        <w:rPr>
          <w:spacing w:val="-40"/>
        </w:rPr>
        <w:t xml:space="preserve"> </w:t>
      </w:r>
      <w:r>
        <w:rPr>
          <w:spacing w:val="-3"/>
        </w:rPr>
        <w:t>行业合作协议，共同探索</w:t>
      </w:r>
      <w:r>
        <w:rPr>
          <w:spacing w:val="-40"/>
        </w:rPr>
        <w:t xml:space="preserve"> </w:t>
      </w:r>
      <w:r>
        <w:rPr>
          <w:spacing w:val="-3"/>
        </w:rPr>
        <w:t>5G</w:t>
      </w:r>
      <w:r>
        <w:rPr>
          <w:spacing w:val="-43"/>
        </w:rPr>
        <w:t xml:space="preserve"> </w:t>
      </w:r>
      <w:r>
        <w:rPr>
          <w:spacing w:val="-3"/>
        </w:rPr>
        <w:t>行业应用运营新模式。</w:t>
      </w:r>
    </w:p>
    <w:p>
      <w:pPr>
        <w:pStyle w:val="BodyText"/>
        <w:ind w:left="41" w:right="74" w:firstLine="419"/>
        <w:spacing w:before="31" w:line="302" w:lineRule="auto"/>
        <w:rPr/>
      </w:pPr>
      <w:r>
        <w:rPr/>
        <w:t>未来，公司将按技术进展、市场和业务需求、行业竞争态势等动态精准投入 5G 建设，推进</w:t>
      </w:r>
      <w:r>
        <w:rPr>
          <w:spacing w:val="3"/>
        </w:rPr>
        <w:t xml:space="preserve"> </w:t>
      </w:r>
      <w:r>
        <w:rPr>
          <w:spacing w:val="-1"/>
        </w:rPr>
        <w:t>5G</w:t>
      </w:r>
      <w:r>
        <w:rPr>
          <w:spacing w:val="-15"/>
        </w:rPr>
        <w:t xml:space="preserve"> </w:t>
      </w:r>
      <w:r>
        <w:rPr>
          <w:spacing w:val="-1"/>
        </w:rPr>
        <w:t>生态建设，培育巩固</w:t>
      </w:r>
      <w:r>
        <w:rPr>
          <w:spacing w:val="-20"/>
        </w:rPr>
        <w:t xml:space="preserve"> </w:t>
      </w:r>
      <w:r>
        <w:rPr>
          <w:spacing w:val="-1"/>
        </w:rPr>
        <w:t>5G</w:t>
      </w:r>
      <w:r>
        <w:rPr>
          <w:spacing w:val="-23"/>
        </w:rPr>
        <w:t xml:space="preserve"> </w:t>
      </w:r>
      <w:r>
        <w:rPr>
          <w:spacing w:val="-1"/>
        </w:rPr>
        <w:t>独特竞争优势，紧抓新商机，为更多的垂直行业赋能赋智，创造新价</w:t>
      </w:r>
    </w:p>
    <w:p>
      <w:pPr>
        <w:spacing w:line="302" w:lineRule="auto"/>
        <w:sectPr>
          <w:headerReference w:type="default" r:id="rId13"/>
          <w:footerReference w:type="default" r:id="rId14"/>
          <w:pgSz w:w="11907" w:h="16839"/>
          <w:pgMar w:top="1391" w:right="1193" w:bottom="1374" w:left="1771" w:header="842" w:footer="1212" w:gutter="0"/>
        </w:sectPr>
        <w:rPr/>
      </w:pPr>
    </w:p>
    <w:p>
      <w:pPr>
        <w:pStyle w:val="BodyText"/>
        <w:ind w:left="37"/>
        <w:spacing w:before="243" w:line="221" w:lineRule="auto"/>
        <w:rPr/>
      </w:pPr>
      <w:r>
        <w:rPr>
          <w:spacing w:val="-10"/>
        </w:rPr>
        <w:t>值。</w:t>
      </w:r>
    </w:p>
    <w:p>
      <w:pPr>
        <w:pStyle w:val="BodyText"/>
        <w:ind w:left="468"/>
        <w:spacing w:before="209" w:line="221" w:lineRule="auto"/>
        <w:outlineLvl w:val="2"/>
        <w:rPr/>
      </w:pPr>
      <w:r>
        <w:rPr>
          <w:b/>
          <w:bCs/>
          <w:spacing w:val="-4"/>
        </w:rPr>
        <w:t>（四）混合所有制改革</w:t>
      </w:r>
    </w:p>
    <w:p>
      <w:pPr>
        <w:pStyle w:val="BodyText"/>
        <w:ind w:left="37" w:right="94" w:firstLine="422"/>
        <w:spacing w:before="271" w:line="308" w:lineRule="auto"/>
        <w:jc w:val="both"/>
        <w:rPr/>
      </w:pPr>
      <w:r>
        <w:rPr>
          <w:spacing w:val="-2"/>
        </w:rPr>
        <w:t>2019</w:t>
      </w:r>
      <w:r>
        <w:rPr>
          <w:spacing w:val="-45"/>
        </w:rPr>
        <w:t xml:space="preserve"> </w:t>
      </w:r>
      <w:r>
        <w:rPr>
          <w:spacing w:val="-2"/>
        </w:rPr>
        <w:t>年上半年，公司围绕“完善治理、强化激励、突出主业、提高效率</w:t>
      </w:r>
      <w:r>
        <w:rPr>
          <w:spacing w:val="-77"/>
        </w:rPr>
        <w:t xml:space="preserve"> </w:t>
      </w:r>
      <w:r>
        <w:rPr>
          <w:spacing w:val="-2"/>
        </w:rPr>
        <w:t>”十六字方针，持续</w:t>
      </w:r>
      <w:r>
        <w:rPr/>
        <w:t xml:space="preserve"> </w:t>
      </w:r>
      <w:r>
        <w:rPr/>
        <w:t>深化实施混合所有制改革，战略合作持续深化，体制机制改革不断推进，互联网化运营转型迈上</w:t>
      </w:r>
      <w:r>
        <w:rPr>
          <w:spacing w:val="8"/>
        </w:rPr>
        <w:t xml:space="preserve"> </w:t>
      </w:r>
      <w:r>
        <w:rPr>
          <w:spacing w:val="-2"/>
        </w:rPr>
        <w:t>新台阶。</w:t>
      </w:r>
    </w:p>
    <w:p>
      <w:pPr>
        <w:pStyle w:val="BodyText"/>
        <w:ind w:left="464"/>
        <w:spacing w:before="130" w:line="221" w:lineRule="auto"/>
        <w:rPr/>
      </w:pPr>
      <w:r>
        <w:rPr>
          <w:b/>
          <w:bCs/>
          <w:spacing w:val="-2"/>
        </w:rPr>
        <w:t>持续深化战略合作，创新发展动力不断增强</w:t>
      </w:r>
    </w:p>
    <w:p>
      <w:pPr>
        <w:pStyle w:val="BodyText"/>
        <w:ind w:left="36" w:right="94" w:firstLine="427"/>
        <w:spacing w:before="277" w:line="313" w:lineRule="auto"/>
        <w:rPr/>
      </w:pPr>
      <w:r>
        <w:rPr/>
        <w:t>公司聚焦与各战略投资者的协同优势领域，持续强化战略和业务合作。触点领域，持续推进 </w:t>
      </w:r>
      <w:r>
        <w:rPr/>
        <w:t>与互联网公司的线上触点及权益合作，拓展线下异业合作，精准高效发展用户。截至 2019 年 6</w:t>
      </w:r>
      <w:r>
        <w:rPr>
          <w:spacing w:val="7"/>
        </w:rPr>
        <w:t xml:space="preserve"> </w:t>
      </w:r>
      <w:r>
        <w:rPr>
          <w:spacing w:val="-2"/>
        </w:rPr>
        <w:t>月底，公司</w:t>
      </w:r>
      <w:r>
        <w:rPr>
          <w:spacing w:val="-32"/>
        </w:rPr>
        <w:t xml:space="preserve"> </w:t>
      </w:r>
      <w:r>
        <w:rPr>
          <w:spacing w:val="-2"/>
        </w:rPr>
        <w:t>2I2C</w:t>
      </w:r>
      <w:r>
        <w:rPr>
          <w:spacing w:val="-43"/>
        </w:rPr>
        <w:t xml:space="preserve"> </w:t>
      </w:r>
      <w:r>
        <w:rPr>
          <w:spacing w:val="-2"/>
        </w:rPr>
        <w:t>用户接近</w:t>
      </w:r>
      <w:r>
        <w:rPr>
          <w:spacing w:val="-25"/>
        </w:rPr>
        <w:t xml:space="preserve"> </w:t>
      </w:r>
      <w:r>
        <w:rPr>
          <w:spacing w:val="-2"/>
        </w:rPr>
        <w:t>1</w:t>
      </w:r>
      <w:r>
        <w:rPr>
          <w:spacing w:val="-43"/>
        </w:rPr>
        <w:t xml:space="preserve"> </w:t>
      </w:r>
      <w:r>
        <w:rPr>
          <w:spacing w:val="-2"/>
        </w:rPr>
        <w:t>亿户。与百度爱奇艺、腾讯在</w:t>
      </w:r>
      <w:r>
        <w:rPr>
          <w:spacing w:val="-33"/>
        </w:rPr>
        <w:t xml:space="preserve"> </w:t>
      </w:r>
      <w:r>
        <w:rPr>
          <w:spacing w:val="-2"/>
        </w:rPr>
        <w:t>IPTV</w:t>
      </w:r>
      <w:r>
        <w:rPr>
          <w:spacing w:val="-42"/>
        </w:rPr>
        <w:t xml:space="preserve"> </w:t>
      </w:r>
      <w:r>
        <w:rPr>
          <w:spacing w:val="-2"/>
        </w:rPr>
        <w:t>视频内容、手机视频方面持续合</w:t>
      </w:r>
      <w:r>
        <w:rPr/>
        <w:t xml:space="preserve"> </w:t>
      </w:r>
      <w:r>
        <w:rPr/>
        <w:t>作，提升用户粘性。支付金融领域，推进“沃钱包</w:t>
      </w:r>
      <w:r>
        <w:rPr>
          <w:spacing w:val="-79"/>
        </w:rPr>
        <w:t xml:space="preserve"> </w:t>
      </w:r>
      <w:r>
        <w:rPr/>
        <w:t>”支付</w:t>
      </w:r>
      <w:r>
        <w:rPr>
          <w:spacing w:val="-1"/>
        </w:rPr>
        <w:t>合作，推广信用分期、金融反欺诈及基</w:t>
      </w:r>
      <w:r>
        <w:rPr/>
        <w:t xml:space="preserve"> </w:t>
      </w:r>
      <w:r>
        <w:rPr/>
        <w:t>于风控授信、联合建模的支付金融产品。智慧家庭领域，将基础通信能力与互联网企业的智慧硬</w:t>
      </w:r>
      <w:r>
        <w:rPr>
          <w:spacing w:val="9"/>
        </w:rPr>
        <w:t xml:space="preserve"> </w:t>
      </w:r>
      <w:r>
        <w:rPr/>
        <w:t>件、内容应用深度融合，打造有竞争力的新型产品。云业务方面，与阿里、腾讯在公有云和混合</w:t>
      </w:r>
      <w:r>
        <w:rPr>
          <w:spacing w:val="9"/>
        </w:rPr>
        <w:t xml:space="preserve"> </w:t>
      </w:r>
      <w:r>
        <w:rPr/>
        <w:t>云领域持续推进合作，为客户提供云网一体化</w:t>
      </w:r>
      <w:r>
        <w:rPr>
          <w:spacing w:val="-1"/>
        </w:rPr>
        <w:t>产品、服务和解决方案，带动政企业务快速增长。</w:t>
      </w:r>
      <w:r>
        <w:rPr/>
        <w:t xml:space="preserve"> </w:t>
      </w:r>
      <w:r>
        <w:rPr>
          <w:spacing w:val="-1"/>
        </w:rPr>
        <w:t>同时，在大数据、物联网、AI</w:t>
      </w:r>
      <w:r>
        <w:rPr>
          <w:spacing w:val="-43"/>
        </w:rPr>
        <w:t xml:space="preserve"> </w:t>
      </w:r>
      <w:r>
        <w:rPr>
          <w:spacing w:val="-1"/>
        </w:rPr>
        <w:t>等领域，聚焦金融风控、精准营销、物联网</w:t>
      </w:r>
      <w:r>
        <w:rPr>
          <w:spacing w:val="-2"/>
        </w:rPr>
        <w:t>安全、智慧家居等热点</w:t>
      </w:r>
      <w:r>
        <w:rPr/>
        <w:t xml:space="preserve"> </w:t>
      </w:r>
      <w:r>
        <w:rPr>
          <w:spacing w:val="-1"/>
        </w:rPr>
        <w:t>需求，不断推进与战略投资者的深度合作和研究探索，构建合作共赢的发展局面。</w:t>
      </w:r>
    </w:p>
    <w:p>
      <w:pPr>
        <w:pStyle w:val="BodyText"/>
        <w:ind w:left="461"/>
        <w:spacing w:before="132" w:line="220" w:lineRule="auto"/>
        <w:rPr/>
      </w:pPr>
      <w:r>
        <w:rPr>
          <w:b/>
          <w:bCs/>
          <w:spacing w:val="-2"/>
        </w:rPr>
        <w:t>深化体制机制创新变革，内生活力动力不断增强</w:t>
      </w:r>
    </w:p>
    <w:p>
      <w:pPr>
        <w:pStyle w:val="BodyText"/>
        <w:ind w:left="37" w:right="94" w:firstLine="426"/>
        <w:spacing w:before="273" w:line="312" w:lineRule="auto"/>
        <w:rPr/>
      </w:pPr>
      <w:r>
        <w:rPr/>
        <w:t>公司以提升活力与效率为目标，持续深化体制机制的创新变革。实施瘦身健体 2.0，持续精 </w:t>
      </w:r>
      <w:r>
        <w:rPr/>
        <w:t>简机构，鼓励人员向划小单元、创新领域流动，组织和人员结构不断优化。持续改革激励机制，</w:t>
      </w:r>
      <w:r>
        <w:rPr>
          <w:spacing w:val="7"/>
        </w:rPr>
        <w:t xml:space="preserve"> </w:t>
      </w:r>
      <w:r>
        <w:rPr/>
        <w:t>促进薪酬差异化、激励方式多样化，部分下属公司建立了员工长期激励与约束机制体系，以价值</w:t>
      </w:r>
      <w:r>
        <w:rPr>
          <w:spacing w:val="8"/>
        </w:rPr>
        <w:t xml:space="preserve"> </w:t>
      </w:r>
      <w:r>
        <w:rPr/>
        <w:t>创造为导向的市场化激励机制不断完善。深入推进下属企业混合所有制改革，云南省分公司在去</w:t>
      </w:r>
      <w:r>
        <w:rPr>
          <w:spacing w:val="8"/>
        </w:rPr>
        <w:t xml:space="preserve"> </w:t>
      </w:r>
      <w:r>
        <w:rPr/>
        <w:t>年试点基础上，扩大全业务社会化合作承包运营至全省范围。持续深化划小承包改革，企业微观</w:t>
      </w:r>
      <w:r>
        <w:rPr>
          <w:spacing w:val="8"/>
        </w:rPr>
        <w:t xml:space="preserve"> </w:t>
      </w:r>
      <w:r>
        <w:rPr>
          <w:spacing w:val="-1"/>
        </w:rPr>
        <w:t>主体活力不断增强。</w:t>
      </w:r>
    </w:p>
    <w:p>
      <w:pPr>
        <w:pStyle w:val="BodyText"/>
        <w:ind w:left="468"/>
        <w:spacing w:before="131" w:line="220" w:lineRule="auto"/>
        <w:outlineLvl w:val="2"/>
        <w:rPr/>
      </w:pPr>
      <w:r>
        <w:rPr>
          <w:b/>
          <w:bCs/>
          <w:spacing w:val="-3"/>
        </w:rPr>
        <w:t>（五）社会责任和公司治理</w:t>
      </w:r>
    </w:p>
    <w:p>
      <w:pPr>
        <w:pStyle w:val="BodyText"/>
        <w:ind w:left="37" w:right="36" w:firstLine="425"/>
        <w:spacing w:before="269" w:line="314" w:lineRule="auto"/>
        <w:jc w:val="both"/>
        <w:rPr/>
      </w:pPr>
      <w:r>
        <w:rPr/>
        <w:t>公司坚持责任源于战略、植于管理、成于运营，以新发展理念践行社会责任，更好满足人民 </w:t>
      </w:r>
      <w:r>
        <w:rPr/>
        <w:t>日益增长的对信息通信的美好生活需要。坚持党建引领发展，持续完善公司治理，合规运营履行</w:t>
      </w:r>
      <w:r>
        <w:rPr>
          <w:spacing w:val="7"/>
        </w:rPr>
        <w:t xml:space="preserve"> </w:t>
      </w:r>
      <w:r>
        <w:rPr/>
        <w:t>职责。以匠心建设智慧精品网络，坚持绿色低碳建设，推进共建共享，维护网络安全，为建设网</w:t>
      </w:r>
      <w:r>
        <w:rPr>
          <w:spacing w:val="7"/>
        </w:rPr>
        <w:t xml:space="preserve"> </w:t>
      </w:r>
      <w:r>
        <w:rPr>
          <w:spacing w:val="-5"/>
        </w:rPr>
        <w:t>络强国、营造安全清朗的网络空间做积极贡献。坚持“一切为了客户”，落实“提速降费”、携号</w:t>
      </w:r>
      <w:r>
        <w:rPr>
          <w:spacing w:val="12"/>
        </w:rPr>
        <w:t xml:space="preserve"> </w:t>
      </w:r>
      <w:r>
        <w:rPr/>
        <w:t>转网等，为用户提供丰富的智慧产品和智慧应用，构筑便捷美好生活。积极布局发展智慧前沿技</w:t>
      </w:r>
      <w:r>
        <w:rPr>
          <w:spacing w:val="7"/>
        </w:rPr>
        <w:t xml:space="preserve"> </w:t>
      </w:r>
      <w:r>
        <w:rPr/>
        <w:t>术，推动信息技术与实体经济的深度融合，助力传统行业与经济社会转型升级。积极响应“一带</w:t>
      </w:r>
      <w:r>
        <w:rPr>
          <w:spacing w:val="7"/>
        </w:rPr>
        <w:t xml:space="preserve"> </w:t>
      </w:r>
      <w:r>
        <w:rPr>
          <w:spacing w:val="-3"/>
        </w:rPr>
        <w:t>一路”倡议，服务雄安新区、粤港澳大湾区、长三角一体化等</w:t>
      </w:r>
      <w:r>
        <w:rPr>
          <w:spacing w:val="-4"/>
        </w:rPr>
        <w:t>国家战略规划，协力打造智慧冬奥，</w:t>
      </w:r>
      <w:r>
        <w:rPr/>
        <w:t xml:space="preserve"> </w:t>
      </w:r>
      <w:r>
        <w:rPr>
          <w:spacing w:val="-3"/>
        </w:rPr>
        <w:t>以创新通信服务助力国家战略实施。扎实开展“互联网+扶贫</w:t>
      </w:r>
      <w:r>
        <w:rPr>
          <w:spacing w:val="-74"/>
        </w:rPr>
        <w:t xml:space="preserve"> </w:t>
      </w:r>
      <w:r>
        <w:rPr>
          <w:spacing w:val="-3"/>
        </w:rPr>
        <w:t>”精准扶贫，惠民共享社会公益。关</w:t>
      </w:r>
      <w:r>
        <w:rPr/>
        <w:t xml:space="preserve"> </w:t>
      </w:r>
      <w:r>
        <w:rPr>
          <w:spacing w:val="-1"/>
        </w:rPr>
        <w:t>心关爱员工生活，助力员工成长发展。</w:t>
      </w:r>
    </w:p>
    <w:p>
      <w:pPr>
        <w:pStyle w:val="BodyText"/>
        <w:ind w:left="37" w:firstLine="425"/>
        <w:spacing w:before="31" w:line="307" w:lineRule="auto"/>
        <w:jc w:val="both"/>
        <w:rPr/>
      </w:pPr>
      <w:r>
        <w:rPr/>
        <w:t>公司持续完善公司治理机制，提升执行力，强化风险管理和内部控制，为企业持续健康发展  </w:t>
      </w:r>
      <w:r>
        <w:rPr/>
        <w:t>提供坚实保障。2019 年上半年公司荣获多项嘉许，其中包括本公司控股子公司-联通红筹公司被</w:t>
      </w:r>
      <w:r>
        <w:rPr>
          <w:spacing w:val="4"/>
        </w:rPr>
        <w:t xml:space="preserve">  </w:t>
      </w:r>
      <w:r>
        <w:rPr>
          <w:spacing w:val="2"/>
        </w:rPr>
        <w:t>《金融亚洲》（</w:t>
      </w:r>
      <w:r>
        <w:rPr/>
        <w:t>Finance</w:t>
      </w:r>
      <w:r>
        <w:rPr>
          <w:spacing w:val="2"/>
        </w:rPr>
        <w:t xml:space="preserve"> </w:t>
      </w:r>
      <w:r>
        <w:rPr/>
        <w:t>Asia</w:t>
      </w:r>
      <w:r>
        <w:rPr>
          <w:spacing w:val="2"/>
        </w:rPr>
        <w:t>）评选为“亚洲最佳管理电信公司</w:t>
      </w:r>
      <w:r>
        <w:rPr>
          <w:spacing w:val="-72"/>
        </w:rPr>
        <w:t xml:space="preserve"> </w:t>
      </w:r>
      <w:r>
        <w:rPr>
          <w:spacing w:val="2"/>
        </w:rPr>
        <w:t>”第一名，被《亚洲</w:t>
      </w:r>
      <w:r>
        <w:rPr>
          <w:spacing w:val="1"/>
        </w:rPr>
        <w:t>公司管治》</w:t>
      </w:r>
    </w:p>
    <w:p>
      <w:pPr>
        <w:spacing w:line="307" w:lineRule="auto"/>
        <w:sectPr>
          <w:headerReference w:type="default" r:id="rId15"/>
          <w:footerReference w:type="default" r:id="rId16"/>
          <w:pgSz w:w="11907" w:h="16839"/>
          <w:pgMar w:top="1391" w:right="1173" w:bottom="1375" w:left="1771" w:header="842" w:footer="1212" w:gutter="0"/>
        </w:sectPr>
        <w:rPr/>
      </w:pPr>
    </w:p>
    <w:p>
      <w:pPr>
        <w:pStyle w:val="BodyText"/>
        <w:ind w:left="43"/>
        <w:spacing w:before="243" w:line="216" w:lineRule="auto"/>
        <w:rPr/>
      </w:pPr>
      <w:r>
        <w:rPr/>
        <w:t>（Corporate Governance Asia）评选为“亚洲最佳公司-企业管治典范”。</w:t>
      </w:r>
    </w:p>
    <w:p>
      <w:pPr>
        <w:pStyle w:val="BodyText"/>
        <w:ind w:left="468"/>
        <w:spacing w:before="215" w:line="221" w:lineRule="auto"/>
        <w:outlineLvl w:val="2"/>
        <w:rPr/>
      </w:pPr>
      <w:r>
        <w:rPr>
          <w:b/>
          <w:bCs/>
          <w:spacing w:val="-5"/>
        </w:rPr>
        <w:t>（六）未来展望</w:t>
      </w:r>
    </w:p>
    <w:p>
      <w:pPr>
        <w:pStyle w:val="BodyText"/>
        <w:ind w:left="36" w:right="72" w:firstLine="434"/>
        <w:spacing w:before="271" w:line="310" w:lineRule="auto"/>
        <w:jc w:val="both"/>
        <w:rPr/>
      </w:pPr>
      <w:r>
        <w:rPr>
          <w:spacing w:val="-2"/>
        </w:rPr>
        <w:t>当前，我国正式进入 5G 时代，5G</w:t>
      </w:r>
      <w:r>
        <w:rPr>
          <w:spacing w:val="-24"/>
        </w:rPr>
        <w:t xml:space="preserve"> </w:t>
      </w:r>
      <w:r>
        <w:rPr>
          <w:spacing w:val="-2"/>
        </w:rPr>
        <w:t>牌照的发放将为我国实体经济高质量发展赋能，为通信行</w:t>
      </w:r>
      <w:r>
        <w:rPr/>
        <w:t xml:space="preserve"> </w:t>
      </w:r>
      <w:r>
        <w:rPr/>
        <w:t>业发展带来创新发展新机遇。同时，公司也面临国际外部环境复杂、行业发展放缓、激烈市场竞</w:t>
      </w:r>
      <w:r>
        <w:rPr>
          <w:spacing w:val="9"/>
        </w:rPr>
        <w:t xml:space="preserve"> </w:t>
      </w:r>
      <w:r>
        <w:rPr/>
        <w:t>争以及落实提速降费等政策带来的挑战，促使公司要进一步加快互联网化转型步伐，转换创新发</w:t>
      </w:r>
      <w:r>
        <w:rPr>
          <w:spacing w:val="9"/>
        </w:rPr>
        <w:t xml:space="preserve"> </w:t>
      </w:r>
      <w:r>
        <w:rPr>
          <w:spacing w:val="-2"/>
        </w:rPr>
        <w:t>展动能，实现高质量可持续发展。</w:t>
      </w:r>
    </w:p>
    <w:p>
      <w:pPr>
        <w:pStyle w:val="BodyText"/>
        <w:ind w:left="36" w:right="13" w:firstLine="427"/>
        <w:spacing w:before="26" w:line="313" w:lineRule="auto"/>
        <w:jc w:val="both"/>
        <w:rPr/>
      </w:pPr>
      <w:r>
        <w:rPr/>
        <w:t>下半年，公司将直面挑战，积极践行新发展理念，深化实施聚焦创新合作战略，纵深推进混 </w:t>
      </w:r>
      <w:r>
        <w:rPr/>
        <w:t>合所有制改革，奋力开创“五新”联通建设和高质量发展的新局面。公司将坚定不移的深化互联</w:t>
      </w:r>
      <w:r>
        <w:rPr>
          <w:spacing w:val="9"/>
        </w:rPr>
        <w:t xml:space="preserve"> </w:t>
      </w:r>
      <w:r>
        <w:rPr/>
        <w:t>网化运营，持续提升客户感知、运营效率和差异化竞争力，努力稳定基础业务，规模提升创新业</w:t>
      </w:r>
      <w:r>
        <w:rPr>
          <w:spacing w:val="9"/>
        </w:rPr>
        <w:t xml:space="preserve"> </w:t>
      </w:r>
      <w:r>
        <w:rPr>
          <w:spacing w:val="-4"/>
        </w:rPr>
        <w:t>务，扎实推进</w:t>
      </w:r>
      <w:r>
        <w:rPr>
          <w:spacing w:val="-40"/>
        </w:rPr>
        <w:t xml:space="preserve"> </w:t>
      </w:r>
      <w:r>
        <w:rPr>
          <w:spacing w:val="-4"/>
        </w:rPr>
        <w:t>5G</w:t>
      </w:r>
      <w:r>
        <w:rPr>
          <w:spacing w:val="-47"/>
        </w:rPr>
        <w:t xml:space="preserve"> </w:t>
      </w:r>
      <w:r>
        <w:rPr>
          <w:spacing w:val="-4"/>
        </w:rPr>
        <w:t>业务创新，驱动整体业务企稳增长</w:t>
      </w:r>
      <w:r>
        <w:rPr>
          <w:spacing w:val="-5"/>
        </w:rPr>
        <w:t>。坚持聚焦战略，积极谋求</w:t>
      </w:r>
      <w:r>
        <w:rPr>
          <w:spacing w:val="-39"/>
        </w:rPr>
        <w:t xml:space="preserve"> </w:t>
      </w:r>
      <w:r>
        <w:rPr>
          <w:spacing w:val="-5"/>
        </w:rPr>
        <w:t>5G</w:t>
      </w:r>
      <w:r>
        <w:rPr>
          <w:spacing w:val="-30"/>
        </w:rPr>
        <w:t xml:space="preserve"> </w:t>
      </w:r>
      <w:r>
        <w:rPr>
          <w:spacing w:val="-5"/>
        </w:rPr>
        <w:t>网络共建共享，</w:t>
      </w:r>
      <w:r>
        <w:rPr/>
        <w:t xml:space="preserve"> </w:t>
      </w:r>
      <w:r>
        <w:rPr>
          <w:spacing w:val="-1"/>
        </w:rPr>
        <w:t>完善</w:t>
      </w:r>
      <w:r>
        <w:rPr>
          <w:spacing w:val="-45"/>
        </w:rPr>
        <w:t xml:space="preserve"> </w:t>
      </w:r>
      <w:r>
        <w:rPr>
          <w:spacing w:val="-1"/>
        </w:rPr>
        <w:t>4G</w:t>
      </w:r>
      <w:r>
        <w:rPr>
          <w:spacing w:val="-28"/>
        </w:rPr>
        <w:t xml:space="preserve"> </w:t>
      </w:r>
      <w:r>
        <w:rPr>
          <w:spacing w:val="-1"/>
        </w:rPr>
        <w:t>网络，简化优化网络结构，精准高效建设</w:t>
      </w:r>
      <w:r>
        <w:rPr>
          <w:spacing w:val="-2"/>
        </w:rPr>
        <w:t xml:space="preserve"> “5G+4G”精品网，为业务发展提供坚实保障。</w:t>
      </w:r>
      <w:r>
        <w:rPr/>
        <w:t xml:space="preserve"> </w:t>
      </w:r>
      <w:r>
        <w:rPr/>
        <w:t>持续深化与战略投资者的业务和资本合作，纵深推进各领域的创新变革，推进降本增效，强化基</w:t>
      </w:r>
      <w:r>
        <w:rPr>
          <w:spacing w:val="9"/>
        </w:rPr>
        <w:t xml:space="preserve"> </w:t>
      </w:r>
      <w:r>
        <w:rPr>
          <w:spacing w:val="-1"/>
        </w:rPr>
        <w:t>础管理和风险管控，不断提升企业内生活力和运营效益，为股东创造更大价值。</w:t>
      </w:r>
    </w:p>
    <w:p>
      <w:pPr>
        <w:pStyle w:val="BodyText"/>
        <w:ind w:left="461"/>
        <w:spacing w:before="132" w:line="221" w:lineRule="auto"/>
        <w:rPr/>
      </w:pPr>
      <w:r>
        <w:rPr>
          <w:b/>
          <w:bCs/>
          <w:spacing w:val="-2"/>
        </w:rPr>
        <w:t>第二部分：财务情况讨论与分析</w:t>
      </w:r>
    </w:p>
    <w:p>
      <w:pPr>
        <w:spacing w:line="302" w:lineRule="auto"/>
        <w:rPr>
          <w:rFonts w:ascii="Arial"/>
          <w:sz w:val="21"/>
        </w:rPr>
      </w:pPr>
      <w:r/>
    </w:p>
    <w:p>
      <w:pPr>
        <w:pStyle w:val="BodyText"/>
        <w:ind w:left="477"/>
        <w:spacing w:before="68" w:line="221" w:lineRule="auto"/>
        <w:outlineLvl w:val="0"/>
        <w:rPr/>
      </w:pPr>
      <w:r>
        <w:rPr>
          <w:b/>
          <w:bCs/>
          <w:spacing w:val="-7"/>
        </w:rPr>
        <w:t>1．概述</w:t>
      </w:r>
    </w:p>
    <w:p>
      <w:pPr>
        <w:pStyle w:val="BodyText"/>
        <w:ind w:left="57" w:firstLine="401"/>
        <w:spacing w:before="272" w:line="302" w:lineRule="auto"/>
        <w:rPr/>
      </w:pPr>
      <w:r>
        <w:rPr>
          <w:spacing w:val="-3"/>
        </w:rPr>
        <w:t>2019</w:t>
      </w:r>
      <w:r>
        <w:rPr>
          <w:spacing w:val="-46"/>
        </w:rPr>
        <w:t xml:space="preserve"> </w:t>
      </w:r>
      <w:r>
        <w:rPr>
          <w:spacing w:val="-3"/>
        </w:rPr>
        <w:t>年上半年公司实现营业收入人民币</w:t>
      </w:r>
      <w:r>
        <w:rPr>
          <w:spacing w:val="-28"/>
        </w:rPr>
        <w:t xml:space="preserve"> </w:t>
      </w:r>
      <w:r>
        <w:rPr>
          <w:spacing w:val="-3"/>
        </w:rPr>
        <w:t>1,449.5</w:t>
      </w:r>
      <w:r>
        <w:rPr>
          <w:spacing w:val="-43"/>
        </w:rPr>
        <w:t xml:space="preserve"> </w:t>
      </w:r>
      <w:r>
        <w:rPr>
          <w:spacing w:val="-3"/>
        </w:rPr>
        <w:t>亿元，同比下降</w:t>
      </w:r>
      <w:r>
        <w:rPr>
          <w:spacing w:val="-44"/>
        </w:rPr>
        <w:t xml:space="preserve"> </w:t>
      </w:r>
      <w:r>
        <w:rPr>
          <w:spacing w:val="-3"/>
        </w:rPr>
        <w:t>2.8%，主营</w:t>
      </w:r>
      <w:r>
        <w:rPr>
          <w:spacing w:val="-4"/>
        </w:rPr>
        <w:t>业务收入实现人</w:t>
      </w:r>
      <w:r>
        <w:rPr/>
        <w:t xml:space="preserve"> </w:t>
      </w:r>
      <w:r>
        <w:rPr>
          <w:spacing w:val="-7"/>
        </w:rPr>
        <w:t>民币</w:t>
      </w:r>
      <w:r>
        <w:rPr>
          <w:spacing w:val="-24"/>
        </w:rPr>
        <w:t xml:space="preserve"> </w:t>
      </w:r>
      <w:r>
        <w:rPr>
          <w:spacing w:val="-7"/>
        </w:rPr>
        <w:t>1,329.6</w:t>
      </w:r>
      <w:r>
        <w:rPr>
          <w:spacing w:val="-43"/>
        </w:rPr>
        <w:t xml:space="preserve"> </w:t>
      </w:r>
      <w:r>
        <w:rPr>
          <w:spacing w:val="-7"/>
        </w:rPr>
        <w:t>亿元，同比下降</w:t>
      </w:r>
      <w:r>
        <w:rPr>
          <w:spacing w:val="-28"/>
        </w:rPr>
        <w:t xml:space="preserve"> </w:t>
      </w:r>
      <w:r>
        <w:rPr>
          <w:spacing w:val="-7"/>
        </w:rPr>
        <w:t>1.1%。归属于母公司净利润实现人民币</w:t>
      </w:r>
      <w:r>
        <w:rPr>
          <w:spacing w:val="-40"/>
        </w:rPr>
        <w:t xml:space="preserve"> </w:t>
      </w:r>
      <w:r>
        <w:rPr>
          <w:spacing w:val="-7"/>
        </w:rPr>
        <w:t>30.2</w:t>
      </w:r>
      <w:r>
        <w:rPr>
          <w:spacing w:val="-43"/>
        </w:rPr>
        <w:t xml:space="preserve"> </w:t>
      </w:r>
      <w:r>
        <w:rPr>
          <w:spacing w:val="-7"/>
        </w:rPr>
        <w:t>亿元，同比增长</w:t>
      </w:r>
      <w:r>
        <w:rPr>
          <w:spacing w:val="-28"/>
        </w:rPr>
        <w:t xml:space="preserve"> </w:t>
      </w:r>
      <w:r>
        <w:rPr>
          <w:spacing w:val="-7"/>
        </w:rPr>
        <w:t>16.8%。</w:t>
      </w:r>
    </w:p>
    <w:p>
      <w:pPr>
        <w:pStyle w:val="BodyText"/>
        <w:ind w:left="38" w:right="76" w:firstLine="420"/>
        <w:spacing w:before="34" w:line="303" w:lineRule="auto"/>
        <w:rPr/>
      </w:pPr>
      <w:r>
        <w:rPr>
          <w:spacing w:val="-1"/>
        </w:rPr>
        <w:t>2019</w:t>
      </w:r>
      <w:r>
        <w:rPr>
          <w:spacing w:val="-30"/>
        </w:rPr>
        <w:t xml:space="preserve"> </w:t>
      </w:r>
      <w:r>
        <w:rPr>
          <w:spacing w:val="-1"/>
        </w:rPr>
        <w:t>年上半年公司经营活动现金流量净额为人民币435.9</w:t>
      </w:r>
      <w:r>
        <w:rPr>
          <w:spacing w:val="-46"/>
        </w:rPr>
        <w:t xml:space="preserve"> </w:t>
      </w:r>
      <w:r>
        <w:rPr>
          <w:spacing w:val="-1"/>
        </w:rPr>
        <w:t>亿元，资本开支为人民币</w:t>
      </w:r>
      <w:r>
        <w:rPr>
          <w:spacing w:val="-41"/>
        </w:rPr>
        <w:t xml:space="preserve"> </w:t>
      </w:r>
      <w:r>
        <w:rPr>
          <w:spacing w:val="-1"/>
        </w:rPr>
        <w:t>220.5</w:t>
      </w:r>
      <w:r>
        <w:rPr>
          <w:spacing w:val="-46"/>
        </w:rPr>
        <w:t xml:space="preserve"> </w:t>
      </w:r>
      <w:r>
        <w:rPr>
          <w:spacing w:val="-1"/>
        </w:rPr>
        <w:t>亿</w:t>
      </w:r>
      <w:r>
        <w:rPr/>
        <w:t xml:space="preserve"> </w:t>
      </w:r>
      <w:r>
        <w:rPr>
          <w:spacing w:val="-4"/>
        </w:rPr>
        <w:t>元。截至</w:t>
      </w:r>
      <w:r>
        <w:rPr>
          <w:spacing w:val="-42"/>
        </w:rPr>
        <w:t xml:space="preserve"> </w:t>
      </w:r>
      <w:r>
        <w:rPr>
          <w:spacing w:val="-4"/>
        </w:rPr>
        <w:t>2019</w:t>
      </w:r>
      <w:r>
        <w:rPr>
          <w:spacing w:val="-46"/>
        </w:rPr>
        <w:t xml:space="preserve"> </w:t>
      </w:r>
      <w:r>
        <w:rPr>
          <w:spacing w:val="-4"/>
        </w:rPr>
        <w:t>年</w:t>
      </w:r>
      <w:r>
        <w:rPr>
          <w:spacing w:val="-43"/>
        </w:rPr>
        <w:t xml:space="preserve"> </w:t>
      </w:r>
      <w:r>
        <w:rPr>
          <w:spacing w:val="-4"/>
        </w:rPr>
        <w:t>6</w:t>
      </w:r>
      <w:r>
        <w:rPr>
          <w:spacing w:val="-41"/>
        </w:rPr>
        <w:t xml:space="preserve"> </w:t>
      </w:r>
      <w:r>
        <w:rPr>
          <w:spacing w:val="-4"/>
        </w:rPr>
        <w:t>月</w:t>
      </w:r>
      <w:r>
        <w:rPr>
          <w:spacing w:val="-39"/>
        </w:rPr>
        <w:t xml:space="preserve"> </w:t>
      </w:r>
      <w:r>
        <w:rPr>
          <w:spacing w:val="-4"/>
        </w:rPr>
        <w:t>30 日，公司资产负债率为</w:t>
      </w:r>
      <w:r>
        <w:rPr>
          <w:spacing w:val="-45"/>
        </w:rPr>
        <w:t xml:space="preserve"> </w:t>
      </w:r>
      <w:r>
        <w:rPr>
          <w:spacing w:val="-4"/>
        </w:rPr>
        <w:t>43.6%。</w:t>
      </w:r>
    </w:p>
    <w:p>
      <w:pPr>
        <w:pStyle w:val="BodyText"/>
        <w:ind w:left="37" w:right="14" w:firstLine="426"/>
        <w:spacing w:before="30" w:line="312" w:lineRule="auto"/>
        <w:rPr/>
      </w:pPr>
      <w:r>
        <w:rPr>
          <w:spacing w:val="-10"/>
        </w:rPr>
        <w:t>公司自</w:t>
      </w:r>
      <w:r>
        <w:rPr>
          <w:spacing w:val="-56"/>
        </w:rPr>
        <w:t xml:space="preserve"> </w:t>
      </w:r>
      <w:r>
        <w:rPr>
          <w:spacing w:val="-10"/>
        </w:rPr>
        <w:t>2019</w:t>
      </w:r>
      <w:r>
        <w:rPr>
          <w:spacing w:val="-58"/>
        </w:rPr>
        <w:t xml:space="preserve"> </w:t>
      </w:r>
      <w:r>
        <w:rPr>
          <w:spacing w:val="-10"/>
        </w:rPr>
        <w:t>年</w:t>
      </w:r>
      <w:r>
        <w:rPr>
          <w:spacing w:val="-40"/>
        </w:rPr>
        <w:t xml:space="preserve"> </w:t>
      </w:r>
      <w:r>
        <w:rPr>
          <w:spacing w:val="-10"/>
        </w:rPr>
        <w:t>1</w:t>
      </w:r>
      <w:r>
        <w:rPr>
          <w:spacing w:val="-53"/>
        </w:rPr>
        <w:t xml:space="preserve"> </w:t>
      </w:r>
      <w:r>
        <w:rPr>
          <w:spacing w:val="-10"/>
        </w:rPr>
        <w:t>月</w:t>
      </w:r>
      <w:r>
        <w:rPr>
          <w:spacing w:val="-40"/>
        </w:rPr>
        <w:t xml:space="preserve"> </w:t>
      </w:r>
      <w:r>
        <w:rPr>
          <w:spacing w:val="-10"/>
        </w:rPr>
        <w:t>1 日起执行《企业会计准则第</w:t>
      </w:r>
      <w:r>
        <w:rPr>
          <w:spacing w:val="-53"/>
        </w:rPr>
        <w:t xml:space="preserve"> </w:t>
      </w:r>
      <w:r>
        <w:rPr>
          <w:spacing w:val="-10"/>
        </w:rPr>
        <w:t>21</w:t>
      </w:r>
      <w:r>
        <w:rPr>
          <w:spacing w:val="-54"/>
        </w:rPr>
        <w:t xml:space="preserve"> </w:t>
      </w:r>
      <w:r>
        <w:rPr>
          <w:spacing w:val="-10"/>
        </w:rPr>
        <w:t>号——租赁</w:t>
      </w:r>
      <w:r>
        <w:rPr>
          <w:spacing w:val="44"/>
        </w:rPr>
        <w:t xml:space="preserve"> </w:t>
      </w:r>
      <w:r>
        <w:rPr>
          <w:spacing w:val="-10"/>
        </w:rPr>
        <w:t>(修订) 》(“新租赁准则”)，</w:t>
      </w:r>
      <w:r>
        <w:rPr/>
        <w:t xml:space="preserve"> </w:t>
      </w:r>
      <w:r>
        <w:rPr/>
        <w:t>根据准则允许的简化处理方法，对所有适用的租赁确认租赁负债及相应的使用权资产，并确认租</w:t>
      </w:r>
      <w:r>
        <w:rPr>
          <w:spacing w:val="8"/>
        </w:rPr>
        <w:t xml:space="preserve"> </w:t>
      </w:r>
      <w:r>
        <w:rPr/>
        <w:t>赁负债未偿还余额所产生的利息费用以及使用权资产的折旧费用。公司选择采用修订追溯法执行</w:t>
      </w:r>
      <w:r>
        <w:rPr>
          <w:spacing w:val="8"/>
        </w:rPr>
        <w:t xml:space="preserve"> </w:t>
      </w:r>
      <w:r>
        <w:rPr>
          <w:spacing w:val="-2"/>
        </w:rPr>
        <w:t>该准则，即对首次执行前年度/期间的可比期间不予调整，同时将首</w:t>
      </w:r>
      <w:r>
        <w:rPr>
          <w:spacing w:val="-3"/>
        </w:rPr>
        <w:t>次执行累积影响数确认为总资</w:t>
      </w:r>
      <w:r>
        <w:rPr/>
        <w:t xml:space="preserve"> </w:t>
      </w:r>
      <w:r>
        <w:rPr>
          <w:spacing w:val="-3"/>
        </w:rPr>
        <w:t>产、总负债及期初留存收益和少数股东权益的调整。因此，执行新租赁准则导致</w:t>
      </w:r>
      <w:r>
        <w:rPr>
          <w:spacing w:val="-24"/>
        </w:rPr>
        <w:t xml:space="preserve"> </w:t>
      </w:r>
      <w:r>
        <w:rPr>
          <w:spacing w:val="-3"/>
        </w:rPr>
        <w:t>2019</w:t>
      </w:r>
      <w:r>
        <w:rPr>
          <w:spacing w:val="-45"/>
        </w:rPr>
        <w:t xml:space="preserve"> </w:t>
      </w:r>
      <w:r>
        <w:rPr>
          <w:spacing w:val="-3"/>
        </w:rPr>
        <w:t>年上半年折</w:t>
      </w:r>
      <w:r>
        <w:rPr/>
        <w:t xml:space="preserve"> </w:t>
      </w:r>
      <w:r>
        <w:rPr/>
        <w:t>旧及摊销和财务费用有所增加，但同时网络运行及支撑成本中的租赁费用相应有所下降。</w:t>
      </w:r>
    </w:p>
    <w:p>
      <w:pPr>
        <w:pStyle w:val="BodyText"/>
        <w:ind w:left="464"/>
        <w:spacing w:before="132" w:line="221" w:lineRule="auto"/>
        <w:outlineLvl w:val="0"/>
        <w:rPr/>
      </w:pPr>
      <w:r>
        <w:rPr>
          <w:b/>
          <w:bCs/>
          <w:spacing w:val="-3"/>
        </w:rPr>
        <w:t>2．营业收入</w:t>
      </w:r>
    </w:p>
    <w:p>
      <w:pPr>
        <w:pStyle w:val="BodyText"/>
        <w:ind w:left="39" w:right="81" w:firstLine="419"/>
        <w:spacing w:before="271" w:line="302" w:lineRule="auto"/>
        <w:rPr/>
      </w:pPr>
      <w:r>
        <w:rPr>
          <w:spacing w:val="-3"/>
        </w:rPr>
        <w:t>2019</w:t>
      </w:r>
      <w:r>
        <w:rPr>
          <w:spacing w:val="-45"/>
        </w:rPr>
        <w:t xml:space="preserve"> </w:t>
      </w:r>
      <w:r>
        <w:rPr>
          <w:spacing w:val="-3"/>
        </w:rPr>
        <w:t>年上半年公司营业收入实现人民币</w:t>
      </w:r>
      <w:r>
        <w:rPr>
          <w:spacing w:val="-29"/>
        </w:rPr>
        <w:t xml:space="preserve"> </w:t>
      </w:r>
      <w:r>
        <w:rPr>
          <w:spacing w:val="-3"/>
        </w:rPr>
        <w:t>1,449.5</w:t>
      </w:r>
      <w:r>
        <w:rPr>
          <w:spacing w:val="-43"/>
        </w:rPr>
        <w:t xml:space="preserve"> </w:t>
      </w:r>
      <w:r>
        <w:rPr>
          <w:spacing w:val="-3"/>
        </w:rPr>
        <w:t>亿元</w:t>
      </w:r>
      <w:r>
        <w:rPr>
          <w:spacing w:val="-4"/>
        </w:rPr>
        <w:t>，同比下降</w:t>
      </w:r>
      <w:r>
        <w:rPr>
          <w:spacing w:val="-41"/>
        </w:rPr>
        <w:t xml:space="preserve"> </w:t>
      </w:r>
      <w:r>
        <w:rPr>
          <w:spacing w:val="-4"/>
        </w:rPr>
        <w:t>2.8%。其中，主营业务收入</w:t>
      </w:r>
      <w:r>
        <w:rPr/>
        <w:t xml:space="preserve"> </w:t>
      </w:r>
      <w:r>
        <w:rPr>
          <w:spacing w:val="-3"/>
        </w:rPr>
        <w:t>为人民币</w:t>
      </w:r>
      <w:r>
        <w:rPr>
          <w:spacing w:val="-25"/>
        </w:rPr>
        <w:t xml:space="preserve"> </w:t>
      </w:r>
      <w:r>
        <w:rPr>
          <w:spacing w:val="-3"/>
        </w:rPr>
        <w:t>1,329.6</w:t>
      </w:r>
      <w:r>
        <w:rPr>
          <w:spacing w:val="-43"/>
        </w:rPr>
        <w:t xml:space="preserve"> </w:t>
      </w:r>
      <w:r>
        <w:rPr>
          <w:spacing w:val="-3"/>
        </w:rPr>
        <w:t>亿元，同比下降</w:t>
      </w:r>
      <w:r>
        <w:rPr>
          <w:spacing w:val="-28"/>
        </w:rPr>
        <w:t xml:space="preserve"> </w:t>
      </w:r>
      <w:r>
        <w:rPr>
          <w:spacing w:val="-3"/>
        </w:rPr>
        <w:t>1.1%。</w:t>
      </w:r>
    </w:p>
    <w:p>
      <w:pPr>
        <w:pStyle w:val="BodyText"/>
        <w:ind w:left="36" w:right="72" w:firstLine="427"/>
        <w:spacing w:before="34" w:line="270" w:lineRule="auto"/>
        <w:rPr/>
      </w:pPr>
      <w:r>
        <w:rPr>
          <w:spacing w:val="-1"/>
        </w:rPr>
        <w:t>下表反映了公司</w:t>
      </w:r>
      <w:r>
        <w:rPr>
          <w:spacing w:val="-37"/>
        </w:rPr>
        <w:t xml:space="preserve"> </w:t>
      </w:r>
      <w:r>
        <w:rPr>
          <w:spacing w:val="-1"/>
        </w:rPr>
        <w:t>2019</w:t>
      </w:r>
      <w:r>
        <w:rPr>
          <w:spacing w:val="-43"/>
        </w:rPr>
        <w:t xml:space="preserve"> </w:t>
      </w:r>
      <w:r>
        <w:rPr>
          <w:spacing w:val="-1"/>
        </w:rPr>
        <w:t>年上半年和</w:t>
      </w:r>
      <w:r>
        <w:rPr>
          <w:spacing w:val="-42"/>
        </w:rPr>
        <w:t xml:space="preserve"> </w:t>
      </w:r>
      <w:r>
        <w:rPr>
          <w:spacing w:val="-1"/>
        </w:rPr>
        <w:t>2018</w:t>
      </w:r>
      <w:r>
        <w:rPr>
          <w:spacing w:val="-43"/>
        </w:rPr>
        <w:t xml:space="preserve"> </w:t>
      </w:r>
      <w:r>
        <w:rPr>
          <w:spacing w:val="-1"/>
        </w:rPr>
        <w:t>年上半年主营业务收入构成的变化情况及各业务主营</w:t>
      </w:r>
      <w:r>
        <w:rPr/>
        <w:t xml:space="preserve"> </w:t>
      </w:r>
      <w:r>
        <w:rPr>
          <w:spacing w:val="-1"/>
        </w:rPr>
        <w:t>业务收入所占主营业务收入百分比情况：</w:t>
      </w:r>
    </w:p>
    <w:tbl>
      <w:tblPr>
        <w:tblStyle w:val="TableNormal"/>
        <w:tblW w:w="8430" w:type="dxa"/>
        <w:tblInd w:w="4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075"/>
        <w:gridCol w:w="1246"/>
        <w:gridCol w:w="1430"/>
        <w:gridCol w:w="1249"/>
        <w:gridCol w:w="1430"/>
      </w:tblGrid>
      <w:tr>
        <w:trPr>
          <w:trHeight w:val="332" w:hRule="atLeast"/>
        </w:trPr>
        <w:tc>
          <w:tcPr>
            <w:tcW w:w="3075" w:type="dxa"/>
            <w:vAlign w:val="top"/>
            <w:vMerge w:val="restart"/>
            <w:tcBorders>
              <w:bottom w:val="nil"/>
              <w:right w:val="single" w:color="000000" w:sz="2" w:space="0"/>
              <w:top w:val="single" w:color="000000" w:sz="2" w:space="0"/>
            </w:tcBorders>
          </w:tcPr>
          <w:p>
            <w:pPr>
              <w:spacing w:line="334" w:lineRule="auto"/>
              <w:rPr>
                <w:rFonts w:ascii="Arial"/>
                <w:sz w:val="21"/>
              </w:rPr>
            </w:pPr>
            <w:r/>
          </w:p>
          <w:p>
            <w:pPr>
              <w:pStyle w:val="TableText"/>
              <w:ind w:left="654"/>
              <w:spacing w:before="58" w:line="219" w:lineRule="auto"/>
              <w:rPr>
                <w:sz w:val="18"/>
                <w:szCs w:val="18"/>
              </w:rPr>
            </w:pPr>
            <w:r>
              <w:rPr>
                <w:sz w:val="18"/>
                <w:szCs w:val="18"/>
                <w:spacing w:val="-3"/>
              </w:rPr>
              <w:t>（单位：人民币亿元）</w:t>
            </w:r>
          </w:p>
        </w:tc>
        <w:tc>
          <w:tcPr>
            <w:tcW w:w="2676" w:type="dxa"/>
            <w:vAlign w:val="top"/>
            <w:gridSpan w:val="2"/>
            <w:tcBorders>
              <w:left w:val="single" w:color="000000" w:sz="2" w:space="0"/>
              <w:bottom w:val="single" w:color="000000" w:sz="2" w:space="0"/>
              <w:right w:val="single" w:color="000000" w:sz="2" w:space="0"/>
              <w:top w:val="single" w:color="000000" w:sz="2" w:space="0"/>
            </w:tcBorders>
          </w:tcPr>
          <w:p>
            <w:pPr>
              <w:pStyle w:val="TableText"/>
              <w:ind w:left="780"/>
              <w:spacing w:before="79" w:line="220"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2"/>
                <w:w w:val="101"/>
              </w:rPr>
              <w:t xml:space="preserve"> </w:t>
            </w:r>
            <w:r>
              <w:rPr>
                <w:sz w:val="18"/>
                <w:szCs w:val="18"/>
                <w:spacing w:val="-2"/>
              </w:rPr>
              <w:t>年上半年</w:t>
            </w:r>
          </w:p>
        </w:tc>
        <w:tc>
          <w:tcPr>
            <w:tcW w:w="2679" w:type="dxa"/>
            <w:vAlign w:val="top"/>
            <w:gridSpan w:val="2"/>
            <w:tcBorders>
              <w:left w:val="single" w:color="000000" w:sz="2" w:space="0"/>
              <w:bottom w:val="single" w:color="000000" w:sz="2" w:space="0"/>
              <w:top w:val="single" w:color="000000" w:sz="2" w:space="0"/>
            </w:tcBorders>
          </w:tcPr>
          <w:p>
            <w:pPr>
              <w:pStyle w:val="TableText"/>
              <w:ind w:left="780"/>
              <w:spacing w:before="79" w:line="220" w:lineRule="auto"/>
              <w:rPr>
                <w:sz w:val="18"/>
                <w:szCs w:val="18"/>
              </w:rPr>
            </w:pPr>
            <w:r>
              <w:rPr>
                <w:rFonts w:ascii="Calibri" w:hAnsi="Calibri" w:eastAsia="Calibri" w:cs="Calibri"/>
                <w:sz w:val="18"/>
                <w:szCs w:val="18"/>
                <w:spacing w:val="-2"/>
              </w:rPr>
              <w:t>2018</w:t>
            </w:r>
            <w:r>
              <w:rPr>
                <w:rFonts w:ascii="Calibri" w:hAnsi="Calibri" w:eastAsia="Calibri" w:cs="Calibri"/>
                <w:sz w:val="18"/>
                <w:szCs w:val="18"/>
                <w:spacing w:val="12"/>
                <w:w w:val="101"/>
              </w:rPr>
              <w:t xml:space="preserve"> </w:t>
            </w:r>
            <w:r>
              <w:rPr>
                <w:sz w:val="18"/>
                <w:szCs w:val="18"/>
                <w:spacing w:val="-2"/>
              </w:rPr>
              <w:t>年上半年</w:t>
            </w:r>
          </w:p>
        </w:tc>
      </w:tr>
      <w:tr>
        <w:trPr>
          <w:trHeight w:val="622" w:hRule="atLeast"/>
        </w:trPr>
        <w:tc>
          <w:tcPr>
            <w:tcW w:w="3075" w:type="dxa"/>
            <w:vAlign w:val="top"/>
            <w:vMerge w:val="continue"/>
            <w:tcBorders>
              <w:bottom w:val="single" w:color="000000" w:sz="2" w:space="0"/>
              <w:right w:val="single" w:color="000000" w:sz="2" w:space="0"/>
              <w:top w:val="nil"/>
            </w:tcBorders>
          </w:tcPr>
          <w:p>
            <w:pPr>
              <w:rPr>
                <w:rFonts w:ascii="Arial"/>
                <w:sz w:val="21"/>
              </w:rPr>
            </w:pPr>
            <w:r/>
          </w:p>
        </w:tc>
        <w:tc>
          <w:tcPr>
            <w:tcW w:w="1246" w:type="dxa"/>
            <w:vAlign w:val="top"/>
            <w:tcBorders>
              <w:left w:val="single" w:color="000000" w:sz="2" w:space="0"/>
              <w:bottom w:val="single" w:color="000000" w:sz="2" w:space="0"/>
              <w:top w:val="single" w:color="000000" w:sz="2" w:space="0"/>
            </w:tcBorders>
          </w:tcPr>
          <w:p>
            <w:pPr>
              <w:pStyle w:val="TableText"/>
              <w:ind w:left="318"/>
              <w:spacing w:before="218" w:line="220" w:lineRule="auto"/>
              <w:rPr>
                <w:sz w:val="18"/>
                <w:szCs w:val="18"/>
              </w:rPr>
            </w:pPr>
            <w:r>
              <w:rPr>
                <w:sz w:val="18"/>
                <w:szCs w:val="18"/>
                <w:spacing w:val="-3"/>
              </w:rPr>
              <w:t>累计完成</w:t>
            </w:r>
          </w:p>
        </w:tc>
        <w:tc>
          <w:tcPr>
            <w:tcW w:w="1430" w:type="dxa"/>
            <w:vAlign w:val="top"/>
            <w:tcBorders>
              <w:bottom w:val="single" w:color="000000" w:sz="2" w:space="0"/>
              <w:right w:val="single" w:color="000000" w:sz="2" w:space="0"/>
              <w:top w:val="single" w:color="000000" w:sz="2" w:space="0"/>
            </w:tcBorders>
          </w:tcPr>
          <w:p>
            <w:pPr>
              <w:pStyle w:val="TableText"/>
              <w:ind w:left="322" w:right="126" w:hanging="95"/>
              <w:spacing w:before="62" w:line="282" w:lineRule="auto"/>
              <w:rPr>
                <w:sz w:val="18"/>
                <w:szCs w:val="18"/>
              </w:rPr>
            </w:pPr>
            <w:r>
              <w:rPr>
                <w:sz w:val="18"/>
                <w:szCs w:val="18"/>
                <w:spacing w:val="-2"/>
              </w:rPr>
              <w:t>所占主营业务</w:t>
            </w:r>
            <w:r>
              <w:rPr>
                <w:sz w:val="18"/>
                <w:szCs w:val="18"/>
                <w:spacing w:val="3"/>
              </w:rPr>
              <w:t xml:space="preserve"> </w:t>
            </w:r>
            <w:r>
              <w:rPr>
                <w:sz w:val="18"/>
                <w:szCs w:val="18"/>
                <w:spacing w:val="-3"/>
              </w:rPr>
              <w:t>收入百分比</w:t>
            </w:r>
          </w:p>
        </w:tc>
        <w:tc>
          <w:tcPr>
            <w:tcW w:w="1249" w:type="dxa"/>
            <w:vAlign w:val="top"/>
            <w:tcBorders>
              <w:left w:val="single" w:color="000000" w:sz="2" w:space="0"/>
              <w:bottom w:val="single" w:color="000000" w:sz="2" w:space="0"/>
              <w:top w:val="single" w:color="000000" w:sz="2" w:space="0"/>
            </w:tcBorders>
          </w:tcPr>
          <w:p>
            <w:pPr>
              <w:pStyle w:val="TableText"/>
              <w:ind w:left="321"/>
              <w:spacing w:before="218" w:line="220" w:lineRule="auto"/>
              <w:rPr>
                <w:sz w:val="18"/>
                <w:szCs w:val="18"/>
              </w:rPr>
            </w:pPr>
            <w:r>
              <w:rPr>
                <w:sz w:val="18"/>
                <w:szCs w:val="18"/>
                <w:spacing w:val="-3"/>
              </w:rPr>
              <w:t>累计完成</w:t>
            </w:r>
          </w:p>
        </w:tc>
        <w:tc>
          <w:tcPr>
            <w:tcW w:w="1430" w:type="dxa"/>
            <w:vAlign w:val="top"/>
            <w:tcBorders>
              <w:bottom w:val="single" w:color="000000" w:sz="2" w:space="0"/>
              <w:top w:val="single" w:color="000000" w:sz="2" w:space="0"/>
            </w:tcBorders>
          </w:tcPr>
          <w:p>
            <w:pPr>
              <w:pStyle w:val="TableText"/>
              <w:ind w:left="322" w:right="129" w:hanging="95"/>
              <w:spacing w:before="62" w:line="282" w:lineRule="auto"/>
              <w:rPr>
                <w:sz w:val="18"/>
                <w:szCs w:val="18"/>
              </w:rPr>
            </w:pPr>
            <w:r>
              <w:rPr>
                <w:sz w:val="18"/>
                <w:szCs w:val="18"/>
                <w:spacing w:val="-2"/>
              </w:rPr>
              <w:t>所占主营业务</w:t>
            </w:r>
            <w:r>
              <w:rPr>
                <w:sz w:val="18"/>
                <w:szCs w:val="18"/>
                <w:spacing w:val="3"/>
              </w:rPr>
              <w:t xml:space="preserve"> </w:t>
            </w:r>
            <w:r>
              <w:rPr>
                <w:sz w:val="18"/>
                <w:szCs w:val="18"/>
                <w:spacing w:val="-3"/>
              </w:rPr>
              <w:t>收入百分比</w:t>
            </w:r>
          </w:p>
        </w:tc>
      </w:tr>
      <w:tr>
        <w:trPr>
          <w:trHeight w:val="315" w:hRule="atLeast"/>
        </w:trPr>
        <w:tc>
          <w:tcPr>
            <w:tcW w:w="3075" w:type="dxa"/>
            <w:vAlign w:val="top"/>
            <w:tcBorders>
              <w:right w:val="single" w:color="000000" w:sz="2" w:space="0"/>
              <w:top w:val="single" w:color="000000" w:sz="2" w:space="0"/>
            </w:tcBorders>
          </w:tcPr>
          <w:p>
            <w:pPr>
              <w:pStyle w:val="TableText"/>
              <w:ind w:left="82"/>
              <w:spacing w:before="63" w:line="220" w:lineRule="auto"/>
              <w:rPr>
                <w:sz w:val="18"/>
                <w:szCs w:val="18"/>
              </w:rPr>
            </w:pPr>
            <w:r>
              <w:rPr>
                <w:sz w:val="18"/>
                <w:szCs w:val="18"/>
                <w:b/>
                <w:bCs/>
                <w:spacing w:val="-3"/>
              </w:rPr>
              <w:t>主营业务收入</w:t>
            </w:r>
          </w:p>
        </w:tc>
        <w:tc>
          <w:tcPr>
            <w:tcW w:w="1246" w:type="dxa"/>
            <w:vAlign w:val="top"/>
            <w:tcBorders>
              <w:left w:val="single" w:color="000000" w:sz="2" w:space="0"/>
              <w:top w:val="single" w:color="000000" w:sz="2" w:space="0"/>
            </w:tcBorders>
          </w:tcPr>
          <w:p>
            <w:pPr>
              <w:ind w:left="363"/>
              <w:spacing w:before="70" w:line="220" w:lineRule="auto"/>
              <w:rPr>
                <w:rFonts w:ascii="Calibri" w:hAnsi="Calibri" w:eastAsia="Calibri" w:cs="Calibri"/>
                <w:sz w:val="21"/>
                <w:szCs w:val="21"/>
              </w:rPr>
            </w:pPr>
            <w:r>
              <w:rPr>
                <w:rFonts w:ascii="Calibri" w:hAnsi="Calibri" w:eastAsia="Calibri" w:cs="Calibri"/>
                <w:sz w:val="21"/>
                <w:szCs w:val="21"/>
                <w:spacing w:val="-3"/>
              </w:rPr>
              <w:t>1,329.6</w:t>
            </w:r>
          </w:p>
        </w:tc>
        <w:tc>
          <w:tcPr>
            <w:tcW w:w="1430" w:type="dxa"/>
            <w:vAlign w:val="top"/>
            <w:tcBorders>
              <w:right w:val="single" w:color="000000" w:sz="2" w:space="0"/>
              <w:top w:val="single" w:color="000000" w:sz="2" w:space="0"/>
            </w:tcBorders>
          </w:tcPr>
          <w:p>
            <w:pPr>
              <w:ind w:left="759"/>
              <w:spacing w:before="91" w:line="181" w:lineRule="auto"/>
              <w:rPr>
                <w:rFonts w:ascii="Calibri" w:hAnsi="Calibri" w:eastAsia="Calibri" w:cs="Calibri"/>
                <w:sz w:val="21"/>
                <w:szCs w:val="21"/>
              </w:rPr>
            </w:pPr>
            <w:r>
              <w:rPr>
                <w:rFonts w:ascii="Calibri" w:hAnsi="Calibri" w:eastAsia="Calibri" w:cs="Calibri"/>
                <w:sz w:val="21"/>
                <w:szCs w:val="21"/>
                <w:spacing w:val="-3"/>
              </w:rPr>
              <w:t>100.0%</w:t>
            </w:r>
          </w:p>
        </w:tc>
        <w:tc>
          <w:tcPr>
            <w:tcW w:w="1249" w:type="dxa"/>
            <w:vAlign w:val="top"/>
            <w:tcBorders>
              <w:left w:val="single" w:color="000000" w:sz="2" w:space="0"/>
              <w:top w:val="single" w:color="000000" w:sz="2" w:space="0"/>
            </w:tcBorders>
          </w:tcPr>
          <w:p>
            <w:pPr>
              <w:ind w:left="366"/>
              <w:spacing w:before="70" w:line="220" w:lineRule="auto"/>
              <w:rPr>
                <w:rFonts w:ascii="Calibri" w:hAnsi="Calibri" w:eastAsia="Calibri" w:cs="Calibri"/>
                <w:sz w:val="21"/>
                <w:szCs w:val="21"/>
              </w:rPr>
            </w:pPr>
            <w:r>
              <w:rPr>
                <w:rFonts w:ascii="Calibri" w:hAnsi="Calibri" w:eastAsia="Calibri" w:cs="Calibri"/>
                <w:sz w:val="21"/>
                <w:szCs w:val="21"/>
                <w:spacing w:val="-3"/>
              </w:rPr>
              <w:t>1,344.2</w:t>
            </w:r>
          </w:p>
        </w:tc>
        <w:tc>
          <w:tcPr>
            <w:tcW w:w="1430" w:type="dxa"/>
            <w:vAlign w:val="top"/>
            <w:tcBorders>
              <w:top w:val="single" w:color="000000" w:sz="2" w:space="0"/>
            </w:tcBorders>
          </w:tcPr>
          <w:p>
            <w:pPr>
              <w:ind w:left="759"/>
              <w:spacing w:before="91" w:line="181" w:lineRule="auto"/>
              <w:rPr>
                <w:rFonts w:ascii="Calibri" w:hAnsi="Calibri" w:eastAsia="Calibri" w:cs="Calibri"/>
                <w:sz w:val="21"/>
                <w:szCs w:val="21"/>
              </w:rPr>
            </w:pPr>
            <w:r>
              <w:rPr>
                <w:rFonts w:ascii="Calibri" w:hAnsi="Calibri" w:eastAsia="Calibri" w:cs="Calibri"/>
                <w:sz w:val="21"/>
                <w:szCs w:val="21"/>
                <w:spacing w:val="-3"/>
              </w:rPr>
              <w:t>100.0%</w:t>
            </w:r>
          </w:p>
        </w:tc>
      </w:tr>
      <w:tr>
        <w:trPr>
          <w:trHeight w:val="301" w:hRule="atLeast"/>
        </w:trPr>
        <w:tc>
          <w:tcPr>
            <w:tcW w:w="3075" w:type="dxa"/>
            <w:vAlign w:val="top"/>
            <w:tcBorders>
              <w:right w:val="single" w:color="000000" w:sz="2" w:space="0"/>
            </w:tcBorders>
          </w:tcPr>
          <w:p>
            <w:pPr>
              <w:pStyle w:val="TableText"/>
              <w:ind w:left="262"/>
              <w:spacing w:before="60" w:line="220" w:lineRule="auto"/>
              <w:rPr>
                <w:sz w:val="18"/>
                <w:szCs w:val="18"/>
              </w:rPr>
            </w:pPr>
            <w:r>
              <w:rPr>
                <w:sz w:val="18"/>
                <w:szCs w:val="18"/>
                <w:b/>
                <w:bCs/>
                <w:spacing w:val="-3"/>
              </w:rPr>
              <w:t>其中：语音业务</w:t>
            </w:r>
          </w:p>
        </w:tc>
        <w:tc>
          <w:tcPr>
            <w:tcW w:w="1246" w:type="dxa"/>
            <w:vAlign w:val="top"/>
            <w:tcBorders>
              <w:left w:val="single" w:color="000000" w:sz="2" w:space="0"/>
            </w:tcBorders>
          </w:tcPr>
          <w:p>
            <w:pPr>
              <w:ind w:left="438"/>
              <w:spacing w:before="90" w:line="179" w:lineRule="auto"/>
              <w:rPr>
                <w:rFonts w:ascii="Calibri" w:hAnsi="Calibri" w:eastAsia="Calibri" w:cs="Calibri"/>
                <w:sz w:val="21"/>
                <w:szCs w:val="21"/>
              </w:rPr>
            </w:pPr>
            <w:r>
              <w:rPr>
                <w:rFonts w:ascii="Calibri" w:hAnsi="Calibri" w:eastAsia="Calibri" w:cs="Calibri"/>
                <w:sz w:val="21"/>
                <w:szCs w:val="21"/>
                <w:spacing w:val="-2"/>
              </w:rPr>
              <w:t>204.1</w:t>
            </w:r>
          </w:p>
        </w:tc>
        <w:tc>
          <w:tcPr>
            <w:tcW w:w="1430" w:type="dxa"/>
            <w:vAlign w:val="top"/>
            <w:tcBorders>
              <w:right w:val="single" w:color="000000" w:sz="2" w:space="0"/>
            </w:tcBorders>
          </w:tcPr>
          <w:p>
            <w:pPr>
              <w:ind w:left="865"/>
              <w:spacing w:before="88" w:line="181" w:lineRule="auto"/>
              <w:rPr>
                <w:rFonts w:ascii="Calibri" w:hAnsi="Calibri" w:eastAsia="Calibri" w:cs="Calibri"/>
                <w:sz w:val="21"/>
                <w:szCs w:val="21"/>
              </w:rPr>
            </w:pPr>
            <w:r>
              <w:rPr>
                <w:rFonts w:ascii="Calibri" w:hAnsi="Calibri" w:eastAsia="Calibri" w:cs="Calibri"/>
                <w:sz w:val="21"/>
                <w:szCs w:val="21"/>
                <w:spacing w:val="-4"/>
              </w:rPr>
              <w:t>15.4%</w:t>
            </w:r>
          </w:p>
        </w:tc>
        <w:tc>
          <w:tcPr>
            <w:tcW w:w="1249" w:type="dxa"/>
            <w:vAlign w:val="top"/>
            <w:tcBorders>
              <w:left w:val="single" w:color="000000" w:sz="2" w:space="0"/>
            </w:tcBorders>
          </w:tcPr>
          <w:p>
            <w:pPr>
              <w:ind w:left="439"/>
              <w:spacing w:before="90" w:line="179" w:lineRule="auto"/>
              <w:rPr>
                <w:rFonts w:ascii="Calibri" w:hAnsi="Calibri" w:eastAsia="Calibri" w:cs="Calibri"/>
                <w:sz w:val="21"/>
                <w:szCs w:val="21"/>
              </w:rPr>
            </w:pPr>
            <w:r>
              <w:rPr>
                <w:rFonts w:ascii="Calibri" w:hAnsi="Calibri" w:eastAsia="Calibri" w:cs="Calibri"/>
                <w:sz w:val="21"/>
                <w:szCs w:val="21"/>
                <w:spacing w:val="-2"/>
              </w:rPr>
              <w:t>240.0</w:t>
            </w:r>
          </w:p>
        </w:tc>
        <w:tc>
          <w:tcPr>
            <w:tcW w:w="1430" w:type="dxa"/>
            <w:vAlign w:val="top"/>
          </w:tcPr>
          <w:p>
            <w:pPr>
              <w:ind w:left="867"/>
              <w:spacing w:before="88" w:line="181" w:lineRule="auto"/>
              <w:rPr>
                <w:rFonts w:ascii="Calibri" w:hAnsi="Calibri" w:eastAsia="Calibri" w:cs="Calibri"/>
                <w:sz w:val="21"/>
                <w:szCs w:val="21"/>
              </w:rPr>
            </w:pPr>
            <w:r>
              <w:rPr>
                <w:rFonts w:ascii="Calibri" w:hAnsi="Calibri" w:eastAsia="Calibri" w:cs="Calibri"/>
                <w:sz w:val="21"/>
                <w:szCs w:val="21"/>
                <w:spacing w:val="-4"/>
              </w:rPr>
              <w:t>17.9%</w:t>
            </w:r>
          </w:p>
        </w:tc>
      </w:tr>
      <w:tr>
        <w:trPr>
          <w:trHeight w:val="329" w:hRule="atLeast"/>
        </w:trPr>
        <w:tc>
          <w:tcPr>
            <w:tcW w:w="3075" w:type="dxa"/>
            <w:vAlign w:val="top"/>
            <w:tcBorders>
              <w:bottom w:val="single" w:color="000000" w:sz="2" w:space="0"/>
              <w:right w:val="single" w:color="000000" w:sz="2" w:space="0"/>
            </w:tcBorders>
          </w:tcPr>
          <w:p>
            <w:pPr>
              <w:pStyle w:val="TableText"/>
              <w:ind w:left="806"/>
              <w:spacing w:before="71" w:line="220" w:lineRule="auto"/>
              <w:rPr>
                <w:sz w:val="18"/>
                <w:szCs w:val="18"/>
              </w:rPr>
            </w:pPr>
            <w:r>
              <w:rPr>
                <w:sz w:val="18"/>
                <w:szCs w:val="18"/>
                <w:b/>
                <w:bCs/>
                <w:spacing w:val="-4"/>
              </w:rPr>
              <w:t>非语音业务</w:t>
            </w:r>
          </w:p>
        </w:tc>
        <w:tc>
          <w:tcPr>
            <w:tcW w:w="1246" w:type="dxa"/>
            <w:vAlign w:val="top"/>
            <w:tcBorders>
              <w:left w:val="single" w:color="000000" w:sz="2" w:space="0"/>
              <w:bottom w:val="single" w:color="000000" w:sz="2" w:space="0"/>
            </w:tcBorders>
          </w:tcPr>
          <w:p>
            <w:pPr>
              <w:ind w:left="365"/>
              <w:spacing w:before="77" w:line="223" w:lineRule="auto"/>
              <w:rPr>
                <w:rFonts w:ascii="Calibri" w:hAnsi="Calibri" w:eastAsia="Calibri" w:cs="Calibri"/>
                <w:sz w:val="21"/>
                <w:szCs w:val="21"/>
              </w:rPr>
            </w:pPr>
            <w:r>
              <w:rPr>
                <w:rFonts w:ascii="Calibri" w:hAnsi="Calibri" w:eastAsia="Calibri" w:cs="Calibri"/>
                <w:sz w:val="21"/>
                <w:szCs w:val="21"/>
                <w:spacing w:val="-3"/>
              </w:rPr>
              <w:t>1,125.5</w:t>
            </w:r>
          </w:p>
        </w:tc>
        <w:tc>
          <w:tcPr>
            <w:tcW w:w="1430" w:type="dxa"/>
            <w:vAlign w:val="top"/>
            <w:tcBorders>
              <w:bottom w:val="single" w:color="000000" w:sz="2" w:space="0"/>
              <w:right w:val="single" w:color="000000" w:sz="2" w:space="0"/>
            </w:tcBorders>
          </w:tcPr>
          <w:p>
            <w:pPr>
              <w:ind w:left="855"/>
              <w:spacing w:before="99" w:line="181" w:lineRule="auto"/>
              <w:rPr>
                <w:rFonts w:ascii="Calibri" w:hAnsi="Calibri" w:eastAsia="Calibri" w:cs="Calibri"/>
                <w:sz w:val="21"/>
                <w:szCs w:val="21"/>
              </w:rPr>
            </w:pPr>
            <w:r>
              <w:rPr>
                <w:rFonts w:ascii="Calibri" w:hAnsi="Calibri" w:eastAsia="Calibri" w:cs="Calibri"/>
                <w:sz w:val="21"/>
                <w:szCs w:val="21"/>
                <w:spacing w:val="-2"/>
              </w:rPr>
              <w:t>84.6%</w:t>
            </w:r>
          </w:p>
        </w:tc>
        <w:tc>
          <w:tcPr>
            <w:tcW w:w="1249" w:type="dxa"/>
            <w:vAlign w:val="top"/>
            <w:tcBorders>
              <w:left w:val="single" w:color="000000" w:sz="2" w:space="0"/>
              <w:bottom w:val="single" w:color="000000" w:sz="2" w:space="0"/>
            </w:tcBorders>
          </w:tcPr>
          <w:p>
            <w:pPr>
              <w:ind w:left="366"/>
              <w:spacing w:before="77" w:line="223" w:lineRule="auto"/>
              <w:rPr>
                <w:rFonts w:ascii="Calibri" w:hAnsi="Calibri" w:eastAsia="Calibri" w:cs="Calibri"/>
                <w:sz w:val="21"/>
                <w:szCs w:val="21"/>
              </w:rPr>
            </w:pPr>
            <w:r>
              <w:rPr>
                <w:rFonts w:ascii="Calibri" w:hAnsi="Calibri" w:eastAsia="Calibri" w:cs="Calibri"/>
                <w:sz w:val="21"/>
                <w:szCs w:val="21"/>
                <w:spacing w:val="-3"/>
              </w:rPr>
              <w:t>1,104.2</w:t>
            </w:r>
          </w:p>
        </w:tc>
        <w:tc>
          <w:tcPr>
            <w:tcW w:w="1430" w:type="dxa"/>
            <w:vAlign w:val="top"/>
            <w:tcBorders>
              <w:bottom w:val="single" w:color="000000" w:sz="2" w:space="0"/>
            </w:tcBorders>
          </w:tcPr>
          <w:p>
            <w:pPr>
              <w:ind w:left="857"/>
              <w:spacing w:before="99" w:line="181" w:lineRule="auto"/>
              <w:rPr>
                <w:rFonts w:ascii="Calibri" w:hAnsi="Calibri" w:eastAsia="Calibri" w:cs="Calibri"/>
                <w:sz w:val="21"/>
                <w:szCs w:val="21"/>
              </w:rPr>
            </w:pPr>
            <w:r>
              <w:rPr>
                <w:rFonts w:ascii="Calibri" w:hAnsi="Calibri" w:eastAsia="Calibri" w:cs="Calibri"/>
                <w:sz w:val="21"/>
                <w:szCs w:val="21"/>
                <w:spacing w:val="-2"/>
              </w:rPr>
              <w:t>82.1%</w:t>
            </w:r>
          </w:p>
        </w:tc>
      </w:tr>
    </w:tbl>
    <w:p>
      <w:pPr>
        <w:spacing w:line="146" w:lineRule="exact"/>
        <w:rPr>
          <w:rFonts w:ascii="Arial"/>
          <w:sz w:val="12"/>
        </w:rPr>
      </w:pPr>
      <w:r/>
    </w:p>
    <w:p>
      <w:pPr>
        <w:spacing w:line="146" w:lineRule="exact"/>
        <w:sectPr>
          <w:headerReference w:type="default" r:id="rId17"/>
          <w:footerReference w:type="default" r:id="rId18"/>
          <w:pgSz w:w="11907" w:h="16839"/>
          <w:pgMar w:top="1391" w:right="1195" w:bottom="1375" w:left="1771" w:header="842" w:footer="1212" w:gutter="0"/>
        </w:sectPr>
        <w:rPr>
          <w:rFonts w:ascii="Arial" w:hAnsi="Arial" w:eastAsia="Arial" w:cs="Arial"/>
          <w:sz w:val="12"/>
          <w:szCs w:val="12"/>
        </w:rPr>
      </w:pPr>
    </w:p>
    <w:p>
      <w:pPr>
        <w:pStyle w:val="BodyText"/>
        <w:ind w:left="474"/>
        <w:spacing w:before="188" w:line="221" w:lineRule="auto"/>
        <w:outlineLvl w:val="3"/>
        <w:rPr/>
      </w:pPr>
      <w:r>
        <w:rPr>
          <w:b/>
          <w:bCs/>
          <w:spacing w:val="-7"/>
        </w:rPr>
        <w:t>1）语音业务</w:t>
      </w:r>
    </w:p>
    <w:p>
      <w:pPr>
        <w:pStyle w:val="BodyText"/>
        <w:ind w:left="411"/>
        <w:spacing w:before="216" w:line="220" w:lineRule="auto"/>
        <w:rPr/>
      </w:pPr>
      <w:r>
        <w:rPr>
          <w:spacing w:val="-1"/>
        </w:rPr>
        <w:t>2019</w:t>
      </w:r>
      <w:r>
        <w:rPr>
          <w:spacing w:val="-46"/>
        </w:rPr>
        <w:t xml:space="preserve"> </w:t>
      </w:r>
      <w:r>
        <w:rPr>
          <w:spacing w:val="-1"/>
        </w:rPr>
        <w:t>年上半年公司语音业务收入实现人民</w:t>
      </w:r>
      <w:r>
        <w:rPr>
          <w:spacing w:val="-2"/>
        </w:rPr>
        <w:t>币</w:t>
      </w:r>
      <w:r>
        <w:rPr>
          <w:spacing w:val="-41"/>
        </w:rPr>
        <w:t xml:space="preserve"> </w:t>
      </w:r>
      <w:r>
        <w:rPr>
          <w:spacing w:val="-2"/>
        </w:rPr>
        <w:t>204.1</w:t>
      </w:r>
      <w:r>
        <w:rPr>
          <w:spacing w:val="-45"/>
        </w:rPr>
        <w:t xml:space="preserve"> </w:t>
      </w:r>
      <w:r>
        <w:rPr>
          <w:spacing w:val="-2"/>
        </w:rPr>
        <w:t>亿元，同比下降</w:t>
      </w:r>
      <w:r>
        <w:rPr>
          <w:spacing w:val="-29"/>
        </w:rPr>
        <w:t xml:space="preserve"> </w:t>
      </w:r>
      <w:r>
        <w:rPr>
          <w:spacing w:val="-2"/>
        </w:rPr>
        <w:t>14.9%。</w:t>
      </w:r>
    </w:p>
    <w:p>
      <w:pPr>
        <w:pStyle w:val="BodyText"/>
        <w:ind w:left="461"/>
        <w:spacing w:before="217" w:line="221" w:lineRule="auto"/>
        <w:outlineLvl w:val="3"/>
        <w:rPr/>
      </w:pPr>
      <w:r>
        <w:rPr>
          <w:b/>
          <w:bCs/>
          <w:spacing w:val="-4"/>
        </w:rPr>
        <w:t>2）非语音业务</w:t>
      </w:r>
    </w:p>
    <w:p>
      <w:pPr>
        <w:pStyle w:val="BodyText"/>
        <w:ind w:left="411"/>
        <w:spacing w:before="216" w:line="218" w:lineRule="auto"/>
        <w:rPr/>
      </w:pPr>
      <w:r>
        <w:rPr>
          <w:spacing w:val="-2"/>
        </w:rPr>
        <w:t>2019</w:t>
      </w:r>
      <w:r>
        <w:rPr>
          <w:spacing w:val="-35"/>
        </w:rPr>
        <w:t xml:space="preserve"> </w:t>
      </w:r>
      <w:r>
        <w:rPr>
          <w:spacing w:val="-2"/>
        </w:rPr>
        <w:t>年上半年公司非语音业务收入实现人民币</w:t>
      </w:r>
      <w:r>
        <w:rPr>
          <w:spacing w:val="-28"/>
        </w:rPr>
        <w:t xml:space="preserve"> </w:t>
      </w:r>
      <w:r>
        <w:rPr>
          <w:spacing w:val="-2"/>
        </w:rPr>
        <w:t>1,125.5</w:t>
      </w:r>
      <w:r>
        <w:rPr>
          <w:spacing w:val="-44"/>
        </w:rPr>
        <w:t xml:space="preserve"> </w:t>
      </w:r>
      <w:r>
        <w:rPr>
          <w:spacing w:val="-2"/>
        </w:rPr>
        <w:t>亿元，同比增长</w:t>
      </w:r>
      <w:r>
        <w:rPr>
          <w:spacing w:val="-30"/>
        </w:rPr>
        <w:t xml:space="preserve"> </w:t>
      </w:r>
      <w:r>
        <w:rPr>
          <w:spacing w:val="-2"/>
        </w:rPr>
        <w:t>1.9%。</w:t>
      </w:r>
    </w:p>
    <w:p>
      <w:pPr>
        <w:pStyle w:val="BodyText"/>
        <w:ind w:left="463"/>
        <w:spacing w:before="220" w:line="220" w:lineRule="auto"/>
        <w:outlineLvl w:val="0"/>
        <w:rPr/>
      </w:pPr>
      <w:r>
        <w:rPr>
          <w:b/>
          <w:bCs/>
          <w:spacing w:val="-4"/>
        </w:rPr>
        <w:t>3.成本费用</w:t>
      </w:r>
    </w:p>
    <w:p>
      <w:pPr>
        <w:pStyle w:val="BodyText"/>
        <w:ind w:left="411"/>
        <w:spacing w:before="218" w:line="218" w:lineRule="auto"/>
        <w:rPr/>
      </w:pPr>
      <w:r>
        <w:rPr>
          <w:spacing w:val="-2"/>
        </w:rPr>
        <w:t>2019</w:t>
      </w:r>
      <w:r>
        <w:rPr>
          <w:spacing w:val="-39"/>
        </w:rPr>
        <w:t xml:space="preserve"> </w:t>
      </w:r>
      <w:r>
        <w:rPr>
          <w:spacing w:val="-2"/>
        </w:rPr>
        <w:t>年上半年公司成本费用合计为人民币</w:t>
      </w:r>
      <w:r>
        <w:rPr>
          <w:spacing w:val="-29"/>
        </w:rPr>
        <w:t xml:space="preserve"> </w:t>
      </w:r>
      <w:r>
        <w:rPr>
          <w:spacing w:val="-2"/>
        </w:rPr>
        <w:t>1,350.2</w:t>
      </w:r>
      <w:r>
        <w:rPr>
          <w:spacing w:val="-45"/>
        </w:rPr>
        <w:t xml:space="preserve"> </w:t>
      </w:r>
      <w:r>
        <w:rPr>
          <w:spacing w:val="-2"/>
        </w:rPr>
        <w:t>亿元，同比下降</w:t>
      </w:r>
      <w:r>
        <w:rPr>
          <w:spacing w:val="-28"/>
        </w:rPr>
        <w:t xml:space="preserve"> </w:t>
      </w:r>
      <w:r>
        <w:rPr>
          <w:spacing w:val="-2"/>
        </w:rPr>
        <w:t>1.8%。</w:t>
      </w:r>
    </w:p>
    <w:p>
      <w:pPr>
        <w:pStyle w:val="BodyText"/>
        <w:ind w:left="44" w:right="60" w:firstLine="371"/>
        <w:spacing w:before="221" w:line="261" w:lineRule="auto"/>
        <w:rPr/>
      </w:pPr>
      <w:r>
        <w:rPr>
          <w:spacing w:val="-1"/>
        </w:rPr>
        <w:t>下表列出了</w:t>
      </w:r>
      <w:r>
        <w:rPr>
          <w:spacing w:val="-28"/>
        </w:rPr>
        <w:t xml:space="preserve"> </w:t>
      </w:r>
      <w:r>
        <w:rPr>
          <w:spacing w:val="-1"/>
        </w:rPr>
        <w:t>2019</w:t>
      </w:r>
      <w:r>
        <w:rPr>
          <w:spacing w:val="-31"/>
        </w:rPr>
        <w:t xml:space="preserve"> </w:t>
      </w:r>
      <w:r>
        <w:rPr>
          <w:spacing w:val="-1"/>
        </w:rPr>
        <w:t>年上半年和</w:t>
      </w:r>
      <w:r>
        <w:rPr>
          <w:spacing w:val="-27"/>
        </w:rPr>
        <w:t xml:space="preserve"> </w:t>
      </w:r>
      <w:r>
        <w:rPr>
          <w:spacing w:val="-1"/>
        </w:rPr>
        <w:t>2018</w:t>
      </w:r>
      <w:r>
        <w:rPr>
          <w:spacing w:val="-31"/>
        </w:rPr>
        <w:t xml:space="preserve"> </w:t>
      </w:r>
      <w:r>
        <w:rPr>
          <w:spacing w:val="-1"/>
        </w:rPr>
        <w:t>年上半年公司成本费用项目以及每个项目所占营业收入的</w:t>
      </w:r>
      <w:r>
        <w:rPr/>
        <w:t xml:space="preserve"> </w:t>
      </w:r>
      <w:r>
        <w:rPr>
          <w:spacing w:val="-2"/>
        </w:rPr>
        <w:t>百分比变化情况：</w:t>
      </w:r>
    </w:p>
    <w:p>
      <w:pPr>
        <w:spacing w:line="134" w:lineRule="exact"/>
        <w:rPr/>
      </w:pPr>
      <w:r/>
    </w:p>
    <w:tbl>
      <w:tblPr>
        <w:tblStyle w:val="TableNormal"/>
        <w:tblW w:w="8226" w:type="dxa"/>
        <w:tblInd w:w="43"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3394"/>
        <w:gridCol w:w="1115"/>
        <w:gridCol w:w="1299"/>
        <w:gridCol w:w="1117"/>
        <w:gridCol w:w="1301"/>
      </w:tblGrid>
      <w:tr>
        <w:trPr>
          <w:trHeight w:val="612" w:hRule="atLeast"/>
        </w:trPr>
        <w:tc>
          <w:tcPr>
            <w:tcW w:w="3394" w:type="dxa"/>
            <w:vAlign w:val="top"/>
            <w:vMerge w:val="restart"/>
            <w:tcBorders>
              <w:bottom w:val="nil"/>
              <w:right w:val="single" w:color="000000" w:sz="2" w:space="0"/>
              <w:top w:val="single" w:color="000000" w:sz="2" w:space="0"/>
            </w:tcBorders>
          </w:tcPr>
          <w:p>
            <w:pPr>
              <w:spacing w:line="249" w:lineRule="auto"/>
              <w:rPr>
                <w:rFonts w:ascii="Arial"/>
                <w:sz w:val="21"/>
              </w:rPr>
            </w:pPr>
            <w:r/>
          </w:p>
          <w:p>
            <w:pPr>
              <w:spacing w:line="250" w:lineRule="auto"/>
              <w:rPr>
                <w:rFonts w:ascii="Arial"/>
                <w:sz w:val="21"/>
              </w:rPr>
            </w:pPr>
            <w:r/>
          </w:p>
          <w:p>
            <w:pPr>
              <w:pStyle w:val="TableText"/>
              <w:ind w:left="815"/>
              <w:spacing w:before="58" w:line="219" w:lineRule="auto"/>
              <w:rPr>
                <w:sz w:val="18"/>
                <w:szCs w:val="18"/>
              </w:rPr>
            </w:pPr>
            <w:r>
              <w:rPr>
                <w:sz w:val="18"/>
                <w:szCs w:val="18"/>
                <w:spacing w:val="-3"/>
              </w:rPr>
              <w:t>（单位：人民币亿元）</w:t>
            </w:r>
          </w:p>
        </w:tc>
        <w:tc>
          <w:tcPr>
            <w:tcW w:w="2414" w:type="dxa"/>
            <w:vAlign w:val="top"/>
            <w:gridSpan w:val="2"/>
            <w:tcBorders>
              <w:left w:val="single" w:color="000000" w:sz="2" w:space="0"/>
              <w:bottom w:val="single" w:color="000000" w:sz="2" w:space="0"/>
              <w:right w:val="single" w:color="000000" w:sz="2" w:space="0"/>
              <w:top w:val="single" w:color="000000" w:sz="2" w:space="0"/>
            </w:tcBorders>
          </w:tcPr>
          <w:p>
            <w:pPr>
              <w:pStyle w:val="TableText"/>
              <w:ind w:left="648"/>
              <w:spacing w:before="219" w:line="220"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2"/>
                <w:w w:val="102"/>
              </w:rPr>
              <w:t xml:space="preserve"> </w:t>
            </w:r>
            <w:r>
              <w:rPr>
                <w:sz w:val="18"/>
                <w:szCs w:val="18"/>
                <w:spacing w:val="-2"/>
              </w:rPr>
              <w:t>年上半年</w:t>
            </w:r>
          </w:p>
        </w:tc>
        <w:tc>
          <w:tcPr>
            <w:tcW w:w="2418" w:type="dxa"/>
            <w:vAlign w:val="top"/>
            <w:gridSpan w:val="2"/>
            <w:tcBorders>
              <w:left w:val="single" w:color="000000" w:sz="2" w:space="0"/>
              <w:bottom w:val="single" w:color="000000" w:sz="2" w:space="0"/>
              <w:top w:val="single" w:color="000000" w:sz="2" w:space="0"/>
            </w:tcBorders>
          </w:tcPr>
          <w:p>
            <w:pPr>
              <w:pStyle w:val="TableText"/>
              <w:ind w:left="651"/>
              <w:spacing w:before="219" w:line="220" w:lineRule="auto"/>
              <w:rPr>
                <w:sz w:val="18"/>
                <w:szCs w:val="18"/>
              </w:rPr>
            </w:pPr>
            <w:r>
              <w:rPr>
                <w:rFonts w:ascii="Calibri" w:hAnsi="Calibri" w:eastAsia="Calibri" w:cs="Calibri"/>
                <w:sz w:val="18"/>
                <w:szCs w:val="18"/>
                <w:spacing w:val="-2"/>
              </w:rPr>
              <w:t>2018</w:t>
            </w:r>
            <w:r>
              <w:rPr>
                <w:rFonts w:ascii="Calibri" w:hAnsi="Calibri" w:eastAsia="Calibri" w:cs="Calibri"/>
                <w:sz w:val="18"/>
                <w:szCs w:val="18"/>
                <w:spacing w:val="13"/>
              </w:rPr>
              <w:t xml:space="preserve"> </w:t>
            </w:r>
            <w:r>
              <w:rPr>
                <w:sz w:val="18"/>
                <w:szCs w:val="18"/>
                <w:spacing w:val="-2"/>
              </w:rPr>
              <w:t>年上半年</w:t>
            </w:r>
          </w:p>
        </w:tc>
      </w:tr>
      <w:tr>
        <w:trPr>
          <w:trHeight w:val="676" w:hRule="atLeast"/>
        </w:trPr>
        <w:tc>
          <w:tcPr>
            <w:tcW w:w="3394" w:type="dxa"/>
            <w:vAlign w:val="top"/>
            <w:vMerge w:val="continue"/>
            <w:tcBorders>
              <w:bottom w:val="single" w:color="000000" w:sz="2" w:space="0"/>
              <w:right w:val="single" w:color="000000" w:sz="2" w:space="0"/>
              <w:top w:val="nil"/>
            </w:tcBorders>
          </w:tcPr>
          <w:p>
            <w:pPr>
              <w:rPr>
                <w:rFonts w:ascii="Arial"/>
                <w:sz w:val="21"/>
              </w:rPr>
            </w:pPr>
            <w:r/>
          </w:p>
        </w:tc>
        <w:tc>
          <w:tcPr>
            <w:tcW w:w="1115" w:type="dxa"/>
            <w:vAlign w:val="top"/>
            <w:tcBorders>
              <w:left w:val="single" w:color="000000" w:sz="2" w:space="0"/>
              <w:bottom w:val="single" w:color="000000" w:sz="2" w:space="0"/>
              <w:top w:val="single" w:color="000000" w:sz="2" w:space="0"/>
            </w:tcBorders>
          </w:tcPr>
          <w:p>
            <w:pPr>
              <w:pStyle w:val="TableText"/>
              <w:ind w:left="254"/>
              <w:spacing w:before="246" w:line="220" w:lineRule="auto"/>
              <w:rPr>
                <w:sz w:val="18"/>
                <w:szCs w:val="18"/>
              </w:rPr>
            </w:pPr>
            <w:r>
              <w:rPr>
                <w:sz w:val="18"/>
                <w:szCs w:val="18"/>
                <w:spacing w:val="-3"/>
              </w:rPr>
              <w:t>累计发生</w:t>
            </w:r>
          </w:p>
        </w:tc>
        <w:tc>
          <w:tcPr>
            <w:tcW w:w="1299" w:type="dxa"/>
            <w:vAlign w:val="top"/>
            <w:tcBorders>
              <w:bottom w:val="single" w:color="000000" w:sz="2" w:space="0"/>
              <w:right w:val="single" w:color="000000" w:sz="2" w:space="0"/>
              <w:top w:val="single" w:color="000000" w:sz="2" w:space="0"/>
            </w:tcBorders>
          </w:tcPr>
          <w:p>
            <w:pPr>
              <w:pStyle w:val="TableText"/>
              <w:ind w:left="439" w:right="61" w:hanging="277"/>
              <w:spacing w:before="90" w:line="295" w:lineRule="auto"/>
              <w:rPr>
                <w:sz w:val="18"/>
                <w:szCs w:val="18"/>
              </w:rPr>
            </w:pPr>
            <w:r>
              <w:rPr>
                <w:sz w:val="18"/>
                <w:szCs w:val="18"/>
                <w:spacing w:val="-2"/>
              </w:rPr>
              <w:t>所占营业收入</w:t>
            </w:r>
            <w:r>
              <w:rPr>
                <w:sz w:val="18"/>
                <w:szCs w:val="18"/>
                <w:spacing w:val="3"/>
              </w:rPr>
              <w:t xml:space="preserve"> </w:t>
            </w:r>
            <w:r>
              <w:rPr>
                <w:sz w:val="18"/>
                <w:szCs w:val="18"/>
                <w:spacing w:val="-3"/>
              </w:rPr>
              <w:t>百分比</w:t>
            </w:r>
          </w:p>
        </w:tc>
        <w:tc>
          <w:tcPr>
            <w:tcW w:w="1117" w:type="dxa"/>
            <w:vAlign w:val="top"/>
            <w:tcBorders>
              <w:left w:val="single" w:color="000000" w:sz="2" w:space="0"/>
              <w:bottom w:val="single" w:color="000000" w:sz="2" w:space="0"/>
              <w:top w:val="single" w:color="000000" w:sz="2" w:space="0"/>
            </w:tcBorders>
          </w:tcPr>
          <w:p>
            <w:pPr>
              <w:pStyle w:val="TableText"/>
              <w:ind w:left="254"/>
              <w:spacing w:before="246" w:line="220" w:lineRule="auto"/>
              <w:rPr>
                <w:sz w:val="18"/>
                <w:szCs w:val="18"/>
              </w:rPr>
            </w:pPr>
            <w:r>
              <w:rPr>
                <w:sz w:val="18"/>
                <w:szCs w:val="18"/>
                <w:spacing w:val="-3"/>
              </w:rPr>
              <w:t>累计发生</w:t>
            </w:r>
          </w:p>
        </w:tc>
        <w:tc>
          <w:tcPr>
            <w:tcW w:w="1301" w:type="dxa"/>
            <w:vAlign w:val="top"/>
            <w:tcBorders>
              <w:bottom w:val="single" w:color="000000" w:sz="2" w:space="0"/>
              <w:top w:val="single" w:color="000000" w:sz="2" w:space="0"/>
            </w:tcBorders>
          </w:tcPr>
          <w:p>
            <w:pPr>
              <w:pStyle w:val="TableText"/>
              <w:ind w:left="440" w:right="64" w:hanging="277"/>
              <w:spacing w:before="90" w:line="295" w:lineRule="auto"/>
              <w:rPr>
                <w:sz w:val="18"/>
                <w:szCs w:val="18"/>
              </w:rPr>
            </w:pPr>
            <w:r>
              <w:rPr>
                <w:sz w:val="18"/>
                <w:szCs w:val="18"/>
                <w:spacing w:val="-2"/>
              </w:rPr>
              <w:t>所占营业收入</w:t>
            </w:r>
            <w:r>
              <w:rPr>
                <w:sz w:val="18"/>
                <w:szCs w:val="18"/>
                <w:spacing w:val="3"/>
              </w:rPr>
              <w:t xml:space="preserve"> </w:t>
            </w:r>
            <w:r>
              <w:rPr>
                <w:sz w:val="18"/>
                <w:szCs w:val="18"/>
                <w:spacing w:val="-3"/>
              </w:rPr>
              <w:t>百分比</w:t>
            </w:r>
          </w:p>
        </w:tc>
      </w:tr>
      <w:tr>
        <w:trPr>
          <w:trHeight w:val="350" w:hRule="atLeast"/>
        </w:trPr>
        <w:tc>
          <w:tcPr>
            <w:tcW w:w="3394" w:type="dxa"/>
            <w:vAlign w:val="top"/>
            <w:tcBorders>
              <w:right w:val="single" w:color="000000" w:sz="2" w:space="0"/>
              <w:top w:val="single" w:color="000000" w:sz="2" w:space="0"/>
            </w:tcBorders>
          </w:tcPr>
          <w:p>
            <w:pPr>
              <w:pStyle w:val="TableText"/>
              <w:ind w:left="82"/>
              <w:spacing w:before="95" w:line="219" w:lineRule="auto"/>
              <w:rPr>
                <w:sz w:val="18"/>
                <w:szCs w:val="18"/>
              </w:rPr>
            </w:pPr>
            <w:r>
              <w:rPr>
                <w:sz w:val="18"/>
                <w:szCs w:val="18"/>
                <w:b/>
                <w:bCs/>
                <w:spacing w:val="-3"/>
              </w:rPr>
              <w:t>成本费用合计</w:t>
            </w:r>
          </w:p>
        </w:tc>
        <w:tc>
          <w:tcPr>
            <w:tcW w:w="1115" w:type="dxa"/>
            <w:vAlign w:val="top"/>
            <w:tcBorders>
              <w:left w:val="single" w:color="000000" w:sz="2" w:space="0"/>
              <w:top w:val="single" w:color="000000" w:sz="2" w:space="0"/>
            </w:tcBorders>
          </w:tcPr>
          <w:p>
            <w:pPr>
              <w:ind w:left="298"/>
              <w:spacing w:before="70" w:line="223" w:lineRule="auto"/>
              <w:rPr>
                <w:rFonts w:ascii="Calibri" w:hAnsi="Calibri" w:eastAsia="Calibri" w:cs="Calibri"/>
                <w:sz w:val="21"/>
                <w:szCs w:val="21"/>
              </w:rPr>
            </w:pPr>
            <w:r>
              <w:rPr>
                <w:rFonts w:ascii="Calibri" w:hAnsi="Calibri" w:eastAsia="Calibri" w:cs="Calibri"/>
                <w:sz w:val="21"/>
                <w:szCs w:val="21"/>
                <w:spacing w:val="-3"/>
              </w:rPr>
              <w:t>1,350.2</w:t>
            </w:r>
          </w:p>
        </w:tc>
        <w:tc>
          <w:tcPr>
            <w:tcW w:w="1299" w:type="dxa"/>
            <w:vAlign w:val="top"/>
            <w:tcBorders>
              <w:right w:val="single" w:color="000000" w:sz="2" w:space="0"/>
              <w:top w:val="single" w:color="000000" w:sz="2" w:space="0"/>
            </w:tcBorders>
          </w:tcPr>
          <w:p>
            <w:pPr>
              <w:ind w:left="389"/>
              <w:spacing w:before="91" w:line="181" w:lineRule="auto"/>
              <w:rPr>
                <w:rFonts w:ascii="Calibri" w:hAnsi="Calibri" w:eastAsia="Calibri" w:cs="Calibri"/>
                <w:sz w:val="21"/>
                <w:szCs w:val="21"/>
              </w:rPr>
            </w:pPr>
            <w:r>
              <w:rPr>
                <w:rFonts w:ascii="Calibri" w:hAnsi="Calibri" w:eastAsia="Calibri" w:cs="Calibri"/>
                <w:sz w:val="21"/>
                <w:szCs w:val="21"/>
                <w:spacing w:val="-2"/>
              </w:rPr>
              <w:t>93.15%</w:t>
            </w:r>
          </w:p>
        </w:tc>
        <w:tc>
          <w:tcPr>
            <w:tcW w:w="1117" w:type="dxa"/>
            <w:vAlign w:val="top"/>
            <w:tcBorders>
              <w:left w:val="single" w:color="000000" w:sz="2" w:space="0"/>
              <w:top w:val="single" w:color="000000" w:sz="2" w:space="0"/>
            </w:tcBorders>
          </w:tcPr>
          <w:p>
            <w:pPr>
              <w:ind w:left="301"/>
              <w:spacing w:before="70" w:line="223" w:lineRule="auto"/>
              <w:rPr>
                <w:rFonts w:ascii="Calibri" w:hAnsi="Calibri" w:eastAsia="Calibri" w:cs="Calibri"/>
                <w:sz w:val="21"/>
                <w:szCs w:val="21"/>
              </w:rPr>
            </w:pPr>
            <w:r>
              <w:rPr>
                <w:rFonts w:ascii="Calibri" w:hAnsi="Calibri" w:eastAsia="Calibri" w:cs="Calibri"/>
                <w:sz w:val="21"/>
                <w:szCs w:val="21"/>
                <w:spacing w:val="-3"/>
              </w:rPr>
              <w:t>1,375.4</w:t>
            </w:r>
          </w:p>
        </w:tc>
        <w:tc>
          <w:tcPr>
            <w:tcW w:w="1301" w:type="dxa"/>
            <w:vAlign w:val="top"/>
            <w:tcBorders>
              <w:top w:val="single" w:color="000000" w:sz="2" w:space="0"/>
            </w:tcBorders>
          </w:tcPr>
          <w:p>
            <w:pPr>
              <w:ind w:left="392"/>
              <w:spacing w:before="91" w:line="181" w:lineRule="auto"/>
              <w:rPr>
                <w:rFonts w:ascii="Calibri" w:hAnsi="Calibri" w:eastAsia="Calibri" w:cs="Calibri"/>
                <w:sz w:val="21"/>
                <w:szCs w:val="21"/>
              </w:rPr>
            </w:pPr>
            <w:r>
              <w:rPr>
                <w:rFonts w:ascii="Calibri" w:hAnsi="Calibri" w:eastAsia="Calibri" w:cs="Calibri"/>
                <w:sz w:val="21"/>
                <w:szCs w:val="21"/>
                <w:spacing w:val="-2"/>
              </w:rPr>
              <w:t>92.24%</w:t>
            </w:r>
          </w:p>
        </w:tc>
      </w:tr>
      <w:tr>
        <w:trPr>
          <w:trHeight w:val="345" w:hRule="atLeast"/>
        </w:trPr>
        <w:tc>
          <w:tcPr>
            <w:tcW w:w="3394" w:type="dxa"/>
            <w:vAlign w:val="top"/>
            <w:tcBorders>
              <w:right w:val="single" w:color="000000" w:sz="2" w:space="0"/>
            </w:tcBorders>
          </w:tcPr>
          <w:p>
            <w:pPr>
              <w:pStyle w:val="TableText"/>
              <w:ind w:left="82"/>
              <w:spacing w:before="91" w:line="219" w:lineRule="auto"/>
              <w:rPr>
                <w:sz w:val="18"/>
                <w:szCs w:val="18"/>
              </w:rPr>
            </w:pPr>
            <w:r>
              <w:rPr>
                <w:sz w:val="18"/>
                <w:szCs w:val="18"/>
                <w:spacing w:val="-1"/>
              </w:rPr>
              <w:t>其中：网间结算成本</w:t>
            </w:r>
          </w:p>
        </w:tc>
        <w:tc>
          <w:tcPr>
            <w:tcW w:w="1115" w:type="dxa"/>
            <w:vAlign w:val="top"/>
            <w:tcBorders>
              <w:left w:val="single" w:color="000000" w:sz="2" w:space="0"/>
            </w:tcBorders>
          </w:tcPr>
          <w:p>
            <w:pPr>
              <w:ind w:left="427"/>
              <w:spacing w:before="86" w:line="179" w:lineRule="auto"/>
              <w:rPr>
                <w:rFonts w:ascii="Calibri" w:hAnsi="Calibri" w:eastAsia="Calibri" w:cs="Calibri"/>
                <w:sz w:val="21"/>
                <w:szCs w:val="21"/>
              </w:rPr>
            </w:pPr>
            <w:r>
              <w:rPr>
                <w:rFonts w:ascii="Calibri" w:hAnsi="Calibri" w:eastAsia="Calibri" w:cs="Calibri"/>
                <w:sz w:val="21"/>
                <w:szCs w:val="21"/>
                <w:spacing w:val="-4"/>
              </w:rPr>
              <w:t>57.8</w:t>
            </w:r>
          </w:p>
        </w:tc>
        <w:tc>
          <w:tcPr>
            <w:tcW w:w="1299" w:type="dxa"/>
            <w:vAlign w:val="top"/>
            <w:tcBorders>
              <w:right w:val="single" w:color="000000" w:sz="2" w:space="0"/>
            </w:tcBorders>
          </w:tcPr>
          <w:p>
            <w:pPr>
              <w:ind w:left="444"/>
              <w:spacing w:before="84" w:line="181" w:lineRule="auto"/>
              <w:rPr>
                <w:rFonts w:ascii="Calibri" w:hAnsi="Calibri" w:eastAsia="Calibri" w:cs="Calibri"/>
                <w:sz w:val="21"/>
                <w:szCs w:val="21"/>
              </w:rPr>
            </w:pPr>
            <w:r>
              <w:rPr>
                <w:rFonts w:ascii="Calibri" w:hAnsi="Calibri" w:eastAsia="Calibri" w:cs="Calibri"/>
                <w:sz w:val="21"/>
                <w:szCs w:val="21"/>
                <w:spacing w:val="-2"/>
              </w:rPr>
              <w:t>3.99%</w:t>
            </w:r>
          </w:p>
        </w:tc>
        <w:tc>
          <w:tcPr>
            <w:tcW w:w="1117" w:type="dxa"/>
            <w:vAlign w:val="top"/>
            <w:tcBorders>
              <w:left w:val="single" w:color="000000" w:sz="2" w:space="0"/>
            </w:tcBorders>
          </w:tcPr>
          <w:p>
            <w:pPr>
              <w:ind w:left="427"/>
              <w:spacing w:before="86" w:line="179" w:lineRule="auto"/>
              <w:rPr>
                <w:rFonts w:ascii="Calibri" w:hAnsi="Calibri" w:eastAsia="Calibri" w:cs="Calibri"/>
                <w:sz w:val="21"/>
                <w:szCs w:val="21"/>
              </w:rPr>
            </w:pPr>
            <w:r>
              <w:rPr>
                <w:rFonts w:ascii="Calibri" w:hAnsi="Calibri" w:eastAsia="Calibri" w:cs="Calibri"/>
                <w:sz w:val="21"/>
                <w:szCs w:val="21"/>
                <w:spacing w:val="-3"/>
              </w:rPr>
              <w:t>66.9</w:t>
            </w:r>
          </w:p>
        </w:tc>
        <w:tc>
          <w:tcPr>
            <w:tcW w:w="1301" w:type="dxa"/>
            <w:vAlign w:val="top"/>
          </w:tcPr>
          <w:p>
            <w:pPr>
              <w:ind w:left="439"/>
              <w:spacing w:before="84" w:line="181" w:lineRule="auto"/>
              <w:rPr>
                <w:rFonts w:ascii="Calibri" w:hAnsi="Calibri" w:eastAsia="Calibri" w:cs="Calibri"/>
                <w:sz w:val="21"/>
                <w:szCs w:val="21"/>
              </w:rPr>
            </w:pPr>
            <w:r>
              <w:rPr>
                <w:rFonts w:ascii="Calibri" w:hAnsi="Calibri" w:eastAsia="Calibri" w:cs="Calibri"/>
                <w:sz w:val="21"/>
                <w:szCs w:val="21"/>
                <w:spacing w:val="-1"/>
              </w:rPr>
              <w:t>4.48%</w:t>
            </w:r>
          </w:p>
        </w:tc>
      </w:tr>
      <w:tr>
        <w:trPr>
          <w:trHeight w:val="345" w:hRule="atLeast"/>
        </w:trPr>
        <w:tc>
          <w:tcPr>
            <w:tcW w:w="3394" w:type="dxa"/>
            <w:vAlign w:val="top"/>
            <w:tcBorders>
              <w:right w:val="single" w:color="000000" w:sz="2" w:space="0"/>
            </w:tcBorders>
          </w:tcPr>
          <w:p>
            <w:pPr>
              <w:pStyle w:val="TableText"/>
              <w:ind w:left="622"/>
              <w:spacing w:before="91" w:line="220" w:lineRule="auto"/>
              <w:rPr>
                <w:sz w:val="18"/>
                <w:szCs w:val="18"/>
              </w:rPr>
            </w:pPr>
            <w:r>
              <w:rPr>
                <w:sz w:val="18"/>
                <w:szCs w:val="18"/>
                <w:spacing w:val="-3"/>
              </w:rPr>
              <w:t>折旧及摊销（注</w:t>
            </w:r>
            <w:r>
              <w:rPr>
                <w:sz w:val="18"/>
                <w:szCs w:val="18"/>
                <w:spacing w:val="-27"/>
              </w:rPr>
              <w:t xml:space="preserve"> </w:t>
            </w:r>
            <w:r>
              <w:rPr>
                <w:rFonts w:ascii="Calibri" w:hAnsi="Calibri" w:eastAsia="Calibri" w:cs="Calibri"/>
                <w:sz w:val="18"/>
                <w:szCs w:val="18"/>
                <w:spacing w:val="-3"/>
              </w:rPr>
              <w:t>1</w:t>
            </w:r>
            <w:r>
              <w:rPr>
                <w:sz w:val="18"/>
                <w:szCs w:val="18"/>
                <w:spacing w:val="-3"/>
              </w:rPr>
              <w:t>）</w:t>
            </w:r>
          </w:p>
        </w:tc>
        <w:tc>
          <w:tcPr>
            <w:tcW w:w="1115" w:type="dxa"/>
            <w:vAlign w:val="top"/>
            <w:tcBorders>
              <w:left w:val="single" w:color="000000" w:sz="2" w:space="0"/>
            </w:tcBorders>
          </w:tcPr>
          <w:p>
            <w:pPr>
              <w:ind w:left="367"/>
              <w:spacing w:before="87" w:line="179" w:lineRule="auto"/>
              <w:rPr>
                <w:rFonts w:ascii="Calibri" w:hAnsi="Calibri" w:eastAsia="Calibri" w:cs="Calibri"/>
                <w:sz w:val="21"/>
                <w:szCs w:val="21"/>
              </w:rPr>
            </w:pPr>
            <w:r>
              <w:rPr>
                <w:rFonts w:ascii="Calibri" w:hAnsi="Calibri" w:eastAsia="Calibri" w:cs="Calibri"/>
                <w:sz w:val="21"/>
                <w:szCs w:val="21"/>
                <w:spacing w:val="-1"/>
              </w:rPr>
              <w:t>420.3</w:t>
            </w:r>
          </w:p>
        </w:tc>
        <w:tc>
          <w:tcPr>
            <w:tcW w:w="1299" w:type="dxa"/>
            <w:vAlign w:val="top"/>
            <w:tcBorders>
              <w:right w:val="single" w:color="000000" w:sz="2" w:space="0"/>
            </w:tcBorders>
          </w:tcPr>
          <w:p>
            <w:pPr>
              <w:ind w:left="392"/>
              <w:spacing w:before="64" w:line="264" w:lineRule="exact"/>
              <w:rPr>
                <w:rFonts w:ascii="Calibri" w:hAnsi="Calibri" w:eastAsia="Calibri" w:cs="Calibri"/>
                <w:sz w:val="21"/>
                <w:szCs w:val="21"/>
              </w:rPr>
            </w:pPr>
            <w:r>
              <w:rPr>
                <w:rFonts w:ascii="Calibri" w:hAnsi="Calibri" w:eastAsia="Calibri" w:cs="Calibri"/>
                <w:sz w:val="21"/>
                <w:szCs w:val="21"/>
                <w:spacing w:val="-2"/>
                <w:position w:val="1"/>
              </w:rPr>
              <w:t>29.00%</w:t>
            </w:r>
          </w:p>
        </w:tc>
        <w:tc>
          <w:tcPr>
            <w:tcW w:w="1117" w:type="dxa"/>
            <w:vAlign w:val="top"/>
            <w:tcBorders>
              <w:left w:val="single" w:color="000000" w:sz="2" w:space="0"/>
            </w:tcBorders>
          </w:tcPr>
          <w:p>
            <w:pPr>
              <w:ind w:left="371"/>
              <w:spacing w:before="87" w:line="179" w:lineRule="auto"/>
              <w:rPr>
                <w:rFonts w:ascii="Calibri" w:hAnsi="Calibri" w:eastAsia="Calibri" w:cs="Calibri"/>
                <w:sz w:val="21"/>
                <w:szCs w:val="21"/>
              </w:rPr>
            </w:pPr>
            <w:r>
              <w:rPr>
                <w:rFonts w:ascii="Calibri" w:hAnsi="Calibri" w:eastAsia="Calibri" w:cs="Calibri"/>
                <w:sz w:val="21"/>
                <w:szCs w:val="21"/>
                <w:spacing w:val="-2"/>
              </w:rPr>
              <w:t>388.9</w:t>
            </w:r>
          </w:p>
        </w:tc>
        <w:tc>
          <w:tcPr>
            <w:tcW w:w="1301" w:type="dxa"/>
            <w:vAlign w:val="top"/>
          </w:tcPr>
          <w:p>
            <w:pPr>
              <w:ind w:left="393"/>
              <w:spacing w:before="85" w:line="181" w:lineRule="auto"/>
              <w:rPr>
                <w:rFonts w:ascii="Calibri" w:hAnsi="Calibri" w:eastAsia="Calibri" w:cs="Calibri"/>
                <w:sz w:val="21"/>
                <w:szCs w:val="21"/>
              </w:rPr>
            </w:pPr>
            <w:r>
              <w:rPr>
                <w:rFonts w:ascii="Calibri" w:hAnsi="Calibri" w:eastAsia="Calibri" w:cs="Calibri"/>
                <w:sz w:val="21"/>
                <w:szCs w:val="21"/>
                <w:spacing w:val="-2"/>
              </w:rPr>
              <w:t>26.08%</w:t>
            </w:r>
          </w:p>
        </w:tc>
      </w:tr>
      <w:tr>
        <w:trPr>
          <w:trHeight w:val="345" w:hRule="atLeast"/>
        </w:trPr>
        <w:tc>
          <w:tcPr>
            <w:tcW w:w="3394" w:type="dxa"/>
            <w:vAlign w:val="top"/>
            <w:tcBorders>
              <w:right w:val="single" w:color="000000" w:sz="2" w:space="0"/>
            </w:tcBorders>
          </w:tcPr>
          <w:p>
            <w:pPr>
              <w:pStyle w:val="TableText"/>
              <w:ind w:left="635"/>
              <w:spacing w:before="92" w:line="219" w:lineRule="auto"/>
              <w:rPr>
                <w:sz w:val="18"/>
                <w:szCs w:val="18"/>
              </w:rPr>
            </w:pPr>
            <w:r>
              <w:rPr>
                <w:sz w:val="18"/>
                <w:szCs w:val="18"/>
                <w:spacing w:val="-3"/>
              </w:rPr>
              <w:t>网络运行及支撑成本</w:t>
            </w:r>
          </w:p>
        </w:tc>
        <w:tc>
          <w:tcPr>
            <w:tcW w:w="1115" w:type="dxa"/>
            <w:vAlign w:val="top"/>
            <w:tcBorders>
              <w:left w:val="single" w:color="000000" w:sz="2" w:space="0"/>
            </w:tcBorders>
          </w:tcPr>
          <w:p>
            <w:pPr>
              <w:ind w:left="374"/>
              <w:spacing w:before="88" w:line="179" w:lineRule="auto"/>
              <w:rPr>
                <w:rFonts w:ascii="Calibri" w:hAnsi="Calibri" w:eastAsia="Calibri" w:cs="Calibri"/>
                <w:sz w:val="21"/>
                <w:szCs w:val="21"/>
              </w:rPr>
            </w:pPr>
            <w:r>
              <w:rPr>
                <w:rFonts w:ascii="Calibri" w:hAnsi="Calibri" w:eastAsia="Calibri" w:cs="Calibri"/>
                <w:sz w:val="21"/>
                <w:szCs w:val="21"/>
                <w:spacing w:val="-2"/>
              </w:rPr>
              <w:t>208.0</w:t>
            </w:r>
          </w:p>
        </w:tc>
        <w:tc>
          <w:tcPr>
            <w:tcW w:w="1299" w:type="dxa"/>
            <w:vAlign w:val="top"/>
            <w:tcBorders>
              <w:right w:val="single" w:color="000000" w:sz="2" w:space="0"/>
            </w:tcBorders>
          </w:tcPr>
          <w:p>
            <w:pPr>
              <w:ind w:left="398"/>
              <w:spacing w:before="86" w:line="181" w:lineRule="auto"/>
              <w:rPr>
                <w:rFonts w:ascii="Calibri" w:hAnsi="Calibri" w:eastAsia="Calibri" w:cs="Calibri"/>
                <w:sz w:val="21"/>
                <w:szCs w:val="21"/>
              </w:rPr>
            </w:pPr>
            <w:r>
              <w:rPr>
                <w:rFonts w:ascii="Calibri" w:hAnsi="Calibri" w:eastAsia="Calibri" w:cs="Calibri"/>
                <w:sz w:val="21"/>
                <w:szCs w:val="21"/>
                <w:spacing w:val="-3"/>
              </w:rPr>
              <w:t>14.35%</w:t>
            </w:r>
          </w:p>
        </w:tc>
        <w:tc>
          <w:tcPr>
            <w:tcW w:w="1117" w:type="dxa"/>
            <w:vAlign w:val="top"/>
            <w:tcBorders>
              <w:left w:val="single" w:color="000000" w:sz="2" w:space="0"/>
            </w:tcBorders>
          </w:tcPr>
          <w:p>
            <w:pPr>
              <w:ind w:left="375"/>
              <w:spacing w:before="88" w:line="179" w:lineRule="auto"/>
              <w:rPr>
                <w:rFonts w:ascii="Calibri" w:hAnsi="Calibri" w:eastAsia="Calibri" w:cs="Calibri"/>
                <w:sz w:val="21"/>
                <w:szCs w:val="21"/>
              </w:rPr>
            </w:pPr>
            <w:r>
              <w:rPr>
                <w:rFonts w:ascii="Calibri" w:hAnsi="Calibri" w:eastAsia="Calibri" w:cs="Calibri"/>
                <w:sz w:val="21"/>
                <w:szCs w:val="21"/>
                <w:spacing w:val="-3"/>
              </w:rPr>
              <w:t>277.4</w:t>
            </w:r>
          </w:p>
        </w:tc>
        <w:tc>
          <w:tcPr>
            <w:tcW w:w="1301" w:type="dxa"/>
            <w:vAlign w:val="top"/>
          </w:tcPr>
          <w:p>
            <w:pPr>
              <w:ind w:left="400"/>
              <w:spacing w:before="86" w:line="181" w:lineRule="auto"/>
              <w:rPr>
                <w:rFonts w:ascii="Calibri" w:hAnsi="Calibri" w:eastAsia="Calibri" w:cs="Calibri"/>
                <w:sz w:val="21"/>
                <w:szCs w:val="21"/>
              </w:rPr>
            </w:pPr>
            <w:r>
              <w:rPr>
                <w:rFonts w:ascii="Calibri" w:hAnsi="Calibri" w:eastAsia="Calibri" w:cs="Calibri"/>
                <w:sz w:val="21"/>
                <w:szCs w:val="21"/>
                <w:spacing w:val="-3"/>
              </w:rPr>
              <w:t>18.61%</w:t>
            </w:r>
          </w:p>
        </w:tc>
      </w:tr>
      <w:tr>
        <w:trPr>
          <w:trHeight w:val="343" w:hRule="atLeast"/>
        </w:trPr>
        <w:tc>
          <w:tcPr>
            <w:tcW w:w="3394" w:type="dxa"/>
            <w:vAlign w:val="top"/>
            <w:tcBorders>
              <w:right w:val="single" w:color="000000" w:sz="2" w:space="0"/>
            </w:tcBorders>
          </w:tcPr>
          <w:p>
            <w:pPr>
              <w:pStyle w:val="TableText"/>
              <w:ind w:left="622"/>
              <w:spacing w:before="90" w:line="219" w:lineRule="auto"/>
              <w:rPr>
                <w:sz w:val="18"/>
                <w:szCs w:val="18"/>
              </w:rPr>
            </w:pPr>
            <w:r>
              <w:rPr>
                <w:sz w:val="18"/>
                <w:szCs w:val="18"/>
                <w:spacing w:val="-3"/>
              </w:rPr>
              <w:t>人工成本（注</w:t>
            </w:r>
            <w:r>
              <w:rPr>
                <w:sz w:val="18"/>
                <w:szCs w:val="18"/>
                <w:spacing w:val="-30"/>
              </w:rPr>
              <w:t xml:space="preserve"> </w:t>
            </w:r>
            <w:r>
              <w:rPr>
                <w:rFonts w:ascii="Calibri" w:hAnsi="Calibri" w:eastAsia="Calibri" w:cs="Calibri"/>
                <w:sz w:val="18"/>
                <w:szCs w:val="18"/>
                <w:spacing w:val="-3"/>
              </w:rPr>
              <w:t>1</w:t>
            </w:r>
            <w:r>
              <w:rPr>
                <w:sz w:val="18"/>
                <w:szCs w:val="18"/>
                <w:spacing w:val="-3"/>
              </w:rPr>
              <w:t>）</w:t>
            </w:r>
          </w:p>
        </w:tc>
        <w:tc>
          <w:tcPr>
            <w:tcW w:w="1115" w:type="dxa"/>
            <w:vAlign w:val="top"/>
            <w:tcBorders>
              <w:left w:val="single" w:color="000000" w:sz="2" w:space="0"/>
            </w:tcBorders>
          </w:tcPr>
          <w:p>
            <w:pPr>
              <w:ind w:left="374"/>
              <w:spacing w:before="88" w:line="179" w:lineRule="auto"/>
              <w:rPr>
                <w:rFonts w:ascii="Calibri" w:hAnsi="Calibri" w:eastAsia="Calibri" w:cs="Calibri"/>
                <w:sz w:val="21"/>
                <w:szCs w:val="21"/>
              </w:rPr>
            </w:pPr>
            <w:r>
              <w:rPr>
                <w:rFonts w:ascii="Calibri" w:hAnsi="Calibri" w:eastAsia="Calibri" w:cs="Calibri"/>
                <w:sz w:val="21"/>
                <w:szCs w:val="21"/>
                <w:spacing w:val="-3"/>
              </w:rPr>
              <w:t>251.9</w:t>
            </w:r>
          </w:p>
        </w:tc>
        <w:tc>
          <w:tcPr>
            <w:tcW w:w="1299" w:type="dxa"/>
            <w:vAlign w:val="top"/>
            <w:tcBorders>
              <w:right w:val="single" w:color="000000" w:sz="2" w:space="0"/>
            </w:tcBorders>
          </w:tcPr>
          <w:p>
            <w:pPr>
              <w:ind w:left="401"/>
              <w:spacing w:before="65" w:line="264" w:lineRule="exact"/>
              <w:rPr>
                <w:rFonts w:ascii="Calibri" w:hAnsi="Calibri" w:eastAsia="Calibri" w:cs="Calibri"/>
                <w:sz w:val="21"/>
                <w:szCs w:val="21"/>
              </w:rPr>
            </w:pPr>
            <w:r>
              <w:rPr>
                <w:rFonts w:ascii="Calibri" w:hAnsi="Calibri" w:eastAsia="Calibri" w:cs="Calibri"/>
                <w:sz w:val="21"/>
                <w:szCs w:val="21"/>
                <w:spacing w:val="-3"/>
                <w:position w:val="1"/>
              </w:rPr>
              <w:t>17.38%</w:t>
            </w:r>
          </w:p>
        </w:tc>
        <w:tc>
          <w:tcPr>
            <w:tcW w:w="1117" w:type="dxa"/>
            <w:vAlign w:val="top"/>
            <w:tcBorders>
              <w:left w:val="single" w:color="000000" w:sz="2" w:space="0"/>
            </w:tcBorders>
          </w:tcPr>
          <w:p>
            <w:pPr>
              <w:ind w:left="372"/>
              <w:spacing w:before="88" w:line="179" w:lineRule="auto"/>
              <w:rPr>
                <w:rFonts w:ascii="Calibri" w:hAnsi="Calibri" w:eastAsia="Calibri" w:cs="Calibri"/>
                <w:sz w:val="21"/>
                <w:szCs w:val="21"/>
              </w:rPr>
            </w:pPr>
            <w:r>
              <w:rPr>
                <w:rFonts w:ascii="Calibri" w:hAnsi="Calibri" w:eastAsia="Calibri" w:cs="Calibri"/>
                <w:sz w:val="21"/>
                <w:szCs w:val="21"/>
                <w:spacing w:val="-2"/>
              </w:rPr>
              <w:t>244.1</w:t>
            </w:r>
          </w:p>
        </w:tc>
        <w:tc>
          <w:tcPr>
            <w:tcW w:w="1301" w:type="dxa"/>
            <w:vAlign w:val="top"/>
          </w:tcPr>
          <w:p>
            <w:pPr>
              <w:ind w:left="402"/>
              <w:spacing w:before="86" w:line="181" w:lineRule="auto"/>
              <w:rPr>
                <w:rFonts w:ascii="Calibri" w:hAnsi="Calibri" w:eastAsia="Calibri" w:cs="Calibri"/>
                <w:sz w:val="21"/>
                <w:szCs w:val="21"/>
              </w:rPr>
            </w:pPr>
            <w:r>
              <w:rPr>
                <w:rFonts w:ascii="Calibri" w:hAnsi="Calibri" w:eastAsia="Calibri" w:cs="Calibri"/>
                <w:sz w:val="21"/>
                <w:szCs w:val="21"/>
                <w:spacing w:val="-4"/>
              </w:rPr>
              <w:t>16.37%</w:t>
            </w:r>
          </w:p>
        </w:tc>
      </w:tr>
      <w:tr>
        <w:trPr>
          <w:trHeight w:val="345" w:hRule="atLeast"/>
        </w:trPr>
        <w:tc>
          <w:tcPr>
            <w:tcW w:w="3394" w:type="dxa"/>
            <w:vAlign w:val="top"/>
            <w:tcBorders>
              <w:right w:val="single" w:color="000000" w:sz="2" w:space="0"/>
            </w:tcBorders>
          </w:tcPr>
          <w:p>
            <w:pPr>
              <w:pStyle w:val="TableText"/>
              <w:ind w:left="622"/>
              <w:spacing w:before="93" w:line="219" w:lineRule="auto"/>
              <w:rPr>
                <w:sz w:val="18"/>
                <w:szCs w:val="18"/>
              </w:rPr>
            </w:pPr>
            <w:r>
              <w:rPr>
                <w:sz w:val="18"/>
                <w:szCs w:val="18"/>
                <w:spacing w:val="-1"/>
              </w:rPr>
              <w:t>销售通信产品成本</w:t>
            </w:r>
          </w:p>
        </w:tc>
        <w:tc>
          <w:tcPr>
            <w:tcW w:w="1115" w:type="dxa"/>
            <w:vAlign w:val="top"/>
            <w:tcBorders>
              <w:left w:val="single" w:color="000000" w:sz="2" w:space="0"/>
            </w:tcBorders>
          </w:tcPr>
          <w:p>
            <w:pPr>
              <w:ind w:left="380"/>
              <w:spacing w:before="88" w:line="179" w:lineRule="auto"/>
              <w:rPr>
                <w:rFonts w:ascii="Calibri" w:hAnsi="Calibri" w:eastAsia="Calibri" w:cs="Calibri"/>
                <w:sz w:val="21"/>
                <w:szCs w:val="21"/>
              </w:rPr>
            </w:pPr>
            <w:r>
              <w:rPr>
                <w:rFonts w:ascii="Calibri" w:hAnsi="Calibri" w:eastAsia="Calibri" w:cs="Calibri"/>
                <w:sz w:val="21"/>
                <w:szCs w:val="21"/>
                <w:spacing w:val="-4"/>
              </w:rPr>
              <w:t>123.9</w:t>
            </w:r>
          </w:p>
        </w:tc>
        <w:tc>
          <w:tcPr>
            <w:tcW w:w="1299" w:type="dxa"/>
            <w:vAlign w:val="top"/>
            <w:tcBorders>
              <w:right w:val="single" w:color="000000" w:sz="2" w:space="0"/>
            </w:tcBorders>
          </w:tcPr>
          <w:p>
            <w:pPr>
              <w:ind w:left="444"/>
              <w:spacing w:before="86" w:line="181" w:lineRule="auto"/>
              <w:rPr>
                <w:rFonts w:ascii="Calibri" w:hAnsi="Calibri" w:eastAsia="Calibri" w:cs="Calibri"/>
                <w:sz w:val="21"/>
                <w:szCs w:val="21"/>
              </w:rPr>
            </w:pPr>
            <w:r>
              <w:rPr>
                <w:rFonts w:ascii="Calibri" w:hAnsi="Calibri" w:eastAsia="Calibri" w:cs="Calibri"/>
                <w:sz w:val="21"/>
                <w:szCs w:val="21"/>
                <w:spacing w:val="-2"/>
              </w:rPr>
              <w:t>8.55%</w:t>
            </w:r>
          </w:p>
        </w:tc>
        <w:tc>
          <w:tcPr>
            <w:tcW w:w="1117" w:type="dxa"/>
            <w:vAlign w:val="top"/>
            <w:tcBorders>
              <w:left w:val="single" w:color="000000" w:sz="2" w:space="0"/>
            </w:tcBorders>
          </w:tcPr>
          <w:p>
            <w:pPr>
              <w:ind w:left="381"/>
              <w:spacing w:before="88" w:line="179" w:lineRule="auto"/>
              <w:rPr>
                <w:rFonts w:ascii="Calibri" w:hAnsi="Calibri" w:eastAsia="Calibri" w:cs="Calibri"/>
                <w:sz w:val="21"/>
                <w:szCs w:val="21"/>
              </w:rPr>
            </w:pPr>
            <w:r>
              <w:rPr>
                <w:rFonts w:ascii="Calibri" w:hAnsi="Calibri" w:eastAsia="Calibri" w:cs="Calibri"/>
                <w:sz w:val="21"/>
                <w:szCs w:val="21"/>
                <w:spacing w:val="-5"/>
              </w:rPr>
              <w:t>147.0</w:t>
            </w:r>
          </w:p>
        </w:tc>
        <w:tc>
          <w:tcPr>
            <w:tcW w:w="1301" w:type="dxa"/>
            <w:vAlign w:val="top"/>
          </w:tcPr>
          <w:p>
            <w:pPr>
              <w:ind w:left="443"/>
              <w:spacing w:before="86" w:line="181" w:lineRule="auto"/>
              <w:rPr>
                <w:rFonts w:ascii="Calibri" w:hAnsi="Calibri" w:eastAsia="Calibri" w:cs="Calibri"/>
                <w:sz w:val="21"/>
                <w:szCs w:val="21"/>
              </w:rPr>
            </w:pPr>
            <w:r>
              <w:rPr>
                <w:rFonts w:ascii="Calibri" w:hAnsi="Calibri" w:eastAsia="Calibri" w:cs="Calibri"/>
                <w:sz w:val="21"/>
                <w:szCs w:val="21"/>
                <w:spacing w:val="-2"/>
              </w:rPr>
              <w:t>9.86%</w:t>
            </w:r>
          </w:p>
        </w:tc>
      </w:tr>
      <w:tr>
        <w:trPr>
          <w:trHeight w:val="344" w:hRule="atLeast"/>
        </w:trPr>
        <w:tc>
          <w:tcPr>
            <w:tcW w:w="3394" w:type="dxa"/>
            <w:vAlign w:val="top"/>
            <w:tcBorders>
              <w:right w:val="single" w:color="000000" w:sz="2" w:space="0"/>
            </w:tcBorders>
          </w:tcPr>
          <w:p>
            <w:pPr>
              <w:pStyle w:val="TableText"/>
              <w:ind w:left="622"/>
              <w:spacing w:before="94" w:line="220" w:lineRule="auto"/>
              <w:rPr>
                <w:sz w:val="18"/>
                <w:szCs w:val="18"/>
              </w:rPr>
            </w:pPr>
            <w:r>
              <w:rPr>
                <w:sz w:val="18"/>
                <w:szCs w:val="18"/>
                <w:spacing w:val="-2"/>
              </w:rPr>
              <w:t>销售费用</w:t>
            </w:r>
          </w:p>
        </w:tc>
        <w:tc>
          <w:tcPr>
            <w:tcW w:w="1115" w:type="dxa"/>
            <w:vAlign w:val="top"/>
            <w:tcBorders>
              <w:left w:val="single" w:color="000000" w:sz="2" w:space="0"/>
            </w:tcBorders>
          </w:tcPr>
          <w:p>
            <w:pPr>
              <w:ind w:left="382"/>
              <w:spacing w:before="89" w:line="179" w:lineRule="auto"/>
              <w:rPr>
                <w:rFonts w:ascii="Calibri" w:hAnsi="Calibri" w:eastAsia="Calibri" w:cs="Calibri"/>
                <w:sz w:val="21"/>
                <w:szCs w:val="21"/>
              </w:rPr>
            </w:pPr>
            <w:r>
              <w:rPr>
                <w:rFonts w:ascii="Calibri" w:hAnsi="Calibri" w:eastAsia="Calibri" w:cs="Calibri"/>
                <w:sz w:val="21"/>
                <w:szCs w:val="21"/>
                <w:spacing w:val="-5"/>
              </w:rPr>
              <w:t>174.6</w:t>
            </w:r>
          </w:p>
        </w:tc>
        <w:tc>
          <w:tcPr>
            <w:tcW w:w="1299" w:type="dxa"/>
            <w:vAlign w:val="top"/>
            <w:tcBorders>
              <w:right w:val="single" w:color="000000" w:sz="2" w:space="0"/>
            </w:tcBorders>
          </w:tcPr>
          <w:p>
            <w:pPr>
              <w:ind w:left="398"/>
              <w:spacing w:before="87" w:line="181" w:lineRule="auto"/>
              <w:rPr>
                <w:rFonts w:ascii="Calibri" w:hAnsi="Calibri" w:eastAsia="Calibri" w:cs="Calibri"/>
                <w:sz w:val="21"/>
                <w:szCs w:val="21"/>
              </w:rPr>
            </w:pPr>
            <w:r>
              <w:rPr>
                <w:rFonts w:ascii="Calibri" w:hAnsi="Calibri" w:eastAsia="Calibri" w:cs="Calibri"/>
                <w:sz w:val="21"/>
                <w:szCs w:val="21"/>
                <w:spacing w:val="-3"/>
              </w:rPr>
              <w:t>12.04%</w:t>
            </w:r>
          </w:p>
        </w:tc>
        <w:tc>
          <w:tcPr>
            <w:tcW w:w="1117" w:type="dxa"/>
            <w:vAlign w:val="top"/>
            <w:tcBorders>
              <w:left w:val="single" w:color="000000" w:sz="2" w:space="0"/>
            </w:tcBorders>
          </w:tcPr>
          <w:p>
            <w:pPr>
              <w:ind w:left="381"/>
              <w:spacing w:before="89" w:line="179" w:lineRule="auto"/>
              <w:rPr>
                <w:rFonts w:ascii="Calibri" w:hAnsi="Calibri" w:eastAsia="Calibri" w:cs="Calibri"/>
                <w:sz w:val="21"/>
                <w:szCs w:val="21"/>
              </w:rPr>
            </w:pPr>
            <w:r>
              <w:rPr>
                <w:rFonts w:ascii="Calibri" w:hAnsi="Calibri" w:eastAsia="Calibri" w:cs="Calibri"/>
                <w:sz w:val="21"/>
                <w:szCs w:val="21"/>
                <w:spacing w:val="-4"/>
              </w:rPr>
              <w:t>164.9</w:t>
            </w:r>
          </w:p>
        </w:tc>
        <w:tc>
          <w:tcPr>
            <w:tcW w:w="1301" w:type="dxa"/>
            <w:vAlign w:val="top"/>
          </w:tcPr>
          <w:p>
            <w:pPr>
              <w:ind w:left="400"/>
              <w:spacing w:before="87" w:line="181" w:lineRule="auto"/>
              <w:rPr>
                <w:rFonts w:ascii="Calibri" w:hAnsi="Calibri" w:eastAsia="Calibri" w:cs="Calibri"/>
                <w:sz w:val="21"/>
                <w:szCs w:val="21"/>
              </w:rPr>
            </w:pPr>
            <w:r>
              <w:rPr>
                <w:rFonts w:ascii="Calibri" w:hAnsi="Calibri" w:eastAsia="Calibri" w:cs="Calibri"/>
                <w:sz w:val="21"/>
                <w:szCs w:val="21"/>
                <w:spacing w:val="-3"/>
              </w:rPr>
              <w:t>11.06%</w:t>
            </w:r>
          </w:p>
        </w:tc>
      </w:tr>
      <w:tr>
        <w:trPr>
          <w:trHeight w:val="346" w:hRule="atLeast"/>
        </w:trPr>
        <w:tc>
          <w:tcPr>
            <w:tcW w:w="3394" w:type="dxa"/>
            <w:vAlign w:val="top"/>
            <w:tcBorders>
              <w:right w:val="single" w:color="000000" w:sz="2" w:space="0"/>
            </w:tcBorders>
          </w:tcPr>
          <w:p>
            <w:pPr>
              <w:pStyle w:val="TableText"/>
              <w:ind w:left="622"/>
              <w:spacing w:before="95" w:line="219" w:lineRule="auto"/>
              <w:rPr>
                <w:sz w:val="18"/>
                <w:szCs w:val="18"/>
              </w:rPr>
            </w:pPr>
            <w:r>
              <w:rPr>
                <w:sz w:val="18"/>
                <w:szCs w:val="18"/>
                <w:spacing w:val="-2"/>
              </w:rPr>
              <w:t>其他营业成本及管理费用（注</w:t>
            </w:r>
            <w:r>
              <w:rPr>
                <w:sz w:val="18"/>
                <w:szCs w:val="18"/>
                <w:spacing w:val="-23"/>
              </w:rPr>
              <w:t xml:space="preserve"> </w:t>
            </w:r>
            <w:r>
              <w:rPr>
                <w:rFonts w:ascii="Calibri" w:hAnsi="Calibri" w:eastAsia="Calibri" w:cs="Calibri"/>
                <w:sz w:val="18"/>
                <w:szCs w:val="18"/>
                <w:spacing w:val="-2"/>
              </w:rPr>
              <w:t>2</w:t>
            </w:r>
            <w:r>
              <w:rPr>
                <w:sz w:val="18"/>
                <w:szCs w:val="18"/>
                <w:spacing w:val="-2"/>
              </w:rPr>
              <w:t>）</w:t>
            </w:r>
          </w:p>
        </w:tc>
        <w:tc>
          <w:tcPr>
            <w:tcW w:w="1115" w:type="dxa"/>
            <w:vAlign w:val="top"/>
            <w:tcBorders>
              <w:left w:val="single" w:color="000000" w:sz="2" w:space="0"/>
            </w:tcBorders>
          </w:tcPr>
          <w:p>
            <w:pPr>
              <w:ind w:left="380"/>
              <w:spacing w:before="91" w:line="179" w:lineRule="auto"/>
              <w:rPr>
                <w:rFonts w:ascii="Calibri" w:hAnsi="Calibri" w:eastAsia="Calibri" w:cs="Calibri"/>
                <w:sz w:val="21"/>
                <w:szCs w:val="21"/>
              </w:rPr>
            </w:pPr>
            <w:r>
              <w:rPr>
                <w:rFonts w:ascii="Calibri" w:hAnsi="Calibri" w:eastAsia="Calibri" w:cs="Calibri"/>
                <w:sz w:val="21"/>
                <w:szCs w:val="21"/>
                <w:spacing w:val="-4"/>
              </w:rPr>
              <w:t>109.0</w:t>
            </w:r>
          </w:p>
        </w:tc>
        <w:tc>
          <w:tcPr>
            <w:tcW w:w="1299" w:type="dxa"/>
            <w:vAlign w:val="top"/>
            <w:tcBorders>
              <w:right w:val="single" w:color="000000" w:sz="2" w:space="0"/>
            </w:tcBorders>
          </w:tcPr>
          <w:p>
            <w:pPr>
              <w:ind w:left="446"/>
              <w:spacing w:before="67" w:line="264" w:lineRule="exact"/>
              <w:rPr>
                <w:rFonts w:ascii="Calibri" w:hAnsi="Calibri" w:eastAsia="Calibri" w:cs="Calibri"/>
                <w:sz w:val="21"/>
                <w:szCs w:val="21"/>
              </w:rPr>
            </w:pPr>
            <w:r>
              <w:rPr>
                <w:rFonts w:ascii="Calibri" w:hAnsi="Calibri" w:eastAsia="Calibri" w:cs="Calibri"/>
                <w:sz w:val="21"/>
                <w:szCs w:val="21"/>
                <w:spacing w:val="-2"/>
                <w:position w:val="1"/>
              </w:rPr>
              <w:t>7.52%</w:t>
            </w:r>
          </w:p>
        </w:tc>
        <w:tc>
          <w:tcPr>
            <w:tcW w:w="1117" w:type="dxa"/>
            <w:vAlign w:val="top"/>
            <w:tcBorders>
              <w:left w:val="single" w:color="000000" w:sz="2" w:space="0"/>
            </w:tcBorders>
          </w:tcPr>
          <w:p>
            <w:pPr>
              <w:ind w:left="424"/>
              <w:spacing w:before="91" w:line="179" w:lineRule="auto"/>
              <w:rPr>
                <w:rFonts w:ascii="Calibri" w:hAnsi="Calibri" w:eastAsia="Calibri" w:cs="Calibri"/>
                <w:sz w:val="21"/>
                <w:szCs w:val="21"/>
              </w:rPr>
            </w:pPr>
            <w:r>
              <w:rPr>
                <w:rFonts w:ascii="Calibri" w:hAnsi="Calibri" w:eastAsia="Calibri" w:cs="Calibri"/>
                <w:sz w:val="21"/>
                <w:szCs w:val="21"/>
                <w:spacing w:val="-2"/>
              </w:rPr>
              <w:t>84.4</w:t>
            </w:r>
          </w:p>
        </w:tc>
        <w:tc>
          <w:tcPr>
            <w:tcW w:w="1301" w:type="dxa"/>
            <w:vAlign w:val="top"/>
          </w:tcPr>
          <w:p>
            <w:pPr>
              <w:ind w:left="445"/>
              <w:spacing w:before="89" w:line="181" w:lineRule="auto"/>
              <w:rPr>
                <w:rFonts w:ascii="Calibri" w:hAnsi="Calibri" w:eastAsia="Calibri" w:cs="Calibri"/>
                <w:sz w:val="21"/>
                <w:szCs w:val="21"/>
              </w:rPr>
            </w:pPr>
            <w:r>
              <w:rPr>
                <w:rFonts w:ascii="Calibri" w:hAnsi="Calibri" w:eastAsia="Calibri" w:cs="Calibri"/>
                <w:sz w:val="21"/>
                <w:szCs w:val="21"/>
                <w:spacing w:val="-2"/>
              </w:rPr>
              <w:t>5.66%</w:t>
            </w:r>
          </w:p>
        </w:tc>
      </w:tr>
      <w:tr>
        <w:trPr>
          <w:trHeight w:val="357" w:hRule="atLeast"/>
        </w:trPr>
        <w:tc>
          <w:tcPr>
            <w:tcW w:w="3394" w:type="dxa"/>
            <w:vAlign w:val="top"/>
            <w:tcBorders>
              <w:bottom w:val="single" w:color="000000" w:sz="2" w:space="0"/>
              <w:right w:val="single" w:color="000000" w:sz="2" w:space="0"/>
            </w:tcBorders>
          </w:tcPr>
          <w:p>
            <w:pPr>
              <w:pStyle w:val="TableText"/>
              <w:ind w:left="622"/>
              <w:spacing w:before="92" w:line="220" w:lineRule="auto"/>
              <w:rPr>
                <w:sz w:val="18"/>
                <w:szCs w:val="18"/>
              </w:rPr>
            </w:pPr>
            <w:r>
              <w:rPr>
                <w:sz w:val="18"/>
                <w:szCs w:val="18"/>
                <w:spacing w:val="-2"/>
              </w:rPr>
              <w:t>财务费用</w:t>
            </w:r>
          </w:p>
        </w:tc>
        <w:tc>
          <w:tcPr>
            <w:tcW w:w="1115" w:type="dxa"/>
            <w:vAlign w:val="top"/>
            <w:tcBorders>
              <w:left w:val="single" w:color="000000" w:sz="2" w:space="0"/>
              <w:bottom w:val="single" w:color="000000" w:sz="2" w:space="0"/>
            </w:tcBorders>
          </w:tcPr>
          <w:p>
            <w:pPr>
              <w:ind w:left="472"/>
              <w:spacing w:before="92" w:line="178" w:lineRule="auto"/>
              <w:rPr>
                <w:rFonts w:ascii="Calibri" w:hAnsi="Calibri" w:eastAsia="Calibri" w:cs="Calibri"/>
                <w:sz w:val="21"/>
                <w:szCs w:val="21"/>
              </w:rPr>
            </w:pPr>
            <w:r>
              <w:rPr>
                <w:rFonts w:ascii="Calibri" w:hAnsi="Calibri" w:eastAsia="Calibri" w:cs="Calibri"/>
                <w:sz w:val="21"/>
                <w:szCs w:val="21"/>
                <w:spacing w:val="-1"/>
              </w:rPr>
              <w:t>4.7</w:t>
            </w:r>
          </w:p>
        </w:tc>
        <w:tc>
          <w:tcPr>
            <w:tcW w:w="1299" w:type="dxa"/>
            <w:vAlign w:val="top"/>
            <w:tcBorders>
              <w:bottom w:val="single" w:color="000000" w:sz="2" w:space="0"/>
              <w:right w:val="single" w:color="000000" w:sz="2" w:space="0"/>
            </w:tcBorders>
          </w:tcPr>
          <w:p>
            <w:pPr>
              <w:ind w:left="440"/>
              <w:spacing w:before="89" w:line="181" w:lineRule="auto"/>
              <w:rPr>
                <w:rFonts w:ascii="Calibri" w:hAnsi="Calibri" w:eastAsia="Calibri" w:cs="Calibri"/>
                <w:sz w:val="21"/>
                <w:szCs w:val="21"/>
              </w:rPr>
            </w:pPr>
            <w:r>
              <w:rPr>
                <w:rFonts w:ascii="Calibri" w:hAnsi="Calibri" w:eastAsia="Calibri" w:cs="Calibri"/>
                <w:sz w:val="21"/>
                <w:szCs w:val="21"/>
                <w:spacing w:val="-1"/>
              </w:rPr>
              <w:t>0.32%</w:t>
            </w:r>
          </w:p>
        </w:tc>
        <w:tc>
          <w:tcPr>
            <w:tcW w:w="1117" w:type="dxa"/>
            <w:vAlign w:val="top"/>
            <w:tcBorders>
              <w:left w:val="single" w:color="000000" w:sz="2" w:space="0"/>
              <w:bottom w:val="single" w:color="000000" w:sz="2" w:space="0"/>
            </w:tcBorders>
          </w:tcPr>
          <w:p>
            <w:pPr>
              <w:ind w:left="486"/>
              <w:spacing w:before="91" w:line="179" w:lineRule="auto"/>
              <w:rPr>
                <w:rFonts w:ascii="Calibri" w:hAnsi="Calibri" w:eastAsia="Calibri" w:cs="Calibri"/>
                <w:sz w:val="21"/>
                <w:szCs w:val="21"/>
              </w:rPr>
            </w:pPr>
            <w:r>
              <w:rPr>
                <w:rFonts w:ascii="Calibri" w:hAnsi="Calibri" w:eastAsia="Calibri" w:cs="Calibri"/>
                <w:sz w:val="21"/>
                <w:szCs w:val="21"/>
                <w:spacing w:val="-6"/>
              </w:rPr>
              <w:t>1.9</w:t>
            </w:r>
          </w:p>
        </w:tc>
        <w:tc>
          <w:tcPr>
            <w:tcW w:w="1301" w:type="dxa"/>
            <w:vAlign w:val="top"/>
            <w:tcBorders>
              <w:bottom w:val="single" w:color="000000" w:sz="2" w:space="0"/>
            </w:tcBorders>
          </w:tcPr>
          <w:p>
            <w:pPr>
              <w:ind w:left="442"/>
              <w:spacing w:before="89" w:line="181" w:lineRule="auto"/>
              <w:rPr>
                <w:rFonts w:ascii="Calibri" w:hAnsi="Calibri" w:eastAsia="Calibri" w:cs="Calibri"/>
                <w:sz w:val="21"/>
                <w:szCs w:val="21"/>
              </w:rPr>
            </w:pPr>
            <w:r>
              <w:rPr>
                <w:rFonts w:ascii="Calibri" w:hAnsi="Calibri" w:eastAsia="Calibri" w:cs="Calibri"/>
                <w:sz w:val="21"/>
                <w:szCs w:val="21"/>
                <w:spacing w:val="-1"/>
              </w:rPr>
              <w:t>0.13%</w:t>
            </w:r>
          </w:p>
        </w:tc>
      </w:tr>
    </w:tbl>
    <w:p>
      <w:pPr>
        <w:pStyle w:val="BodyText"/>
        <w:ind w:left="26" w:firstLine="372"/>
        <w:spacing w:before="207" w:line="250" w:lineRule="auto"/>
        <w:rPr>
          <w:sz w:val="22"/>
          <w:szCs w:val="22"/>
        </w:rPr>
      </w:pPr>
      <w:r>
        <w:rPr>
          <w:sz w:val="22"/>
          <w:szCs w:val="22"/>
          <w:i/>
          <w:iCs/>
          <w:spacing w:val="-9"/>
        </w:rPr>
        <w:t>注1：上述“折旧及摊销”和“人工成本”为营业成本、管理</w:t>
      </w:r>
      <w:r>
        <w:rPr>
          <w:sz w:val="22"/>
          <w:szCs w:val="22"/>
          <w:i/>
          <w:iCs/>
          <w:spacing w:val="-10"/>
        </w:rPr>
        <w:t>费用和研发费用中相同性质的数</w:t>
      </w:r>
      <w:r>
        <w:rPr>
          <w:sz w:val="22"/>
          <w:szCs w:val="22"/>
        </w:rPr>
        <w:t xml:space="preserve"> </w:t>
      </w:r>
      <w:r>
        <w:rPr>
          <w:sz w:val="22"/>
          <w:szCs w:val="22"/>
          <w:i/>
          <w:iCs/>
          <w:spacing w:val="2"/>
        </w:rPr>
        <w:t>据的总额。</w:t>
      </w:r>
    </w:p>
    <w:p>
      <w:pPr>
        <w:pStyle w:val="BodyText"/>
        <w:ind w:left="27" w:firstLine="371"/>
        <w:spacing w:before="185" w:line="249" w:lineRule="auto"/>
        <w:rPr>
          <w:sz w:val="22"/>
          <w:szCs w:val="22"/>
        </w:rPr>
      </w:pPr>
      <w:r>
        <w:rPr>
          <w:sz w:val="22"/>
          <w:szCs w:val="22"/>
          <w:i/>
          <w:iCs/>
          <w:spacing w:val="-9"/>
        </w:rPr>
        <w:t>注2：上述“其他营业成本及管理费用”为营业成本、管理费</w:t>
      </w:r>
      <w:r>
        <w:rPr>
          <w:sz w:val="22"/>
          <w:szCs w:val="22"/>
          <w:i/>
          <w:iCs/>
          <w:spacing w:val="-10"/>
        </w:rPr>
        <w:t>用和研发费用合计扣除网间结算</w:t>
      </w:r>
      <w:r>
        <w:rPr>
          <w:sz w:val="22"/>
          <w:szCs w:val="22"/>
        </w:rPr>
        <w:t xml:space="preserve"> </w:t>
      </w:r>
      <w:r>
        <w:rPr>
          <w:sz w:val="22"/>
          <w:szCs w:val="22"/>
          <w:i/>
          <w:iCs/>
          <w:spacing w:val="-8"/>
        </w:rPr>
        <w:t>支出、折旧及摊销、网络运行及支撑成本、人工成本及销售通信产品成本后的数据。</w:t>
      </w:r>
    </w:p>
    <w:p>
      <w:pPr>
        <w:spacing w:line="273" w:lineRule="auto"/>
        <w:rPr>
          <w:rFonts w:ascii="Arial"/>
          <w:sz w:val="21"/>
        </w:rPr>
      </w:pPr>
      <w:r/>
    </w:p>
    <w:p>
      <w:pPr>
        <w:pStyle w:val="BodyText"/>
        <w:ind w:left="468"/>
        <w:spacing w:before="69" w:line="221" w:lineRule="auto"/>
        <w:outlineLvl w:val="3"/>
        <w:rPr/>
      </w:pPr>
      <w:r>
        <w:rPr>
          <w:rFonts w:ascii="Calibri" w:hAnsi="Calibri" w:eastAsia="Calibri" w:cs="Calibri"/>
          <w:b/>
          <w:bCs/>
          <w:spacing w:val="-3"/>
        </w:rPr>
        <w:t>1</w:t>
      </w:r>
      <w:r>
        <w:rPr>
          <w:b/>
          <w:bCs/>
          <w:spacing w:val="-3"/>
        </w:rPr>
        <w:t>）网间结算支出</w:t>
      </w:r>
    </w:p>
    <w:p>
      <w:pPr>
        <w:pStyle w:val="BodyText"/>
        <w:ind w:left="37" w:right="78" w:firstLine="373"/>
        <w:spacing w:before="215" w:line="261" w:lineRule="auto"/>
        <w:rPr/>
      </w:pPr>
      <w:r>
        <w:rPr>
          <w:spacing w:val="-2"/>
        </w:rPr>
        <w:t>2019</w:t>
      </w:r>
      <w:r>
        <w:rPr>
          <w:spacing w:val="-46"/>
        </w:rPr>
        <w:t xml:space="preserve"> </w:t>
      </w:r>
      <w:r>
        <w:rPr>
          <w:spacing w:val="-2"/>
        </w:rPr>
        <w:t>年上半年公司网间结算支出发生人民币</w:t>
      </w:r>
      <w:r>
        <w:rPr>
          <w:spacing w:val="-39"/>
        </w:rPr>
        <w:t xml:space="preserve"> </w:t>
      </w:r>
      <w:r>
        <w:rPr>
          <w:spacing w:val="-3"/>
        </w:rPr>
        <w:t>57.8</w:t>
      </w:r>
      <w:r>
        <w:rPr>
          <w:spacing w:val="-46"/>
        </w:rPr>
        <w:t xml:space="preserve"> </w:t>
      </w:r>
      <w:r>
        <w:rPr>
          <w:spacing w:val="-3"/>
        </w:rPr>
        <w:t>亿元，同比下降</w:t>
      </w:r>
      <w:r>
        <w:rPr>
          <w:spacing w:val="-30"/>
        </w:rPr>
        <w:t xml:space="preserve"> </w:t>
      </w:r>
      <w:r>
        <w:rPr>
          <w:spacing w:val="-3"/>
        </w:rPr>
        <w:t>13.6%，所占营业收入的比</w:t>
      </w:r>
      <w:r>
        <w:rPr/>
        <w:t xml:space="preserve"> </w:t>
      </w:r>
      <w:r>
        <w:rPr>
          <w:spacing w:val="-2"/>
        </w:rPr>
        <w:t>重由上年同期的</w:t>
      </w:r>
      <w:r>
        <w:rPr>
          <w:spacing w:val="-29"/>
        </w:rPr>
        <w:t xml:space="preserve"> </w:t>
      </w:r>
      <w:r>
        <w:rPr>
          <w:spacing w:val="-2"/>
        </w:rPr>
        <w:t>4.48%下降至</w:t>
      </w:r>
      <w:r>
        <w:rPr>
          <w:spacing w:val="-40"/>
        </w:rPr>
        <w:t xml:space="preserve"> </w:t>
      </w:r>
      <w:r>
        <w:rPr>
          <w:spacing w:val="-2"/>
        </w:rPr>
        <w:t>3.99%。</w:t>
      </w:r>
    </w:p>
    <w:p>
      <w:pPr>
        <w:pStyle w:val="BodyText"/>
        <w:ind w:left="461"/>
        <w:spacing w:before="186" w:line="221" w:lineRule="auto"/>
        <w:outlineLvl w:val="3"/>
        <w:rPr/>
      </w:pPr>
      <w:r>
        <w:rPr>
          <w:b/>
          <w:bCs/>
          <w:spacing w:val="-3"/>
        </w:rPr>
        <w:t>2）折旧及摊销</w:t>
      </w:r>
    </w:p>
    <w:p>
      <w:pPr>
        <w:pStyle w:val="BodyText"/>
        <w:ind w:left="60" w:right="81" w:firstLine="399"/>
        <w:spacing w:before="217" w:line="261" w:lineRule="auto"/>
        <w:rPr/>
      </w:pPr>
      <w:r>
        <w:rPr>
          <w:spacing w:val="-3"/>
        </w:rPr>
        <w:t>2019</w:t>
      </w:r>
      <w:r>
        <w:rPr>
          <w:spacing w:val="-46"/>
        </w:rPr>
        <w:t xml:space="preserve"> </w:t>
      </w:r>
      <w:r>
        <w:rPr>
          <w:spacing w:val="-3"/>
        </w:rPr>
        <w:t>年上半年公司资产折旧及摊销发生人民币</w:t>
      </w:r>
      <w:r>
        <w:rPr>
          <w:spacing w:val="-44"/>
        </w:rPr>
        <w:t xml:space="preserve"> </w:t>
      </w:r>
      <w:r>
        <w:rPr>
          <w:spacing w:val="-3"/>
        </w:rPr>
        <w:t>420.3</w:t>
      </w:r>
      <w:r>
        <w:rPr>
          <w:spacing w:val="-43"/>
        </w:rPr>
        <w:t xml:space="preserve"> </w:t>
      </w:r>
      <w:r>
        <w:rPr>
          <w:spacing w:val="-3"/>
        </w:rPr>
        <w:t>亿元，同比增</w:t>
      </w:r>
      <w:r>
        <w:rPr>
          <w:spacing w:val="-4"/>
        </w:rPr>
        <w:t>长</w:t>
      </w:r>
      <w:r>
        <w:rPr>
          <w:spacing w:val="-46"/>
        </w:rPr>
        <w:t xml:space="preserve"> </w:t>
      </w:r>
      <w:r>
        <w:rPr>
          <w:spacing w:val="-4"/>
        </w:rPr>
        <w:t>8.1%，所占营业收入的</w:t>
      </w:r>
      <w:r>
        <w:rPr/>
        <w:t xml:space="preserve"> </w:t>
      </w:r>
      <w:r>
        <w:rPr>
          <w:spacing w:val="-1"/>
        </w:rPr>
        <w:t>比重由上年同期的</w:t>
      </w:r>
      <w:r>
        <w:rPr>
          <w:spacing w:val="-42"/>
        </w:rPr>
        <w:t xml:space="preserve"> </w:t>
      </w:r>
      <w:r>
        <w:rPr>
          <w:spacing w:val="-1"/>
        </w:rPr>
        <w:t>26.08%增长至</w:t>
      </w:r>
      <w:r>
        <w:rPr>
          <w:spacing w:val="-41"/>
        </w:rPr>
        <w:t xml:space="preserve"> </w:t>
      </w:r>
      <w:r>
        <w:rPr>
          <w:spacing w:val="-1"/>
        </w:rPr>
        <w:t>29.00%，主</w:t>
      </w:r>
      <w:r>
        <w:rPr>
          <w:spacing w:val="-2"/>
        </w:rPr>
        <w:t>要是受执行新租赁准则的影响。</w:t>
      </w:r>
    </w:p>
    <w:p>
      <w:pPr>
        <w:pStyle w:val="BodyText"/>
        <w:ind w:left="463"/>
        <w:spacing w:before="187" w:line="220" w:lineRule="auto"/>
        <w:outlineLvl w:val="3"/>
        <w:rPr/>
      </w:pPr>
      <w:r>
        <w:rPr>
          <w:b/>
          <w:bCs/>
          <w:spacing w:val="-3"/>
        </w:rPr>
        <w:t>3）网络运行及支撑成本</w:t>
      </w:r>
    </w:p>
    <w:p>
      <w:pPr>
        <w:pStyle w:val="BodyText"/>
        <w:ind w:left="44" w:right="67" w:firstLine="415"/>
        <w:spacing w:before="217" w:line="261" w:lineRule="auto"/>
        <w:rPr/>
      </w:pPr>
      <w:r>
        <w:rPr>
          <w:spacing w:val="-1"/>
        </w:rPr>
        <w:t>2019</w:t>
      </w:r>
      <w:r>
        <w:rPr>
          <w:spacing w:val="-40"/>
        </w:rPr>
        <w:t xml:space="preserve"> </w:t>
      </w:r>
      <w:r>
        <w:rPr>
          <w:spacing w:val="-1"/>
        </w:rPr>
        <w:t>年上半年公司网络运行及支撑成本发生人民币</w:t>
      </w:r>
      <w:r>
        <w:rPr>
          <w:spacing w:val="-41"/>
        </w:rPr>
        <w:t xml:space="preserve"> </w:t>
      </w:r>
      <w:r>
        <w:rPr>
          <w:spacing w:val="-1"/>
        </w:rPr>
        <w:t>208.0</w:t>
      </w:r>
      <w:r>
        <w:rPr>
          <w:spacing w:val="-43"/>
        </w:rPr>
        <w:t xml:space="preserve"> </w:t>
      </w:r>
      <w:r>
        <w:rPr>
          <w:spacing w:val="-1"/>
        </w:rPr>
        <w:t>亿元，同比下降</w:t>
      </w:r>
      <w:r>
        <w:rPr>
          <w:spacing w:val="-41"/>
        </w:rPr>
        <w:t xml:space="preserve"> </w:t>
      </w:r>
      <w:r>
        <w:rPr>
          <w:spacing w:val="-1"/>
        </w:rPr>
        <w:t>25.0%，所占营业</w:t>
      </w:r>
      <w:r>
        <w:rPr/>
        <w:t xml:space="preserve"> </w:t>
      </w:r>
      <w:r>
        <w:rPr>
          <w:spacing w:val="-1"/>
        </w:rPr>
        <w:t>收入的比重由上年同期的</w:t>
      </w:r>
      <w:r>
        <w:rPr>
          <w:spacing w:val="-31"/>
        </w:rPr>
        <w:t xml:space="preserve"> </w:t>
      </w:r>
      <w:r>
        <w:rPr>
          <w:spacing w:val="-1"/>
        </w:rPr>
        <w:t>18.61%下降至</w:t>
      </w:r>
      <w:r>
        <w:rPr>
          <w:spacing w:val="-28"/>
        </w:rPr>
        <w:t xml:space="preserve"> </w:t>
      </w:r>
      <w:r>
        <w:rPr>
          <w:spacing w:val="-1"/>
        </w:rPr>
        <w:t>14.3</w:t>
      </w:r>
      <w:r>
        <w:rPr>
          <w:spacing w:val="-2"/>
        </w:rPr>
        <w:t>5%，主要是受执行新租赁准则的影响。</w:t>
      </w:r>
    </w:p>
    <w:p>
      <w:pPr>
        <w:spacing w:line="261" w:lineRule="auto"/>
        <w:sectPr>
          <w:headerReference w:type="default" r:id="rId19"/>
          <w:footerReference w:type="default" r:id="rId20"/>
          <w:pgSz w:w="11907" w:h="16839"/>
          <w:pgMar w:top="1391" w:right="1206" w:bottom="1375" w:left="1771" w:header="842" w:footer="1212" w:gutter="0"/>
        </w:sectPr>
        <w:rPr/>
      </w:pPr>
    </w:p>
    <w:p>
      <w:pPr>
        <w:pStyle w:val="BodyText"/>
        <w:ind w:left="458"/>
        <w:spacing w:before="188" w:line="220" w:lineRule="auto"/>
        <w:outlineLvl w:val="3"/>
        <w:rPr/>
      </w:pPr>
      <w:r>
        <w:rPr>
          <w:b/>
          <w:bCs/>
          <w:spacing w:val="-3"/>
        </w:rPr>
        <w:t>4）人工成本</w:t>
      </w:r>
    </w:p>
    <w:p>
      <w:pPr>
        <w:pStyle w:val="BodyText"/>
        <w:ind w:left="57" w:right="14" w:firstLine="353"/>
        <w:spacing w:before="218" w:line="261" w:lineRule="auto"/>
        <w:rPr/>
      </w:pPr>
      <w:r>
        <w:rPr>
          <w:spacing w:val="-1"/>
        </w:rPr>
        <w:t>2019</w:t>
      </w:r>
      <w:r>
        <w:rPr>
          <w:spacing w:val="-37"/>
        </w:rPr>
        <w:t xml:space="preserve"> </w:t>
      </w:r>
      <w:r>
        <w:rPr>
          <w:spacing w:val="-1"/>
        </w:rPr>
        <w:t>年上半年人工成本发生人民币251.9</w:t>
      </w:r>
      <w:r>
        <w:rPr>
          <w:spacing w:val="-45"/>
        </w:rPr>
        <w:t xml:space="preserve"> </w:t>
      </w:r>
      <w:r>
        <w:rPr>
          <w:spacing w:val="-1"/>
        </w:rPr>
        <w:t>亿元，同比增长</w:t>
      </w:r>
      <w:r>
        <w:rPr>
          <w:spacing w:val="-40"/>
        </w:rPr>
        <w:t xml:space="preserve"> </w:t>
      </w:r>
      <w:r>
        <w:rPr>
          <w:spacing w:val="-1"/>
        </w:rPr>
        <w:t>3.2%，所占营业收入的比重由上年</w:t>
      </w:r>
      <w:r>
        <w:rPr/>
        <w:t xml:space="preserve"> </w:t>
      </w:r>
      <w:r>
        <w:rPr>
          <w:spacing w:val="-5"/>
        </w:rPr>
        <w:t>同期的</w:t>
      </w:r>
      <w:r>
        <w:rPr>
          <w:spacing w:val="-12"/>
        </w:rPr>
        <w:t xml:space="preserve"> </w:t>
      </w:r>
      <w:r>
        <w:rPr>
          <w:spacing w:val="-5"/>
        </w:rPr>
        <w:t>16.37%增长至</w:t>
      </w:r>
      <w:r>
        <w:rPr>
          <w:spacing w:val="-27"/>
        </w:rPr>
        <w:t xml:space="preserve"> </w:t>
      </w:r>
      <w:r>
        <w:rPr>
          <w:spacing w:val="-5"/>
        </w:rPr>
        <w:t>17.38%。</w:t>
      </w:r>
    </w:p>
    <w:p>
      <w:pPr>
        <w:pStyle w:val="BodyText"/>
        <w:ind w:left="463"/>
        <w:spacing w:before="185" w:line="220" w:lineRule="auto"/>
        <w:outlineLvl w:val="3"/>
        <w:rPr/>
      </w:pPr>
      <w:r>
        <w:rPr>
          <w:b/>
          <w:bCs/>
          <w:spacing w:val="-3"/>
        </w:rPr>
        <w:t>5）销售通信产品成本</w:t>
      </w:r>
    </w:p>
    <w:p>
      <w:pPr>
        <w:pStyle w:val="BodyText"/>
        <w:ind w:left="57" w:right="4" w:firstLine="353"/>
        <w:spacing w:before="217" w:line="266" w:lineRule="auto"/>
        <w:rPr/>
      </w:pPr>
      <w:r>
        <w:rPr>
          <w:spacing w:val="-1"/>
        </w:rPr>
        <w:t>2019</w:t>
      </w:r>
      <w:r>
        <w:rPr>
          <w:spacing w:val="-43"/>
        </w:rPr>
        <w:t xml:space="preserve"> </w:t>
      </w:r>
      <w:r>
        <w:rPr>
          <w:spacing w:val="-1"/>
        </w:rPr>
        <w:t>年上半年公司销售通信产品成本发生人民币</w:t>
      </w:r>
      <w:r>
        <w:rPr>
          <w:spacing w:val="-25"/>
        </w:rPr>
        <w:t xml:space="preserve"> </w:t>
      </w:r>
      <w:r>
        <w:rPr>
          <w:spacing w:val="-1"/>
        </w:rPr>
        <w:t>123.9</w:t>
      </w:r>
      <w:r>
        <w:rPr>
          <w:spacing w:val="-41"/>
        </w:rPr>
        <w:t xml:space="preserve"> </w:t>
      </w:r>
      <w:r>
        <w:rPr>
          <w:spacing w:val="-1"/>
        </w:rPr>
        <w:t>亿元，同期销售通信产品</w:t>
      </w:r>
      <w:r>
        <w:rPr>
          <w:spacing w:val="-2"/>
        </w:rPr>
        <w:t>收入为人民</w:t>
      </w:r>
      <w:r>
        <w:rPr/>
        <w:t xml:space="preserve"> </w:t>
      </w:r>
      <w:r>
        <w:rPr>
          <w:spacing w:val="-2"/>
        </w:rPr>
        <w:t>币</w:t>
      </w:r>
      <w:r>
        <w:rPr>
          <w:spacing w:val="-26"/>
        </w:rPr>
        <w:t xml:space="preserve"> </w:t>
      </w:r>
      <w:r>
        <w:rPr>
          <w:spacing w:val="-2"/>
        </w:rPr>
        <w:t>120.0</w:t>
      </w:r>
      <w:r>
        <w:rPr>
          <w:spacing w:val="-43"/>
        </w:rPr>
        <w:t xml:space="preserve"> </w:t>
      </w:r>
      <w:r>
        <w:rPr>
          <w:spacing w:val="-2"/>
        </w:rPr>
        <w:t>亿元，销售通信产品亏损为人民币</w:t>
      </w:r>
      <w:r>
        <w:rPr>
          <w:spacing w:val="-37"/>
        </w:rPr>
        <w:t xml:space="preserve"> </w:t>
      </w:r>
      <w:r>
        <w:rPr>
          <w:spacing w:val="-2"/>
        </w:rPr>
        <w:t>3.9</w:t>
      </w:r>
      <w:r>
        <w:rPr>
          <w:spacing w:val="-43"/>
        </w:rPr>
        <w:t xml:space="preserve"> </w:t>
      </w:r>
      <w:r>
        <w:rPr>
          <w:spacing w:val="-2"/>
        </w:rPr>
        <w:t>亿元，其中，终端补贴成本为人民币</w:t>
      </w:r>
      <w:r>
        <w:rPr>
          <w:spacing w:val="-42"/>
        </w:rPr>
        <w:t xml:space="preserve"> </w:t>
      </w:r>
      <w:r>
        <w:rPr>
          <w:spacing w:val="-2"/>
        </w:rPr>
        <w:t>6.1</w:t>
      </w:r>
      <w:r>
        <w:rPr>
          <w:spacing w:val="-44"/>
        </w:rPr>
        <w:t xml:space="preserve"> </w:t>
      </w:r>
      <w:r>
        <w:rPr>
          <w:spacing w:val="-3"/>
        </w:rPr>
        <w:t>亿元，</w:t>
      </w:r>
      <w:r>
        <w:rPr/>
        <w:t xml:space="preserve"> </w:t>
      </w:r>
      <w:r>
        <w:rPr>
          <w:spacing w:val="-4"/>
        </w:rPr>
        <w:t>同比上升</w:t>
      </w:r>
      <w:r>
        <w:rPr>
          <w:spacing w:val="-40"/>
        </w:rPr>
        <w:t xml:space="preserve"> </w:t>
      </w:r>
      <w:r>
        <w:rPr>
          <w:spacing w:val="-4"/>
        </w:rPr>
        <w:t>61.9%。</w:t>
      </w:r>
    </w:p>
    <w:p>
      <w:pPr>
        <w:pStyle w:val="BodyText"/>
        <w:ind w:left="461"/>
        <w:spacing w:before="185" w:line="221" w:lineRule="auto"/>
        <w:outlineLvl w:val="3"/>
        <w:rPr/>
      </w:pPr>
      <w:r>
        <w:rPr>
          <w:b/>
          <w:bCs/>
          <w:spacing w:val="-3"/>
        </w:rPr>
        <w:t>6）销售费用</w:t>
      </w:r>
    </w:p>
    <w:p>
      <w:pPr>
        <w:pStyle w:val="BodyText"/>
        <w:ind w:left="38" w:right="27" w:firstLine="372"/>
        <w:spacing w:before="216" w:line="261" w:lineRule="auto"/>
        <w:rPr/>
      </w:pPr>
      <w:r>
        <w:rPr>
          <w:spacing w:val="-3"/>
        </w:rPr>
        <w:t>2019</w:t>
      </w:r>
      <w:r>
        <w:rPr>
          <w:spacing w:val="-34"/>
        </w:rPr>
        <w:t xml:space="preserve"> </w:t>
      </w:r>
      <w:r>
        <w:rPr>
          <w:spacing w:val="-3"/>
        </w:rPr>
        <w:t>年上半年公司销售费用发生人民币</w:t>
      </w:r>
      <w:r>
        <w:rPr>
          <w:spacing w:val="-29"/>
        </w:rPr>
        <w:t xml:space="preserve"> </w:t>
      </w:r>
      <w:r>
        <w:rPr>
          <w:spacing w:val="-3"/>
        </w:rPr>
        <w:t>174.6</w:t>
      </w:r>
      <w:r>
        <w:rPr>
          <w:spacing w:val="-45"/>
        </w:rPr>
        <w:t xml:space="preserve"> </w:t>
      </w:r>
      <w:r>
        <w:rPr>
          <w:spacing w:val="-3"/>
        </w:rPr>
        <w:t>亿元，同比增长</w:t>
      </w:r>
      <w:r>
        <w:rPr>
          <w:spacing w:val="-40"/>
        </w:rPr>
        <w:t xml:space="preserve"> </w:t>
      </w:r>
      <w:r>
        <w:rPr>
          <w:spacing w:val="-3"/>
        </w:rPr>
        <w:t>5.9%，所占营业收入的比重由</w:t>
      </w:r>
      <w:r>
        <w:rPr/>
        <w:t xml:space="preserve"> </w:t>
      </w:r>
      <w:r>
        <w:rPr>
          <w:spacing w:val="-3"/>
        </w:rPr>
        <w:t>上年同期的</w:t>
      </w:r>
      <w:r>
        <w:rPr>
          <w:spacing w:val="-20"/>
        </w:rPr>
        <w:t xml:space="preserve"> </w:t>
      </w:r>
      <w:r>
        <w:rPr>
          <w:spacing w:val="-3"/>
        </w:rPr>
        <w:t>11.06%增长至</w:t>
      </w:r>
      <w:r>
        <w:rPr>
          <w:spacing w:val="-30"/>
        </w:rPr>
        <w:t xml:space="preserve"> </w:t>
      </w:r>
      <w:r>
        <w:rPr>
          <w:spacing w:val="-3"/>
        </w:rPr>
        <w:t>12.04%。</w:t>
      </w:r>
    </w:p>
    <w:p>
      <w:pPr>
        <w:pStyle w:val="BodyText"/>
        <w:ind w:left="464"/>
        <w:spacing w:before="187" w:line="220" w:lineRule="auto"/>
        <w:outlineLvl w:val="3"/>
        <w:rPr/>
      </w:pPr>
      <w:r>
        <w:rPr>
          <w:b/>
          <w:bCs/>
          <w:spacing w:val="-3"/>
        </w:rPr>
        <w:t>7）其他营业成本及管理费用</w:t>
      </w:r>
    </w:p>
    <w:p>
      <w:pPr>
        <w:pStyle w:val="BodyText"/>
        <w:ind w:left="411"/>
        <w:spacing w:before="217" w:line="220" w:lineRule="auto"/>
        <w:rPr/>
      </w:pPr>
      <w:r>
        <w:rPr>
          <w:spacing w:val="-1"/>
        </w:rPr>
        <w:t>2019</w:t>
      </w:r>
      <w:r>
        <w:rPr>
          <w:spacing w:val="-45"/>
        </w:rPr>
        <w:t xml:space="preserve"> </w:t>
      </w:r>
      <w:r>
        <w:rPr>
          <w:spacing w:val="-1"/>
        </w:rPr>
        <w:t>年上半年公司其他营业成本及管理费用发生人民币</w:t>
      </w:r>
      <w:r>
        <w:rPr>
          <w:spacing w:val="-28"/>
        </w:rPr>
        <w:t xml:space="preserve"> </w:t>
      </w:r>
      <w:r>
        <w:rPr>
          <w:spacing w:val="-1"/>
        </w:rPr>
        <w:t>109.0</w:t>
      </w:r>
      <w:r>
        <w:rPr>
          <w:spacing w:val="-46"/>
        </w:rPr>
        <w:t xml:space="preserve"> </w:t>
      </w:r>
      <w:r>
        <w:rPr>
          <w:spacing w:val="-2"/>
        </w:rPr>
        <w:t>亿元，同比增长</w:t>
      </w:r>
      <w:r>
        <w:rPr>
          <w:spacing w:val="-41"/>
        </w:rPr>
        <w:t xml:space="preserve"> </w:t>
      </w:r>
      <w:r>
        <w:rPr>
          <w:spacing w:val="-2"/>
        </w:rPr>
        <w:t>29.3%。</w:t>
      </w:r>
    </w:p>
    <w:p>
      <w:pPr>
        <w:pStyle w:val="BodyText"/>
        <w:ind w:left="460"/>
        <w:spacing w:before="218" w:line="221" w:lineRule="auto"/>
        <w:outlineLvl w:val="3"/>
        <w:rPr/>
      </w:pPr>
      <w:r>
        <w:rPr>
          <w:b/>
          <w:bCs/>
          <w:spacing w:val="-3"/>
        </w:rPr>
        <w:t>8）财务费用</w:t>
      </w:r>
    </w:p>
    <w:p>
      <w:pPr>
        <w:pStyle w:val="BodyText"/>
        <w:ind w:left="37" w:right="2" w:firstLine="373"/>
        <w:spacing w:before="217" w:line="261" w:lineRule="auto"/>
        <w:rPr/>
      </w:pPr>
      <w:r>
        <w:rPr/>
        <w:t>2019</w:t>
      </w:r>
      <w:r>
        <w:rPr>
          <w:spacing w:val="-33"/>
        </w:rPr>
        <w:t xml:space="preserve"> </w:t>
      </w:r>
      <w:r>
        <w:rPr/>
        <w:t>年上半年公司财务费用发生人民币4.7</w:t>
      </w:r>
      <w:r>
        <w:rPr>
          <w:spacing w:val="-41"/>
        </w:rPr>
        <w:t xml:space="preserve"> </w:t>
      </w:r>
      <w:r>
        <w:rPr/>
        <w:t>亿元，同比增加人民币</w:t>
      </w:r>
      <w:r>
        <w:rPr>
          <w:spacing w:val="-39"/>
        </w:rPr>
        <w:t xml:space="preserve"> </w:t>
      </w:r>
      <w:r>
        <w:rPr/>
        <w:t>2.8</w:t>
      </w:r>
      <w:r>
        <w:rPr>
          <w:spacing w:val="-43"/>
        </w:rPr>
        <w:t xml:space="preserve"> </w:t>
      </w:r>
      <w:r>
        <w:rPr/>
        <w:t>亿元，主要是受执行 </w:t>
      </w:r>
      <w:r>
        <w:rPr>
          <w:spacing w:val="-1"/>
        </w:rPr>
        <w:t>新租赁准则的影响。</w:t>
      </w:r>
    </w:p>
    <w:p>
      <w:pPr>
        <w:pStyle w:val="BodyText"/>
        <w:ind w:left="458"/>
        <w:spacing w:before="186" w:line="221" w:lineRule="auto"/>
        <w:outlineLvl w:val="0"/>
        <w:rPr/>
      </w:pPr>
      <w:r>
        <w:rPr>
          <w:b/>
          <w:bCs/>
          <w:spacing w:val="-3"/>
        </w:rPr>
        <w:t>4.盈利水平</w:t>
      </w:r>
    </w:p>
    <w:p>
      <w:pPr>
        <w:pStyle w:val="BodyText"/>
        <w:ind w:left="474"/>
        <w:spacing w:before="217" w:line="221" w:lineRule="auto"/>
        <w:outlineLvl w:val="3"/>
        <w:rPr/>
      </w:pPr>
      <w:r>
        <w:rPr>
          <w:b/>
          <w:bCs/>
          <w:spacing w:val="-5"/>
        </w:rPr>
        <w:t>1）税前利润</w:t>
      </w:r>
    </w:p>
    <w:p>
      <w:pPr>
        <w:pStyle w:val="BodyText"/>
        <w:ind w:left="411"/>
        <w:spacing w:before="216" w:line="220" w:lineRule="auto"/>
        <w:rPr/>
      </w:pPr>
      <w:r>
        <w:rPr/>
        <w:t>2019</w:t>
      </w:r>
      <w:r>
        <w:rPr>
          <w:spacing w:val="-41"/>
        </w:rPr>
        <w:t xml:space="preserve"> </w:t>
      </w:r>
      <w:r>
        <w:rPr/>
        <w:t>年上半年税前利润实现人民币86.5</w:t>
      </w:r>
      <w:r>
        <w:rPr>
          <w:spacing w:val="-45"/>
        </w:rPr>
        <w:t xml:space="preserve"> </w:t>
      </w:r>
      <w:r>
        <w:rPr/>
        <w:t>亿元，同比增长</w:t>
      </w:r>
      <w:r>
        <w:rPr>
          <w:spacing w:val="-28"/>
        </w:rPr>
        <w:t xml:space="preserve"> </w:t>
      </w:r>
      <w:r>
        <w:rPr/>
        <w:t>11.8%。</w:t>
      </w:r>
    </w:p>
    <w:p>
      <w:pPr>
        <w:pStyle w:val="BodyText"/>
        <w:ind w:left="461"/>
        <w:spacing w:before="218" w:line="221" w:lineRule="auto"/>
        <w:outlineLvl w:val="3"/>
        <w:rPr/>
      </w:pPr>
      <w:r>
        <w:rPr>
          <w:b/>
          <w:bCs/>
          <w:spacing w:val="-3"/>
        </w:rPr>
        <w:t>2）所得税</w:t>
      </w:r>
    </w:p>
    <w:p>
      <w:pPr>
        <w:pStyle w:val="BodyText"/>
        <w:ind w:left="411"/>
        <w:spacing w:before="217" w:line="220" w:lineRule="auto"/>
        <w:rPr/>
      </w:pPr>
      <w:r>
        <w:rPr>
          <w:spacing w:val="-2"/>
        </w:rPr>
        <w:t>2019</w:t>
      </w:r>
      <w:r>
        <w:rPr>
          <w:spacing w:val="-35"/>
        </w:rPr>
        <w:t xml:space="preserve"> </w:t>
      </w:r>
      <w:r>
        <w:rPr>
          <w:spacing w:val="-2"/>
        </w:rPr>
        <w:t>年上半年公司的所得税为人民币</w:t>
      </w:r>
      <w:r>
        <w:rPr>
          <w:spacing w:val="-28"/>
        </w:rPr>
        <w:t xml:space="preserve"> </w:t>
      </w:r>
      <w:r>
        <w:rPr>
          <w:spacing w:val="-2"/>
        </w:rPr>
        <w:t>18.4</w:t>
      </w:r>
      <w:r>
        <w:rPr>
          <w:spacing w:val="-43"/>
        </w:rPr>
        <w:t xml:space="preserve"> </w:t>
      </w:r>
      <w:r>
        <w:rPr>
          <w:spacing w:val="-2"/>
        </w:rPr>
        <w:t>亿元，实际税率为</w:t>
      </w:r>
      <w:r>
        <w:rPr>
          <w:spacing w:val="-41"/>
        </w:rPr>
        <w:t xml:space="preserve"> </w:t>
      </w:r>
      <w:r>
        <w:rPr>
          <w:spacing w:val="-2"/>
        </w:rPr>
        <w:t>21.2%。</w:t>
      </w:r>
    </w:p>
    <w:p>
      <w:pPr>
        <w:pStyle w:val="BodyText"/>
        <w:ind w:left="463"/>
        <w:spacing w:before="217" w:line="221" w:lineRule="auto"/>
        <w:outlineLvl w:val="3"/>
        <w:rPr/>
      </w:pPr>
      <w:r>
        <w:rPr>
          <w:b/>
          <w:bCs/>
          <w:spacing w:val="-4"/>
        </w:rPr>
        <w:t>3）年度盈利</w:t>
      </w:r>
    </w:p>
    <w:p>
      <w:pPr>
        <w:pStyle w:val="BodyText"/>
        <w:ind w:left="37" w:right="16" w:firstLine="373"/>
        <w:spacing w:before="219" w:line="260" w:lineRule="auto"/>
        <w:rPr/>
      </w:pPr>
      <w:r>
        <w:rPr>
          <w:spacing w:val="-1"/>
        </w:rPr>
        <w:t>2019</w:t>
      </w:r>
      <w:r>
        <w:rPr>
          <w:spacing w:val="-46"/>
        </w:rPr>
        <w:t xml:space="preserve"> </w:t>
      </w:r>
      <w:r>
        <w:rPr>
          <w:spacing w:val="-1"/>
        </w:rPr>
        <w:t>年上半年公司归属于母公司净利润实现人民币30.2</w:t>
      </w:r>
      <w:r>
        <w:rPr>
          <w:spacing w:val="-45"/>
        </w:rPr>
        <w:t xml:space="preserve"> </w:t>
      </w:r>
      <w:r>
        <w:rPr>
          <w:spacing w:val="-1"/>
        </w:rPr>
        <w:t>亿元，同比增长</w:t>
      </w:r>
      <w:r>
        <w:rPr>
          <w:spacing w:val="-29"/>
        </w:rPr>
        <w:t xml:space="preserve"> </w:t>
      </w:r>
      <w:r>
        <w:rPr>
          <w:spacing w:val="-1"/>
        </w:rPr>
        <w:t>16.8%。</w:t>
      </w:r>
      <w:r>
        <w:rPr>
          <w:spacing w:val="-2"/>
        </w:rPr>
        <w:t>每股基本盈</w:t>
      </w:r>
      <w:r>
        <w:rPr/>
        <w:t xml:space="preserve"> </w:t>
      </w:r>
      <w:r>
        <w:rPr>
          <w:spacing w:val="-3"/>
        </w:rPr>
        <w:t>利为人民币</w:t>
      </w:r>
      <w:r>
        <w:rPr>
          <w:spacing w:val="-28"/>
        </w:rPr>
        <w:t xml:space="preserve"> </w:t>
      </w:r>
      <w:r>
        <w:rPr>
          <w:spacing w:val="-3"/>
        </w:rPr>
        <w:t>0.097</w:t>
      </w:r>
      <w:r>
        <w:rPr>
          <w:spacing w:val="-42"/>
        </w:rPr>
        <w:t xml:space="preserve"> </w:t>
      </w:r>
      <w:r>
        <w:rPr>
          <w:spacing w:val="-3"/>
        </w:rPr>
        <w:t>元，同比增长</w:t>
      </w:r>
      <w:r>
        <w:rPr>
          <w:spacing w:val="-28"/>
        </w:rPr>
        <w:t xml:space="preserve"> </w:t>
      </w:r>
      <w:r>
        <w:rPr>
          <w:spacing w:val="-3"/>
        </w:rPr>
        <w:t>14.1%。</w:t>
      </w:r>
    </w:p>
    <w:p>
      <w:pPr>
        <w:pStyle w:val="BodyText"/>
        <w:ind w:left="463"/>
        <w:spacing w:before="181" w:line="218" w:lineRule="auto"/>
        <w:outlineLvl w:val="0"/>
        <w:rPr>
          <w:sz w:val="11"/>
          <w:szCs w:val="11"/>
        </w:rPr>
      </w:pPr>
      <w:r>
        <w:rPr>
          <w:b/>
          <w:bCs/>
          <w:spacing w:val="-3"/>
        </w:rPr>
        <w:t>5.EBITDA</w:t>
      </w:r>
      <w:r>
        <w:rPr>
          <w:sz w:val="11"/>
          <w:szCs w:val="11"/>
          <w:b/>
          <w:bCs/>
          <w:spacing w:val="-3"/>
          <w:position w:val="10"/>
        </w:rPr>
        <w:t>1</w:t>
      </w:r>
    </w:p>
    <w:p>
      <w:pPr>
        <w:pStyle w:val="BodyText"/>
        <w:ind w:left="44" w:right="4" w:firstLine="367"/>
        <w:spacing w:before="226" w:line="261" w:lineRule="auto"/>
        <w:rPr/>
      </w:pPr>
      <w:r>
        <w:rPr/>
        <w:t>2019</w:t>
      </w:r>
      <w:r>
        <w:rPr>
          <w:spacing w:val="-30"/>
        </w:rPr>
        <w:t xml:space="preserve"> </w:t>
      </w:r>
      <w:r>
        <w:rPr/>
        <w:t>年上半年公司EBITDA</w:t>
      </w:r>
      <w:r>
        <w:rPr>
          <w:spacing w:val="-42"/>
        </w:rPr>
        <w:t xml:space="preserve"> </w:t>
      </w:r>
      <w:r>
        <w:rPr/>
        <w:t>为人民币496.4</w:t>
      </w:r>
      <w:r>
        <w:rPr>
          <w:spacing w:val="-43"/>
        </w:rPr>
        <w:t xml:space="preserve"> </w:t>
      </w:r>
      <w:r>
        <w:rPr/>
        <w:t>亿元，同比增长</w:t>
      </w:r>
      <w:r>
        <w:rPr>
          <w:spacing w:val="-43"/>
        </w:rPr>
        <w:t xml:space="preserve"> </w:t>
      </w:r>
      <w:r>
        <w:rPr/>
        <w:t>8.3%，EBITDA 占主营业务收入的 </w:t>
      </w:r>
      <w:r>
        <w:rPr>
          <w:spacing w:val="-2"/>
        </w:rPr>
        <w:t>百分比为</w:t>
      </w:r>
      <w:r>
        <w:rPr>
          <w:spacing w:val="-40"/>
        </w:rPr>
        <w:t xml:space="preserve"> </w:t>
      </w:r>
      <w:r>
        <w:rPr>
          <w:spacing w:val="-2"/>
        </w:rPr>
        <w:t>37.3%，同比增长</w:t>
      </w:r>
      <w:r>
        <w:rPr>
          <w:spacing w:val="-39"/>
        </w:rPr>
        <w:t xml:space="preserve"> </w:t>
      </w:r>
      <w:r>
        <w:rPr>
          <w:spacing w:val="-2"/>
        </w:rPr>
        <w:t>3.2</w:t>
      </w:r>
      <w:r>
        <w:rPr>
          <w:spacing w:val="-47"/>
        </w:rPr>
        <w:t xml:space="preserve"> </w:t>
      </w:r>
      <w:r>
        <w:rPr>
          <w:spacing w:val="-2"/>
        </w:rPr>
        <w:t>个百分点。</w:t>
      </w:r>
    </w:p>
    <w:p>
      <w:pPr>
        <w:pStyle w:val="BodyText"/>
        <w:ind w:left="461"/>
        <w:spacing w:before="186" w:line="220" w:lineRule="auto"/>
        <w:outlineLvl w:val="0"/>
        <w:rPr/>
      </w:pPr>
      <w:r>
        <w:rPr>
          <w:b/>
          <w:bCs/>
          <w:spacing w:val="-3"/>
        </w:rPr>
        <w:t>6.资本开支及现金流</w:t>
      </w:r>
    </w:p>
    <w:p>
      <w:pPr>
        <w:pStyle w:val="BodyText"/>
        <w:ind w:left="37" w:right="9" w:firstLine="374"/>
        <w:spacing w:before="219" w:line="265" w:lineRule="auto"/>
        <w:jc w:val="both"/>
        <w:rPr/>
      </w:pPr>
      <w:r>
        <w:rPr>
          <w:spacing w:val="-1"/>
        </w:rPr>
        <w:t>2019</w:t>
      </w:r>
      <w:r>
        <w:rPr>
          <w:spacing w:val="-43"/>
        </w:rPr>
        <w:t xml:space="preserve"> </w:t>
      </w:r>
      <w:r>
        <w:rPr>
          <w:spacing w:val="-1"/>
        </w:rPr>
        <w:t>年上半年公司各项资本开支合计人民币</w:t>
      </w:r>
      <w:r>
        <w:rPr>
          <w:spacing w:val="-39"/>
        </w:rPr>
        <w:t xml:space="preserve"> </w:t>
      </w:r>
      <w:r>
        <w:rPr>
          <w:spacing w:val="-1"/>
        </w:rPr>
        <w:t>220.5</w:t>
      </w:r>
      <w:r>
        <w:rPr>
          <w:spacing w:val="-43"/>
        </w:rPr>
        <w:t xml:space="preserve"> </w:t>
      </w:r>
      <w:r>
        <w:rPr>
          <w:spacing w:val="-2"/>
        </w:rPr>
        <w:t>亿元，主要用于移动网络、宽带及数据、</w:t>
      </w:r>
      <w:r>
        <w:rPr/>
        <w:t xml:space="preserve"> </w:t>
      </w:r>
      <w:r>
        <w:rPr/>
        <w:t>基础设施及传送网建设等方面。2019</w:t>
      </w:r>
      <w:r>
        <w:rPr>
          <w:spacing w:val="-43"/>
        </w:rPr>
        <w:t xml:space="preserve"> </w:t>
      </w:r>
      <w:r>
        <w:rPr/>
        <w:t>年上半年公司经营活动现</w:t>
      </w:r>
      <w:r>
        <w:rPr>
          <w:spacing w:val="-1"/>
        </w:rPr>
        <w:t>金流量净额为人民币435.9</w:t>
      </w:r>
      <w:r>
        <w:rPr>
          <w:spacing w:val="-43"/>
        </w:rPr>
        <w:t xml:space="preserve"> </w:t>
      </w:r>
      <w:r>
        <w:rPr>
          <w:spacing w:val="-1"/>
        </w:rPr>
        <w:t>亿元，</w:t>
      </w:r>
      <w:r>
        <w:rPr/>
        <w:t xml:space="preserve"> </w:t>
      </w:r>
      <w:r>
        <w:rPr>
          <w:spacing w:val="-1"/>
        </w:rPr>
        <w:t>扣除本年资本开支后自由现金流为人民币</w:t>
      </w:r>
      <w:r>
        <w:rPr>
          <w:spacing w:val="-41"/>
        </w:rPr>
        <w:t xml:space="preserve"> </w:t>
      </w:r>
      <w:r>
        <w:rPr>
          <w:spacing w:val="-1"/>
        </w:rPr>
        <w:t>215.4</w:t>
      </w:r>
      <w:r>
        <w:rPr>
          <w:spacing w:val="-43"/>
        </w:rPr>
        <w:t xml:space="preserve"> </w:t>
      </w:r>
      <w:r>
        <w:rPr>
          <w:spacing w:val="-1"/>
        </w:rPr>
        <w:t>亿元。</w:t>
      </w:r>
    </w:p>
    <w:p>
      <w:pPr>
        <w:pStyle w:val="BodyText"/>
        <w:ind w:left="464"/>
        <w:spacing w:before="187" w:line="221" w:lineRule="auto"/>
        <w:outlineLvl w:val="0"/>
        <w:rPr/>
      </w:pPr>
      <w:r>
        <w:rPr>
          <w:b/>
          <w:bCs/>
          <w:spacing w:val="-3"/>
        </w:rPr>
        <w:t>7.资产负债情况</w:t>
      </w:r>
    </w:p>
    <w:p>
      <w:pPr>
        <w:pStyle w:val="BodyText"/>
        <w:ind w:left="37" w:right="2" w:firstLine="370"/>
        <w:spacing w:before="218" w:line="259" w:lineRule="auto"/>
        <w:rPr/>
      </w:pPr>
      <w:r>
        <w:rPr>
          <w:spacing w:val="-5"/>
        </w:rPr>
        <w:t>截至</w:t>
      </w:r>
      <w:r>
        <w:rPr>
          <w:spacing w:val="-32"/>
        </w:rPr>
        <w:t xml:space="preserve"> </w:t>
      </w:r>
      <w:r>
        <w:rPr>
          <w:spacing w:val="-5"/>
        </w:rPr>
        <w:t>2019</w:t>
      </w:r>
      <w:r>
        <w:rPr>
          <w:spacing w:val="-45"/>
        </w:rPr>
        <w:t xml:space="preserve"> </w:t>
      </w:r>
      <w:r>
        <w:rPr>
          <w:spacing w:val="-5"/>
        </w:rPr>
        <w:t>年</w:t>
      </w:r>
      <w:r>
        <w:rPr>
          <w:spacing w:val="-43"/>
        </w:rPr>
        <w:t xml:space="preserve"> </w:t>
      </w:r>
      <w:r>
        <w:rPr>
          <w:spacing w:val="-5"/>
        </w:rPr>
        <w:t>6</w:t>
      </w:r>
      <w:r>
        <w:rPr>
          <w:spacing w:val="-41"/>
        </w:rPr>
        <w:t xml:space="preserve"> </w:t>
      </w:r>
      <w:r>
        <w:rPr>
          <w:spacing w:val="-5"/>
        </w:rPr>
        <w:t>月</w:t>
      </w:r>
      <w:r>
        <w:rPr>
          <w:spacing w:val="-39"/>
        </w:rPr>
        <w:t xml:space="preserve"> </w:t>
      </w:r>
      <w:r>
        <w:rPr>
          <w:spacing w:val="-5"/>
        </w:rPr>
        <w:t>30 日，公司资产总额由上年底的人民币</w:t>
      </w:r>
      <w:r>
        <w:rPr>
          <w:spacing w:val="-40"/>
        </w:rPr>
        <w:t xml:space="preserve"> </w:t>
      </w:r>
      <w:r>
        <w:rPr>
          <w:spacing w:val="-5"/>
        </w:rPr>
        <w:t>5,417.6</w:t>
      </w:r>
      <w:r>
        <w:rPr>
          <w:spacing w:val="-43"/>
        </w:rPr>
        <w:t xml:space="preserve"> </w:t>
      </w:r>
      <w:r>
        <w:rPr>
          <w:spacing w:val="-5"/>
        </w:rPr>
        <w:t>亿元变化至人民币</w:t>
      </w:r>
      <w:r>
        <w:rPr>
          <w:spacing w:val="-39"/>
        </w:rPr>
        <w:t xml:space="preserve"> </w:t>
      </w:r>
      <w:r>
        <w:rPr>
          <w:spacing w:val="-5"/>
        </w:rPr>
        <w:t>5,665.5</w:t>
      </w:r>
      <w:r>
        <w:rPr/>
        <w:t xml:space="preserve"> </w:t>
      </w:r>
      <w:r>
        <w:rPr>
          <w:spacing w:val="-1"/>
        </w:rPr>
        <w:t>亿元，负债总额由上年底的人民币</w:t>
      </w:r>
      <w:r>
        <w:rPr>
          <w:spacing w:val="-29"/>
        </w:rPr>
        <w:t xml:space="preserve"> </w:t>
      </w:r>
      <w:r>
        <w:rPr>
          <w:spacing w:val="-1"/>
        </w:rPr>
        <w:t>2,248.2</w:t>
      </w:r>
      <w:r>
        <w:rPr>
          <w:spacing w:val="-43"/>
        </w:rPr>
        <w:t xml:space="preserve"> </w:t>
      </w:r>
      <w:r>
        <w:rPr>
          <w:spacing w:val="-1"/>
        </w:rPr>
        <w:t>亿元变化至人民币</w:t>
      </w:r>
      <w:r>
        <w:rPr>
          <w:spacing w:val="-42"/>
        </w:rPr>
        <w:t xml:space="preserve"> </w:t>
      </w:r>
      <w:r>
        <w:rPr>
          <w:spacing w:val="-1"/>
        </w:rPr>
        <w:t>2,470.9</w:t>
      </w:r>
      <w:r>
        <w:rPr>
          <w:spacing w:val="-40"/>
        </w:rPr>
        <w:t xml:space="preserve"> </w:t>
      </w:r>
      <w:r>
        <w:rPr>
          <w:spacing w:val="-1"/>
        </w:rPr>
        <w:t>亿元，资产负债率由上年</w:t>
      </w:r>
    </w:p>
    <w:p>
      <w:pPr>
        <w:spacing w:line="259" w:lineRule="auto"/>
        <w:sectPr>
          <w:headerReference w:type="default" r:id="rId1"/>
          <w:footerReference w:type="default" r:id="rId21"/>
          <w:pgSz w:w="11907" w:h="16839"/>
          <w:pgMar w:top="1391" w:right="1265" w:bottom="1374" w:left="1771" w:header="842" w:footer="1212" w:gutter="0"/>
        </w:sectPr>
        <w:rPr/>
      </w:pPr>
    </w:p>
    <w:p>
      <w:pPr>
        <w:pStyle w:val="BodyText"/>
        <w:ind w:left="36"/>
        <w:spacing w:before="188" w:line="221" w:lineRule="auto"/>
        <w:rPr/>
      </w:pPr>
      <w:r>
        <w:rPr>
          <w:spacing w:val="-1"/>
        </w:rPr>
        <w:t>底的</w:t>
      </w:r>
      <w:r>
        <w:rPr>
          <w:spacing w:val="-33"/>
        </w:rPr>
        <w:t xml:space="preserve"> </w:t>
      </w:r>
      <w:r>
        <w:rPr>
          <w:spacing w:val="-1"/>
        </w:rPr>
        <w:t>41.5%变化至</w:t>
      </w:r>
      <w:r>
        <w:rPr>
          <w:spacing w:val="-45"/>
        </w:rPr>
        <w:t xml:space="preserve"> </w:t>
      </w:r>
      <w:r>
        <w:rPr>
          <w:spacing w:val="-1"/>
        </w:rPr>
        <w:t>43.6%，主要是受执行新租赁准则的影响。</w:t>
      </w:r>
    </w:p>
    <w:p>
      <w:pPr>
        <w:pStyle w:val="BodyText"/>
        <w:ind w:left="35" w:right="68" w:firstLine="14"/>
        <w:spacing w:before="227" w:line="314" w:lineRule="auto"/>
        <w:rPr>
          <w:sz w:val="18"/>
          <w:szCs w:val="18"/>
        </w:rPr>
      </w:pPr>
      <w:r>
        <w:rPr>
          <w:sz w:val="18"/>
          <w:szCs w:val="18"/>
          <w:spacing w:val="-1"/>
        </w:rPr>
        <w:t>附注</w:t>
      </w:r>
      <w:r>
        <w:rPr>
          <w:rFonts w:ascii="Calibri" w:hAnsi="Calibri" w:eastAsia="Calibri" w:cs="Calibri"/>
          <w:sz w:val="18"/>
          <w:szCs w:val="18"/>
          <w:spacing w:val="-1"/>
        </w:rPr>
        <w:t>1.</w:t>
      </w:r>
      <w:r>
        <w:rPr>
          <w:rFonts w:ascii="Calibri" w:hAnsi="Calibri" w:eastAsia="Calibri" w:cs="Calibri"/>
          <w:sz w:val="18"/>
          <w:szCs w:val="18"/>
          <w:spacing w:val="51"/>
          <w:w w:val="101"/>
        </w:rPr>
        <w:t xml:space="preserve"> </w:t>
      </w:r>
      <w:r>
        <w:rPr>
          <w:rFonts w:ascii="Calibri" w:hAnsi="Calibri" w:eastAsia="Calibri" w:cs="Calibri"/>
          <w:sz w:val="18"/>
          <w:szCs w:val="18"/>
          <w:spacing w:val="-1"/>
        </w:rPr>
        <w:t>EBITDA</w:t>
      </w:r>
      <w:r>
        <w:rPr>
          <w:sz w:val="18"/>
          <w:szCs w:val="18"/>
          <w:spacing w:val="-1"/>
        </w:rPr>
        <w:t>反映了加回财务费用、所得税、公允价值变动净损失、营业成本和管理费用及研发费用中的折旧及</w:t>
      </w:r>
      <w:r>
        <w:rPr>
          <w:sz w:val="18"/>
          <w:szCs w:val="18"/>
        </w:rPr>
        <w:t xml:space="preserve"> </w:t>
      </w:r>
      <w:r>
        <w:rPr>
          <w:sz w:val="18"/>
          <w:szCs w:val="18"/>
        </w:rPr>
        <w:t>摊销以及减去投资收益、其他收益、营业外净收入的净利润。由于电信业是资本密集型产业，资本开支和财务费 </w:t>
      </w:r>
      <w:r>
        <w:rPr>
          <w:sz w:val="18"/>
          <w:szCs w:val="18"/>
        </w:rPr>
        <w:t>用可能对具有类似经营成果的公司年度盈利产生重大影响。因此，公司认为，对于与公司类似的电信公司而言， </w:t>
      </w:r>
      <w:r>
        <w:rPr>
          <w:rFonts w:ascii="Calibri" w:hAnsi="Calibri" w:eastAsia="Calibri" w:cs="Calibri"/>
          <w:sz w:val="18"/>
          <w:szCs w:val="18"/>
          <w:spacing w:val="-1"/>
        </w:rPr>
        <w:t>EBITDA</w:t>
      </w:r>
      <w:r>
        <w:rPr>
          <w:sz w:val="18"/>
          <w:szCs w:val="18"/>
          <w:spacing w:val="-1"/>
        </w:rPr>
        <w:t>有助于对公司经营成果分析。</w:t>
      </w:r>
    </w:p>
    <w:p>
      <w:pPr>
        <w:spacing w:line="331" w:lineRule="auto"/>
        <w:rPr>
          <w:rFonts w:ascii="Arial"/>
          <w:sz w:val="21"/>
        </w:rPr>
      </w:pPr>
      <w:r/>
    </w:p>
    <w:p>
      <w:pPr>
        <w:pStyle w:val="BodyText"/>
        <w:ind w:left="41"/>
        <w:spacing w:before="68" w:line="219" w:lineRule="auto"/>
        <w:outlineLvl w:val="1"/>
        <w:rPr/>
      </w:pPr>
      <w:r>
        <w:rPr>
          <w:b/>
          <w:bCs/>
          <w:spacing w:val="-2"/>
        </w:rPr>
        <w:t>3.2</w:t>
      </w:r>
      <w:r>
        <w:rPr>
          <w:spacing w:val="-2"/>
        </w:rPr>
        <w:t xml:space="preserve"> </w:t>
      </w:r>
      <w:r>
        <w:rPr>
          <w:b/>
          <w:bCs/>
          <w:spacing w:val="-2"/>
        </w:rPr>
        <w:t>与上一会计期间相比，会计政策、会计估计和核算方法发生变化的情况、原因及其影响</w:t>
      </w:r>
    </w:p>
    <w:p>
      <w:pPr>
        <w:pStyle w:val="BodyText"/>
        <w:ind w:left="88"/>
        <w:spacing w:before="141" w:line="222" w:lineRule="auto"/>
        <w:rPr/>
      </w:pPr>
      <w:r>
        <w:rPr>
          <w:spacing w:val="-13"/>
        </w:rPr>
        <w:t>√适用</w:t>
      </w:r>
      <w:r>
        <w:rPr>
          <w:spacing w:val="16"/>
        </w:rPr>
        <w:t xml:space="preserve">  </w:t>
      </w:r>
      <w:r>
        <w:rPr>
          <w:spacing w:val="-13"/>
        </w:rPr>
        <w:t>□不适用</w:t>
      </w:r>
    </w:p>
    <w:p>
      <w:pPr>
        <w:pStyle w:val="BodyText"/>
        <w:ind w:left="43"/>
        <w:spacing w:before="215" w:line="221" w:lineRule="auto"/>
        <w:rPr/>
      </w:pPr>
      <w:r>
        <w:rPr>
          <w:spacing w:val="-3"/>
        </w:rPr>
        <w:t>（一）变更概述</w:t>
      </w:r>
    </w:p>
    <w:p>
      <w:pPr>
        <w:pStyle w:val="BodyText"/>
        <w:ind w:left="463"/>
        <w:spacing w:before="217" w:line="220" w:lineRule="auto"/>
        <w:rPr/>
      </w:pPr>
      <w:r>
        <w:rPr>
          <w:spacing w:val="-1"/>
        </w:rPr>
        <w:t>公司于</w:t>
      </w:r>
      <w:r>
        <w:rPr>
          <w:spacing w:val="-41"/>
        </w:rPr>
        <w:t xml:space="preserve"> </w:t>
      </w:r>
      <w:r>
        <w:rPr>
          <w:spacing w:val="-1"/>
        </w:rPr>
        <w:t>2019</w:t>
      </w:r>
      <w:r>
        <w:rPr>
          <w:spacing w:val="-43"/>
        </w:rPr>
        <w:t xml:space="preserve"> </w:t>
      </w:r>
      <w:r>
        <w:rPr>
          <w:spacing w:val="-1"/>
        </w:rPr>
        <w:t>年度执行了财政部于近年颁布的以下企业会计准则修订：</w:t>
      </w:r>
    </w:p>
    <w:p>
      <w:pPr>
        <w:pStyle w:val="BodyText"/>
        <w:ind w:left="455"/>
        <w:spacing w:before="63" w:line="220" w:lineRule="auto"/>
        <w:rPr/>
      </w:pPr>
      <w:r>
        <w:rPr>
          <w:spacing w:val="-4"/>
        </w:rPr>
        <w:t>- 《企业会计准则第</w:t>
      </w:r>
      <w:r>
        <w:rPr>
          <w:spacing w:val="-32"/>
        </w:rPr>
        <w:t xml:space="preserve"> </w:t>
      </w:r>
      <w:r>
        <w:rPr>
          <w:spacing w:val="-4"/>
        </w:rPr>
        <w:t>21</w:t>
      </w:r>
      <w:r>
        <w:rPr>
          <w:spacing w:val="-41"/>
        </w:rPr>
        <w:t xml:space="preserve"> </w:t>
      </w:r>
      <w:r>
        <w:rPr>
          <w:spacing w:val="-4"/>
        </w:rPr>
        <w:t>号——租赁</w:t>
      </w:r>
      <w:r>
        <w:rPr>
          <w:spacing w:val="46"/>
        </w:rPr>
        <w:t xml:space="preserve"> </w:t>
      </w:r>
      <w:r>
        <w:rPr>
          <w:spacing w:val="-4"/>
        </w:rPr>
        <w:t>(修订) 》</w:t>
      </w:r>
      <w:r>
        <w:rPr>
          <w:spacing w:val="-61"/>
        </w:rPr>
        <w:t xml:space="preserve"> </w:t>
      </w:r>
      <w:r>
        <w:rPr>
          <w:spacing w:val="-4"/>
        </w:rPr>
        <w:t>(“新租赁准则”)</w:t>
      </w:r>
    </w:p>
    <w:p>
      <w:pPr>
        <w:pStyle w:val="BodyText"/>
        <w:ind w:left="455"/>
        <w:spacing w:before="61" w:line="220" w:lineRule="auto"/>
        <w:rPr/>
      </w:pPr>
      <w:r>
        <w:rPr>
          <w:spacing w:val="-3"/>
        </w:rPr>
        <w:t>- 《关于修订印发</w:t>
      </w:r>
      <w:r>
        <w:rPr>
          <w:spacing w:val="-32"/>
        </w:rPr>
        <w:t xml:space="preserve"> </w:t>
      </w:r>
      <w:r>
        <w:rPr>
          <w:spacing w:val="-3"/>
        </w:rPr>
        <w:t>2019</w:t>
      </w:r>
      <w:r>
        <w:rPr>
          <w:spacing w:val="-45"/>
        </w:rPr>
        <w:t xml:space="preserve"> </w:t>
      </w:r>
      <w:r>
        <w:rPr>
          <w:spacing w:val="-3"/>
        </w:rPr>
        <w:t>年度一般企业财务报表格式的通知》</w:t>
      </w:r>
      <w:r>
        <w:rPr>
          <w:spacing w:val="-59"/>
        </w:rPr>
        <w:t xml:space="preserve"> </w:t>
      </w:r>
      <w:r>
        <w:rPr>
          <w:spacing w:val="-3"/>
        </w:rPr>
        <w:t>(财会</w:t>
      </w:r>
      <w:r>
        <w:rPr>
          <w:spacing w:val="39"/>
        </w:rPr>
        <w:t xml:space="preserve"> </w:t>
      </w:r>
      <w:r>
        <w:rPr>
          <w:spacing w:val="-3"/>
        </w:rPr>
        <w:t>[2019] 6</w:t>
      </w:r>
      <w:r>
        <w:rPr>
          <w:spacing w:val="-41"/>
        </w:rPr>
        <w:t xml:space="preserve"> </w:t>
      </w:r>
      <w:r>
        <w:rPr>
          <w:spacing w:val="-3"/>
        </w:rPr>
        <w:t>号)；</w:t>
      </w:r>
    </w:p>
    <w:p>
      <w:pPr>
        <w:pStyle w:val="BodyText"/>
        <w:ind w:left="455"/>
        <w:spacing w:before="62" w:line="220" w:lineRule="auto"/>
        <w:rPr/>
      </w:pPr>
      <w:r>
        <w:rPr>
          <w:spacing w:val="-5"/>
        </w:rPr>
        <w:t>- 《企业会计准则第</w:t>
      </w:r>
      <w:r>
        <w:rPr>
          <w:spacing w:val="-21"/>
        </w:rPr>
        <w:t xml:space="preserve"> </w:t>
      </w:r>
      <w:r>
        <w:rPr>
          <w:spacing w:val="-5"/>
        </w:rPr>
        <w:t>7</w:t>
      </w:r>
      <w:r>
        <w:rPr>
          <w:spacing w:val="-38"/>
        </w:rPr>
        <w:t xml:space="preserve"> </w:t>
      </w:r>
      <w:r>
        <w:rPr>
          <w:spacing w:val="-5"/>
        </w:rPr>
        <w:t>号——非货币性资产交换</w:t>
      </w:r>
      <w:r>
        <w:rPr>
          <w:spacing w:val="46"/>
        </w:rPr>
        <w:t xml:space="preserve"> </w:t>
      </w:r>
      <w:r>
        <w:rPr>
          <w:spacing w:val="-5"/>
        </w:rPr>
        <w:t>(修订) 》</w:t>
      </w:r>
      <w:r>
        <w:rPr>
          <w:spacing w:val="-59"/>
        </w:rPr>
        <w:t xml:space="preserve"> </w:t>
      </w:r>
      <w:r>
        <w:rPr>
          <w:spacing w:val="-5"/>
        </w:rPr>
        <w:t>(“准则</w:t>
      </w:r>
      <w:r>
        <w:rPr>
          <w:spacing w:val="-39"/>
        </w:rPr>
        <w:t xml:space="preserve"> </w:t>
      </w:r>
      <w:r>
        <w:rPr>
          <w:spacing w:val="-5"/>
        </w:rPr>
        <w:t>7</w:t>
      </w:r>
      <w:r>
        <w:rPr>
          <w:spacing w:val="-41"/>
        </w:rPr>
        <w:t xml:space="preserve"> </w:t>
      </w:r>
      <w:r>
        <w:rPr>
          <w:spacing w:val="-5"/>
        </w:rPr>
        <w:t>号</w:t>
      </w:r>
      <w:r>
        <w:rPr>
          <w:spacing w:val="46"/>
        </w:rPr>
        <w:t xml:space="preserve"> </w:t>
      </w:r>
      <w:r>
        <w:rPr>
          <w:spacing w:val="-5"/>
        </w:rPr>
        <w:t>(2019)”)</w:t>
      </w:r>
    </w:p>
    <w:p>
      <w:pPr>
        <w:pStyle w:val="BodyText"/>
        <w:ind w:left="455"/>
        <w:spacing w:before="62" w:line="220" w:lineRule="auto"/>
        <w:rPr/>
      </w:pPr>
      <w:r>
        <w:rPr>
          <w:spacing w:val="-5"/>
        </w:rPr>
        <w:t>- 《企业会计准则第</w:t>
      </w:r>
      <w:r>
        <w:rPr>
          <w:spacing w:val="-28"/>
        </w:rPr>
        <w:t xml:space="preserve"> </w:t>
      </w:r>
      <w:r>
        <w:rPr>
          <w:spacing w:val="-5"/>
        </w:rPr>
        <w:t>12</w:t>
      </w:r>
      <w:r>
        <w:rPr>
          <w:spacing w:val="-42"/>
        </w:rPr>
        <w:t xml:space="preserve"> </w:t>
      </w:r>
      <w:r>
        <w:rPr>
          <w:spacing w:val="-5"/>
        </w:rPr>
        <w:t>号——债务重组</w:t>
      </w:r>
      <w:r>
        <w:rPr>
          <w:spacing w:val="46"/>
        </w:rPr>
        <w:t xml:space="preserve"> </w:t>
      </w:r>
      <w:r>
        <w:rPr>
          <w:spacing w:val="-5"/>
        </w:rPr>
        <w:t>(修订) 》</w:t>
      </w:r>
      <w:r>
        <w:rPr>
          <w:spacing w:val="-61"/>
        </w:rPr>
        <w:t xml:space="preserve"> </w:t>
      </w:r>
      <w:r>
        <w:rPr>
          <w:spacing w:val="-5"/>
        </w:rPr>
        <w:t>(“准则</w:t>
      </w:r>
      <w:r>
        <w:rPr>
          <w:spacing w:val="-29"/>
        </w:rPr>
        <w:t xml:space="preserve"> </w:t>
      </w:r>
      <w:r>
        <w:rPr>
          <w:spacing w:val="-6"/>
        </w:rPr>
        <w:t>12</w:t>
      </w:r>
      <w:r>
        <w:rPr>
          <w:spacing w:val="-41"/>
        </w:rPr>
        <w:t xml:space="preserve"> </w:t>
      </w:r>
      <w:r>
        <w:rPr>
          <w:spacing w:val="-6"/>
        </w:rPr>
        <w:t>号</w:t>
      </w:r>
      <w:r>
        <w:rPr>
          <w:spacing w:val="46"/>
        </w:rPr>
        <w:t xml:space="preserve"> </w:t>
      </w:r>
      <w:r>
        <w:rPr>
          <w:spacing w:val="-6"/>
        </w:rPr>
        <w:t>(2019)”)</w:t>
      </w:r>
    </w:p>
    <w:p>
      <w:pPr>
        <w:pStyle w:val="BodyText"/>
        <w:ind w:left="37" w:firstLine="426"/>
        <w:spacing w:before="63" w:line="270" w:lineRule="auto"/>
        <w:jc w:val="both"/>
        <w:rPr/>
      </w:pPr>
      <w:r>
        <w:rPr>
          <w:spacing w:val="-4"/>
        </w:rPr>
        <w:t>公司自</w:t>
      </w:r>
      <w:r>
        <w:rPr>
          <w:spacing w:val="-40"/>
        </w:rPr>
        <w:t xml:space="preserve"> </w:t>
      </w:r>
      <w:r>
        <w:rPr>
          <w:spacing w:val="-4"/>
        </w:rPr>
        <w:t>2019</w:t>
      </w:r>
      <w:r>
        <w:rPr>
          <w:spacing w:val="-44"/>
        </w:rPr>
        <w:t xml:space="preserve"> </w:t>
      </w:r>
      <w:r>
        <w:rPr>
          <w:spacing w:val="-4"/>
        </w:rPr>
        <w:t>年</w:t>
      </w:r>
      <w:r>
        <w:rPr>
          <w:spacing w:val="-30"/>
        </w:rPr>
        <w:t xml:space="preserve"> </w:t>
      </w:r>
      <w:r>
        <w:rPr>
          <w:spacing w:val="-4"/>
        </w:rPr>
        <w:t>1</w:t>
      </w:r>
      <w:r>
        <w:rPr>
          <w:spacing w:val="-39"/>
        </w:rPr>
        <w:t xml:space="preserve"> </w:t>
      </w:r>
      <w:r>
        <w:rPr>
          <w:spacing w:val="-4"/>
        </w:rPr>
        <w:t>月</w:t>
      </w:r>
      <w:r>
        <w:rPr>
          <w:spacing w:val="-30"/>
        </w:rPr>
        <w:t xml:space="preserve"> </w:t>
      </w:r>
      <w:r>
        <w:rPr>
          <w:spacing w:val="-4"/>
        </w:rPr>
        <w:t>1 日起执行上述修订的企业会计准则，对会计政策及相关披露进行调整。</w:t>
      </w:r>
      <w:r>
        <w:rPr/>
        <w:t xml:space="preserve"> </w:t>
      </w:r>
      <w:r>
        <w:rPr>
          <w:spacing w:val="-5"/>
        </w:rPr>
        <w:t>主要有：公司自</w:t>
      </w:r>
      <w:r>
        <w:rPr>
          <w:spacing w:val="-44"/>
        </w:rPr>
        <w:t xml:space="preserve"> </w:t>
      </w:r>
      <w:r>
        <w:rPr>
          <w:spacing w:val="-5"/>
        </w:rPr>
        <w:t>2019</w:t>
      </w:r>
      <w:r>
        <w:rPr>
          <w:spacing w:val="-42"/>
        </w:rPr>
        <w:t xml:space="preserve"> </w:t>
      </w:r>
      <w:r>
        <w:rPr>
          <w:spacing w:val="-5"/>
        </w:rPr>
        <w:t>年</w:t>
      </w:r>
      <w:r>
        <w:rPr>
          <w:spacing w:val="-31"/>
        </w:rPr>
        <w:t xml:space="preserve"> </w:t>
      </w:r>
      <w:r>
        <w:rPr>
          <w:spacing w:val="-5"/>
        </w:rPr>
        <w:t>1</w:t>
      </w:r>
      <w:r>
        <w:rPr>
          <w:spacing w:val="-41"/>
        </w:rPr>
        <w:t xml:space="preserve"> </w:t>
      </w:r>
      <w:r>
        <w:rPr>
          <w:spacing w:val="-5"/>
        </w:rPr>
        <w:t>月</w:t>
      </w:r>
      <w:r>
        <w:rPr>
          <w:spacing w:val="-29"/>
        </w:rPr>
        <w:t xml:space="preserve"> </w:t>
      </w:r>
      <w:r>
        <w:rPr>
          <w:spacing w:val="-5"/>
        </w:rPr>
        <w:t>1 日起执行新租赁会计准则，对会计政策及相关披露进行调整。准则</w:t>
      </w:r>
      <w:r>
        <w:rPr/>
        <w:t xml:space="preserve"> </w:t>
      </w:r>
      <w:r>
        <w:rPr/>
        <w:t>主要变化为：取消承租人经营租赁和融资租赁的分类，要求对所有租赁（短期租赁和低价值资产</w:t>
      </w:r>
      <w:r>
        <w:rPr>
          <w:spacing w:val="8"/>
        </w:rPr>
        <w:t xml:space="preserve"> </w:t>
      </w:r>
      <w:r>
        <w:rPr/>
        <w:t>租赁除外）确认使用权资产和租赁负债。后续计量时使用权资产按照直线法计提折旧，租赁负债</w:t>
      </w:r>
      <w:r>
        <w:rPr>
          <w:spacing w:val="8"/>
        </w:rPr>
        <w:t xml:space="preserve"> </w:t>
      </w:r>
      <w:r>
        <w:rPr>
          <w:spacing w:val="-2"/>
        </w:rPr>
        <w:t>按照实际利率法计提利息，因此导致</w:t>
      </w:r>
      <w:r>
        <w:rPr>
          <w:spacing w:val="-46"/>
        </w:rPr>
        <w:t xml:space="preserve"> </w:t>
      </w:r>
      <w:r>
        <w:rPr>
          <w:spacing w:val="-2"/>
        </w:rPr>
        <w:t>EBITDA</w:t>
      </w:r>
      <w:r>
        <w:rPr>
          <w:spacing w:val="-44"/>
        </w:rPr>
        <w:t xml:space="preserve"> </w:t>
      </w:r>
      <w:r>
        <w:rPr>
          <w:spacing w:val="-2"/>
        </w:rPr>
        <w:t>增</w:t>
      </w:r>
      <w:r>
        <w:rPr>
          <w:spacing w:val="-3"/>
        </w:rPr>
        <w:t>加。偿还租赁负债本金和利息所支付的现金作为筹</w:t>
      </w:r>
      <w:r>
        <w:rPr/>
        <w:t xml:space="preserve"> </w:t>
      </w:r>
      <w:r>
        <w:rPr/>
        <w:t>资活动现金流出，短期租赁付款额和低价值资产租赁付款额以及未纳入租赁负债计量的可变租赁</w:t>
      </w:r>
      <w:r>
        <w:rPr>
          <w:spacing w:val="8"/>
        </w:rPr>
        <w:t xml:space="preserve"> </w:t>
      </w:r>
      <w:r>
        <w:rPr>
          <w:spacing w:val="-1"/>
        </w:rPr>
        <w:t>付款额作为经营活动现金流出。根据财会[2019]6</w:t>
      </w:r>
      <w:r>
        <w:rPr>
          <w:spacing w:val="-28"/>
        </w:rPr>
        <w:t xml:space="preserve"> </w:t>
      </w:r>
      <w:r>
        <w:rPr>
          <w:spacing w:val="-1"/>
        </w:rPr>
        <w:t>号及相关解读来列报</w:t>
      </w:r>
      <w:r>
        <w:rPr>
          <w:spacing w:val="-41"/>
        </w:rPr>
        <w:t xml:space="preserve"> </w:t>
      </w:r>
      <w:r>
        <w:rPr>
          <w:spacing w:val="-1"/>
        </w:rPr>
        <w:t>2019</w:t>
      </w:r>
      <w:r>
        <w:rPr>
          <w:spacing w:val="-45"/>
        </w:rPr>
        <w:t xml:space="preserve"> </w:t>
      </w:r>
      <w:r>
        <w:rPr>
          <w:spacing w:val="-1"/>
        </w:rPr>
        <w:t>年中期财务报告。</w:t>
      </w:r>
    </w:p>
    <w:p>
      <w:pPr>
        <w:pStyle w:val="BodyText"/>
        <w:ind w:left="43"/>
        <w:spacing w:before="189" w:line="222" w:lineRule="auto"/>
        <w:rPr/>
      </w:pPr>
      <w:r>
        <w:rPr>
          <w:spacing w:val="-3"/>
        </w:rPr>
        <w:t>（二）变更影响</w:t>
      </w:r>
    </w:p>
    <w:p>
      <w:pPr>
        <w:pStyle w:val="BodyText"/>
        <w:ind w:left="36" w:right="62" w:firstLine="444"/>
        <w:spacing w:before="217" w:line="267" w:lineRule="auto"/>
        <w:jc w:val="both"/>
        <w:rPr/>
      </w:pPr>
      <w:r>
        <w:rPr/>
        <w:t>以上会计政策变更是公司根据财政部截止财务报告</w:t>
      </w:r>
      <w:r>
        <w:rPr>
          <w:spacing w:val="-1"/>
        </w:rPr>
        <w:t>日已发布的相关规定并结合公司具体情况</w:t>
      </w:r>
      <w:r>
        <w:rPr/>
        <w:t xml:space="preserve"> </w:t>
      </w:r>
      <w:r>
        <w:rPr/>
        <w:t>做出的。根据新租赁准则的衔接规定，公司无需追溯调整比较财务报表数字，而将首次执行新准</w:t>
      </w:r>
      <w:r>
        <w:rPr>
          <w:spacing w:val="9"/>
        </w:rPr>
        <w:t xml:space="preserve"> </w:t>
      </w:r>
      <w:r>
        <w:rPr>
          <w:spacing w:val="-5"/>
        </w:rPr>
        <w:t>则的累积影响数，调减</w:t>
      </w:r>
      <w:r>
        <w:rPr>
          <w:spacing w:val="-36"/>
        </w:rPr>
        <w:t xml:space="preserve"> </w:t>
      </w:r>
      <w:r>
        <w:rPr>
          <w:spacing w:val="-5"/>
        </w:rPr>
        <w:t>2019</w:t>
      </w:r>
      <w:r>
        <w:rPr>
          <w:spacing w:val="-41"/>
        </w:rPr>
        <w:t xml:space="preserve"> </w:t>
      </w:r>
      <w:r>
        <w:rPr>
          <w:spacing w:val="-5"/>
        </w:rPr>
        <w:t>年期初留存收益和少数股东权益人民币</w:t>
      </w:r>
      <w:r>
        <w:rPr>
          <w:spacing w:val="-28"/>
        </w:rPr>
        <w:t xml:space="preserve"> </w:t>
      </w:r>
      <w:r>
        <w:rPr>
          <w:spacing w:val="-5"/>
        </w:rPr>
        <w:t>11</w:t>
      </w:r>
      <w:r>
        <w:rPr>
          <w:spacing w:val="-41"/>
        </w:rPr>
        <w:t xml:space="preserve"> </w:t>
      </w:r>
      <w:r>
        <w:rPr>
          <w:spacing w:val="-5"/>
        </w:rPr>
        <w:t>亿元。同时，</w:t>
      </w:r>
      <w:r>
        <w:rPr>
          <w:spacing w:val="60"/>
        </w:rPr>
        <w:t xml:space="preserve"> </w:t>
      </w:r>
      <w:r>
        <w:rPr>
          <w:spacing w:val="-5"/>
        </w:rPr>
        <w:t>公司根据财</w:t>
      </w:r>
      <w:r>
        <w:rPr/>
        <w:t xml:space="preserve"> </w:t>
      </w:r>
      <w:r>
        <w:rPr>
          <w:spacing w:val="-1"/>
        </w:rPr>
        <w:t>会[2019]6</w:t>
      </w:r>
      <w:r>
        <w:rPr>
          <w:spacing w:val="-41"/>
        </w:rPr>
        <w:t xml:space="preserve"> </w:t>
      </w:r>
      <w:r>
        <w:rPr>
          <w:spacing w:val="-1"/>
        </w:rPr>
        <w:t>号及相关解读编制</w:t>
      </w:r>
      <w:r>
        <w:rPr>
          <w:spacing w:val="-41"/>
        </w:rPr>
        <w:t xml:space="preserve"> </w:t>
      </w:r>
      <w:r>
        <w:rPr>
          <w:spacing w:val="-1"/>
        </w:rPr>
        <w:t>2019</w:t>
      </w:r>
      <w:r>
        <w:rPr>
          <w:spacing w:val="-46"/>
        </w:rPr>
        <w:t xml:space="preserve"> </w:t>
      </w:r>
      <w:r>
        <w:rPr>
          <w:spacing w:val="-1"/>
        </w:rPr>
        <w:t>年中期财务报告。具体影响会计报表附注中有详细</w:t>
      </w:r>
      <w:r>
        <w:rPr>
          <w:spacing w:val="-2"/>
        </w:rPr>
        <w:t>披露。</w:t>
      </w:r>
    </w:p>
    <w:p>
      <w:pPr>
        <w:spacing w:line="350" w:lineRule="auto"/>
        <w:rPr>
          <w:rFonts w:ascii="Arial"/>
          <w:sz w:val="21"/>
        </w:rPr>
      </w:pPr>
      <w:r/>
    </w:p>
    <w:p>
      <w:pPr>
        <w:pStyle w:val="BodyText"/>
        <w:ind w:left="41"/>
        <w:spacing w:before="69" w:line="219" w:lineRule="auto"/>
        <w:outlineLvl w:val="1"/>
        <w:rPr/>
      </w:pPr>
      <w:r>
        <w:rPr>
          <w:b/>
          <w:bCs/>
          <w:spacing w:val="-2"/>
        </w:rPr>
        <w:t>3.3</w:t>
      </w:r>
      <w:r>
        <w:rPr>
          <w:spacing w:val="-2"/>
        </w:rPr>
        <w:t xml:space="preserve"> </w:t>
      </w:r>
      <w:r>
        <w:rPr>
          <w:b/>
          <w:bCs/>
          <w:spacing w:val="-2"/>
        </w:rPr>
        <w:t>报告期内发生重大会计差错更正需追溯重述的情况、更正金额、</w:t>
      </w:r>
      <w:r>
        <w:rPr>
          <w:b/>
          <w:bCs/>
          <w:spacing w:val="-3"/>
        </w:rPr>
        <w:t>原因及其影响。</w:t>
      </w:r>
    </w:p>
    <w:p>
      <w:pPr>
        <w:pStyle w:val="BodyText"/>
        <w:ind w:left="58"/>
        <w:spacing w:before="142" w:line="222" w:lineRule="auto"/>
        <w:rPr/>
      </w:pPr>
      <w:r>
        <w:rPr>
          <w:spacing w:val="-13"/>
        </w:rPr>
        <w:t>□适用</w:t>
      </w:r>
      <w:r>
        <w:rPr>
          <w:spacing w:val="31"/>
        </w:rPr>
        <w:t xml:space="preserve">  </w:t>
      </w:r>
      <w:r>
        <w:rPr>
          <w:spacing w:val="-13"/>
        </w:rPr>
        <w:t>√不适用</w:t>
      </w:r>
    </w:p>
    <w:sectPr>
      <w:headerReference w:type="default" r:id="rId22"/>
      <w:footerReference w:type="default" r:id="rId23"/>
      <w:pgSz w:w="11907" w:h="16839"/>
      <w:pgMar w:top="1391" w:right="1205" w:bottom="1375" w:left="1771" w:header="842" w:footer="121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15"/>
      <w:spacing w:line="166" w:lineRule="auto"/>
      <w:rPr>
        <w:rFonts w:ascii="Calibri" w:hAnsi="Calibri" w:eastAsia="Calibri" w:cs="Calibri"/>
        <w:sz w:val="18"/>
        <w:szCs w:val="18"/>
      </w:rPr>
    </w:pPr>
    <w:r>
      <w:rPr>
        <w:rFonts w:ascii="Calibri" w:hAnsi="Calibri" w:eastAsia="Calibri" w:cs="Calibri"/>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69"/>
      <w:spacing w:line="167" w:lineRule="auto"/>
      <w:rPr>
        <w:rFonts w:ascii="Calibri" w:hAnsi="Calibri" w:eastAsia="Calibri" w:cs="Calibri"/>
        <w:sz w:val="18"/>
        <w:szCs w:val="18"/>
      </w:rPr>
    </w:pPr>
    <w:r>
      <w:rPr>
        <w:rFonts w:ascii="Calibri" w:hAnsi="Calibri" w:eastAsia="Calibri" w:cs="Calibri"/>
        <w:sz w:val="18"/>
        <w:szCs w:val="18"/>
        <w:spacing w:val="-4"/>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69"/>
      <w:spacing w:line="166" w:lineRule="auto"/>
      <w:rPr>
        <w:rFonts w:ascii="Calibri" w:hAnsi="Calibri" w:eastAsia="Calibri" w:cs="Calibri"/>
        <w:sz w:val="18"/>
        <w:szCs w:val="18"/>
      </w:rPr>
    </w:pPr>
    <w:r>
      <w:rPr>
        <w:rFonts w:ascii="Calibri" w:hAnsi="Calibri" w:eastAsia="Calibri" w:cs="Calibri"/>
        <w:sz w:val="18"/>
        <w:szCs w:val="18"/>
        <w:spacing w:val="-4"/>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69"/>
      <w:spacing w:line="167" w:lineRule="auto"/>
      <w:rPr>
        <w:rFonts w:ascii="Calibri" w:hAnsi="Calibri" w:eastAsia="Calibri" w:cs="Calibri"/>
        <w:sz w:val="18"/>
        <w:szCs w:val="18"/>
      </w:rPr>
    </w:pPr>
    <w:r>
      <w:rPr>
        <w:rFonts w:ascii="Calibri" w:hAnsi="Calibri" w:eastAsia="Calibri" w:cs="Calibri"/>
        <w:sz w:val="18"/>
        <w:szCs w:val="18"/>
        <w:spacing w:val="-4"/>
      </w:rPr>
      <w:t>12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17"/>
      <w:spacing w:line="167" w:lineRule="auto"/>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91"/>
      <w:spacing w:line="167" w:lineRule="auto"/>
      <w:rPr>
        <w:rFonts w:ascii="Calibri" w:hAnsi="Calibri" w:eastAsia="Calibri" w:cs="Calibri"/>
        <w:sz w:val="18"/>
        <w:szCs w:val="18"/>
      </w:rPr>
    </w:pPr>
    <w:r>
      <w:rPr>
        <w:rFonts w:ascii="Calibri" w:hAnsi="Calibri" w:eastAsia="Calibri" w:cs="Calibri"/>
        <w:sz w:val="18"/>
        <w:szCs w:val="18"/>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86"/>
      <w:spacing w:line="166" w:lineRule="auto"/>
      <w:rPr>
        <w:rFonts w:ascii="Calibri" w:hAnsi="Calibri" w:eastAsia="Calibri" w:cs="Calibri"/>
        <w:sz w:val="18"/>
        <w:szCs w:val="18"/>
      </w:rPr>
    </w:pPr>
    <w:r>
      <w:rPr>
        <w:rFonts w:ascii="Calibri" w:hAnsi="Calibri" w:eastAsia="Calibri" w:cs="Calibri"/>
        <w:sz w:val="18"/>
        <w:szCs w:val="18"/>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093"/>
      <w:spacing w:line="165" w:lineRule="auto"/>
      <w:rPr>
        <w:rFonts w:ascii="Calibri" w:hAnsi="Calibri" w:eastAsia="Calibri" w:cs="Calibri"/>
        <w:sz w:val="18"/>
        <w:szCs w:val="18"/>
      </w:rPr>
    </w:pPr>
    <w:r>
      <w:rPr>
        <w:rFonts w:ascii="Calibri" w:hAnsi="Calibri" w:eastAsia="Calibri" w:cs="Calibri"/>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09"/>
      <w:spacing w:line="167" w:lineRule="auto"/>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08"/>
      <w:spacing w:line="165" w:lineRule="auto"/>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07"/>
      <w:spacing w:line="167" w:lineRule="auto"/>
      <w:rPr>
        <w:rFonts w:ascii="Calibri" w:hAnsi="Calibri" w:eastAsia="Calibri" w:cs="Calibri"/>
        <w:sz w:val="18"/>
        <w:szCs w:val="18"/>
      </w:rPr>
    </w:pPr>
    <w:r>
      <w:rPr>
        <w:rFonts w:ascii="Calibri" w:hAnsi="Calibri" w:eastAsia="Calibri" w:cs="Calibri"/>
        <w:sz w:val="18"/>
        <w:szCs w:val="18"/>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07"/>
      <w:spacing w:line="167" w:lineRule="auto"/>
      <w:rPr>
        <w:rFonts w:ascii="Calibri" w:hAnsi="Calibri" w:eastAsia="Calibri" w:cs="Calibri"/>
        <w:sz w:val="18"/>
        <w:szCs w:val="18"/>
      </w:rPr>
    </w:pPr>
    <w:r>
      <w:rPr>
        <w:rFonts w:ascii="Calibri" w:hAnsi="Calibri" w:eastAsia="Calibri" w:cs="Calibri"/>
        <w:sz w:val="18"/>
        <w:szCs w:val="18"/>
      </w:rPr>
      <w:t>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07"/>
      <w:spacing w:before="286" w:line="226" w:lineRule="auto"/>
      <w:rPr>
        <w:rFonts w:ascii="DengXian" w:hAnsi="DengXian" w:eastAsia="DengXian" w:cs="DengXian"/>
        <w:sz w:val="18"/>
        <w:szCs w:val="18"/>
      </w:rPr>
    </w:pPr>
    <w:r>
      <w:pict>
        <v:shape id="_x0000_s2" style="position:absolute;margin-left:88.584pt;margin-top:68.28pt;mso-position-vertical-relative:page;mso-position-horizontal-relative:page;width:443.5pt;height:0.75pt;z-index:251660288;" o:allowincell="f" fillcolor="#000000" filled="true" stroked="false" coordsize="8870,15" coordorigin="0,0" path="m0,14l8869,14l8869,0l0,0l0,14xe"/>
      </w:pict>
    </w:r>
    <w:r>
      <w:pict>
        <v:shape id="_x0000_s4" style="position:absolute;margin-left:349.02pt;margin-top:12.8798pt;mso-position-vertical-relative:text;mso-position-horizontal-relative:text;width:94.05pt;height:12.65pt;z-index:251658240;" filled="false" stroked="false" type="#_x0000_t202">
          <v:fill on="false"/>
          <v:stroke on="false"/>
          <v:path/>
          <v:imagedata o:title=""/>
          <o:lock v:ext="edit" aspectratio="false"/>
          <v:textbox inset="0mm,0mm,0mm,0mm">
            <w:txbxContent>
              <w:p>
                <w:pPr>
                  <w:ind w:left="20"/>
                  <w:spacing w:before="20" w:line="218" w:lineRule="auto"/>
                  <w:rPr>
                    <w:rFonts w:ascii="SimSun" w:hAnsi="SimSun" w:eastAsia="SimSun" w:cs="SimSun"/>
                    <w:sz w:val="18"/>
                    <w:szCs w:val="18"/>
                  </w:rPr>
                </w:pPr>
                <w:r>
                  <w:rPr>
                    <w:rFonts w:ascii="Calibri" w:hAnsi="Calibri" w:eastAsia="Calibri" w:cs="Calibri"/>
                    <w:sz w:val="18"/>
                    <w:szCs w:val="18"/>
                    <w:spacing w:val="-2"/>
                  </w:rPr>
                  <w:t>2019</w:t>
                </w:r>
                <w:r>
                  <w:rPr>
                    <w:rFonts w:ascii="Calibri" w:hAnsi="Calibri" w:eastAsia="Calibri" w:cs="Calibri"/>
                    <w:sz w:val="18"/>
                    <w:szCs w:val="18"/>
                    <w:spacing w:val="17"/>
                    <w:w w:val="101"/>
                  </w:rPr>
                  <w:t xml:space="preserve"> </w:t>
                </w:r>
                <w:r>
                  <w:rPr>
                    <w:rFonts w:ascii="SimSun" w:hAnsi="SimSun" w:eastAsia="SimSun" w:cs="SimSun"/>
                    <w:sz w:val="18"/>
                    <w:szCs w:val="18"/>
                    <w:spacing w:val="-2"/>
                  </w:rPr>
                  <w:t>年半年度报告摘要</w:t>
                </w:r>
              </w:p>
            </w:txbxContent>
          </v:textbox>
        </v:shape>
      </w:pict>
    </w:r>
    <w:r>
      <w:drawing>
        <wp:anchor distT="0" distB="0" distL="0" distR="0" simplePos="0" relativeHeight="251659264" behindDoc="0" locked="0" layoutInCell="0" allowOverlap="1">
          <wp:simplePos x="0" y="0"/>
          <wp:positionH relativeFrom="page">
            <wp:posOffset>1143000</wp:posOffset>
          </wp:positionH>
          <wp:positionV relativeFrom="page">
            <wp:posOffset>542290</wp:posOffset>
          </wp:positionV>
          <wp:extent cx="351789" cy="26670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51789" cy="266700"/>
                  </a:xfrm>
                  <a:prstGeom prst="rect">
                    <a:avLst/>
                  </a:prstGeom>
                </pic:spPr>
              </pic:pic>
            </a:graphicData>
          </a:graphic>
        </wp:anchor>
      </w:drawing>
    </w:r>
    <w:r>
      <w:rPr>
        <w:rFonts w:ascii="DengXian" w:hAnsi="DengXian" w:eastAsia="DengXian" w:cs="DengXian"/>
        <w:sz w:val="18"/>
        <w:szCs w:val="18"/>
        <w:spacing w:val="-2"/>
      </w:rPr>
      <w:t>中国联合网络通信股份有限公司</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07"/>
      <w:spacing w:before="286" w:line="226" w:lineRule="auto"/>
      <w:rPr>
        <w:rFonts w:ascii="DengXian" w:hAnsi="DengXian" w:eastAsia="DengXian" w:cs="DengXian"/>
        <w:sz w:val="18"/>
        <w:szCs w:val="18"/>
      </w:rPr>
    </w:pPr>
    <w:r>
      <w:pict>
        <v:shape id="_x0000_s38" style="position:absolute;margin-left:88.584pt;margin-top:68.28pt;mso-position-vertical-relative:page;mso-position-horizontal-relative:page;width:443.5pt;height:0.75pt;z-index:251694080;" o:allowincell="f" fillcolor="#000000" filled="true" stroked="false" coordsize="8870,15" coordorigin="0,0" path="m0,14l8869,14l8869,0l0,0l0,14xe"/>
      </w:pict>
    </w:r>
    <w:r>
      <w:pict>
        <v:shape id="_x0000_s40" style="position:absolute;margin-left:349.02pt;margin-top:12.8798pt;mso-position-vertical-relative:text;mso-position-horizontal-relative:text;width:94.05pt;height:12.65pt;z-index:25169203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7"/>
                    <w:w w:val="101"/>
                  </w:rPr>
                  <w:t xml:space="preserve"> </w:t>
                </w:r>
                <w:r>
                  <w:rPr>
                    <w:sz w:val="18"/>
                    <w:szCs w:val="18"/>
                    <w:spacing w:val="-2"/>
                  </w:rPr>
                  <w:t>年半年度报告摘要</w:t>
                </w:r>
              </w:p>
            </w:txbxContent>
          </v:textbox>
        </v:shape>
      </w:pict>
    </w:r>
    <w:r>
      <w:drawing>
        <wp:anchor distT="0" distB="0" distL="0" distR="0" simplePos="0" relativeHeight="251693056" behindDoc="0" locked="0" layoutInCell="0" allowOverlap="1">
          <wp:simplePos x="0" y="0"/>
          <wp:positionH relativeFrom="page">
            <wp:posOffset>1143000</wp:posOffset>
          </wp:positionH>
          <wp:positionV relativeFrom="page">
            <wp:posOffset>542290</wp:posOffset>
          </wp:positionV>
          <wp:extent cx="351789" cy="266700"/>
          <wp:effectExtent l="0" t="0" r="0" b="0"/>
          <wp:wrapNone/>
          <wp:docPr id="22" name="IM 22"/>
          <wp:cNvGraphicFramePr/>
          <a:graphic>
            <a:graphicData uri="http://schemas.openxmlformats.org/drawingml/2006/picture">
              <pic:pic>
                <pic:nvPicPr>
                  <pic:cNvPr id="22" name="IM 22"/>
                  <pic:cNvPicPr/>
                </pic:nvPicPr>
                <pic:blipFill>
                  <a:blip r:embed="rId1"/>
                  <a:stretch>
                    <a:fillRect/>
                  </a:stretch>
                </pic:blipFill>
                <pic:spPr>
                  <a:xfrm rot="0">
                    <a:off x="0" y="0"/>
                    <a:ext cx="351789" cy="266700"/>
                  </a:xfrm>
                  <a:prstGeom prst="rect">
                    <a:avLst/>
                  </a:prstGeom>
                </pic:spPr>
              </pic:pic>
            </a:graphicData>
          </a:graphic>
        </wp:anchor>
      </w:drawing>
    </w:r>
    <w:r>
      <w:rPr>
        <w:rFonts w:ascii="DengXian" w:hAnsi="DengXian" w:eastAsia="DengXian" w:cs="DengXian"/>
        <w:sz w:val="18"/>
        <w:szCs w:val="18"/>
        <w:spacing w:val="-2"/>
      </w:rPr>
      <w:t>中国联合网络通信股份有限公司</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15"/>
      <w:spacing w:before="286" w:line="226" w:lineRule="auto"/>
      <w:rPr>
        <w:rFonts w:ascii="DengXian" w:hAnsi="DengXian" w:eastAsia="DengXian" w:cs="DengXian"/>
        <w:sz w:val="18"/>
        <w:szCs w:val="18"/>
      </w:rPr>
    </w:pPr>
    <w:r>
      <w:pict>
        <v:shape id="_x0000_s6" style="position:absolute;margin-left:88.584pt;margin-top:68.28pt;mso-position-vertical-relative:page;mso-position-horizontal-relative:page;width:443.5pt;height:0.75pt;z-index:251663360;" o:allowincell="f" fillcolor="#000000" filled="true" stroked="false" coordsize="8870,15" coordorigin="0,0" path="m0,14l8869,14l8869,0l0,0l0,14xe"/>
      </w:pict>
    </w:r>
    <w:r>
      <w:pict>
        <v:shape id="_x0000_s8" style="position:absolute;margin-left:349.38pt;margin-top:12.8798pt;mso-position-vertical-relative:text;mso-position-horizontal-relative:text;width:94.05pt;height:12.65pt;z-index:25166131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7"/>
                    <w:w w:val="101"/>
                  </w:rPr>
                  <w:t xml:space="preserve"> </w:t>
                </w:r>
                <w:r>
                  <w:rPr>
                    <w:sz w:val="18"/>
                    <w:szCs w:val="18"/>
                    <w:spacing w:val="-2"/>
                  </w:rPr>
                  <w:t>年半年度报告摘要</w:t>
                </w:r>
              </w:p>
            </w:txbxContent>
          </v:textbox>
        </v:shape>
      </w:pict>
    </w:r>
    <w:r>
      <w:drawing>
        <wp:anchor distT="0" distB="0" distL="0" distR="0" simplePos="0" relativeHeight="251662336" behindDoc="0" locked="0" layoutInCell="0" allowOverlap="1">
          <wp:simplePos x="0" y="0"/>
          <wp:positionH relativeFrom="page">
            <wp:posOffset>1143000</wp:posOffset>
          </wp:positionH>
          <wp:positionV relativeFrom="page">
            <wp:posOffset>542290</wp:posOffset>
          </wp:positionV>
          <wp:extent cx="351789" cy="266700"/>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351789" cy="266700"/>
                  </a:xfrm>
                  <a:prstGeom prst="rect">
                    <a:avLst/>
                  </a:prstGeom>
                </pic:spPr>
              </pic:pic>
            </a:graphicData>
          </a:graphic>
        </wp:anchor>
      </w:drawing>
    </w:r>
    <w:r>
      <w:rPr>
        <w:rFonts w:ascii="DengXian" w:hAnsi="DengXian" w:eastAsia="DengXian" w:cs="DengXian"/>
        <w:sz w:val="18"/>
        <w:szCs w:val="18"/>
        <w:spacing w:val="-2"/>
      </w:rPr>
      <w:t>中国联合网络通信股份有限公司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290"/>
      <w:spacing w:before="286" w:line="226" w:lineRule="auto"/>
      <w:rPr>
        <w:rFonts w:ascii="DengXian" w:hAnsi="DengXian" w:eastAsia="DengXian" w:cs="DengXian"/>
        <w:sz w:val="18"/>
        <w:szCs w:val="18"/>
      </w:rPr>
    </w:pPr>
    <w:r>
      <w:pict>
        <v:shape id="_x0000_s10" style="position:absolute;margin-left:88.584pt;margin-top:68.28pt;mso-position-vertical-relative:page;mso-position-horizontal-relative:page;width:443.5pt;height:0.75pt;z-index:251666432;" o:allowincell="f" fillcolor="#000000" filled="true" stroked="false" coordsize="8870,15" coordorigin="0,0" path="m0,14l8869,14l8869,0l0,0l0,14xe"/>
      </w:pict>
    </w:r>
    <w:r>
      <w:pict>
        <v:shape id="_x0000_s12" style="position:absolute;margin-left:383.124pt;margin-top:12.8798pt;mso-position-vertical-relative:text;mso-position-horizontal-relative:text;width:94.05pt;height:12.65pt;z-index:25166438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7"/>
                    <w:w w:val="101"/>
                  </w:rPr>
                  <w:t xml:space="preserve"> </w:t>
                </w:r>
                <w:r>
                  <w:rPr>
                    <w:sz w:val="18"/>
                    <w:szCs w:val="18"/>
                    <w:spacing w:val="-2"/>
                  </w:rPr>
                  <w:t>年半年度报告摘要</w:t>
                </w:r>
              </w:p>
            </w:txbxContent>
          </v:textbox>
        </v:shape>
      </w:pict>
    </w:r>
    <w:r>
      <w:drawing>
        <wp:anchor distT="0" distB="0" distL="0" distR="0" simplePos="0" relativeHeight="251665408" behindDoc="0" locked="0" layoutInCell="0" allowOverlap="1">
          <wp:simplePos x="0" y="0"/>
          <wp:positionH relativeFrom="page">
            <wp:posOffset>1143000</wp:posOffset>
          </wp:positionH>
          <wp:positionV relativeFrom="page">
            <wp:posOffset>542290</wp:posOffset>
          </wp:positionV>
          <wp:extent cx="351789" cy="266700"/>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51789" cy="266700"/>
                  </a:xfrm>
                  <a:prstGeom prst="rect">
                    <a:avLst/>
                  </a:prstGeom>
                </pic:spPr>
              </pic:pic>
            </a:graphicData>
          </a:graphic>
        </wp:anchor>
      </w:drawing>
    </w:r>
    <w:r>
      <w:rPr>
        <w:rFonts w:ascii="DengXian" w:hAnsi="DengXian" w:eastAsia="DengXian" w:cs="DengXian"/>
        <w:sz w:val="18"/>
        <w:szCs w:val="18"/>
        <w:spacing w:val="-2"/>
      </w:rPr>
      <w:t>中国联合网络通信股份有限公司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292"/>
      <w:spacing w:before="286" w:line="226" w:lineRule="auto"/>
      <w:rPr>
        <w:rFonts w:ascii="DengXian" w:hAnsi="DengXian" w:eastAsia="DengXian" w:cs="DengXian"/>
        <w:sz w:val="18"/>
        <w:szCs w:val="18"/>
      </w:rPr>
    </w:pPr>
    <w:r>
      <w:pict>
        <v:shape id="_x0000_s14" style="position:absolute;margin-left:88.584pt;margin-top:68.28pt;mso-position-vertical-relative:page;mso-position-horizontal-relative:page;width:443.5pt;height:0.75pt;z-index:251672576;" o:allowincell="f" fillcolor="#000000" filled="true" stroked="false" coordsize="8870,15" coordorigin="0,0" path="m0,14l8869,14l8869,0l0,0l0,14xe"/>
      </w:pict>
    </w:r>
    <w:r>
      <w:pict>
        <v:shape id="_x0000_s16" style="position:absolute;margin-left:383.244pt;margin-top:12.8798pt;mso-position-vertical-relative:text;mso-position-horizontal-relative:text;width:94.05pt;height:12.65pt;z-index:25167052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7"/>
                    <w:w w:val="101"/>
                  </w:rPr>
                  <w:t xml:space="preserve"> </w:t>
                </w:r>
                <w:r>
                  <w:rPr>
                    <w:sz w:val="18"/>
                    <w:szCs w:val="18"/>
                    <w:spacing w:val="-2"/>
                  </w:rPr>
                  <w:t>年半年度报告摘要</w:t>
                </w:r>
              </w:p>
            </w:txbxContent>
          </v:textbox>
        </v:shape>
      </w:pict>
    </w:r>
    <w:r>
      <w:drawing>
        <wp:anchor distT="0" distB="0" distL="0" distR="0" simplePos="0" relativeHeight="251671552" behindDoc="0" locked="0" layoutInCell="0" allowOverlap="1">
          <wp:simplePos x="0" y="0"/>
          <wp:positionH relativeFrom="page">
            <wp:posOffset>1143000</wp:posOffset>
          </wp:positionH>
          <wp:positionV relativeFrom="page">
            <wp:posOffset>542290</wp:posOffset>
          </wp:positionV>
          <wp:extent cx="351789" cy="266700"/>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351789" cy="266700"/>
                  </a:xfrm>
                  <a:prstGeom prst="rect">
                    <a:avLst/>
                  </a:prstGeom>
                </pic:spPr>
              </pic:pic>
            </a:graphicData>
          </a:graphic>
        </wp:anchor>
      </w:drawing>
    </w:r>
    <w:r>
      <w:rPr>
        <w:rFonts w:ascii="DengXian" w:hAnsi="DengXian" w:eastAsia="DengXian" w:cs="DengXian"/>
        <w:sz w:val="18"/>
        <w:szCs w:val="18"/>
        <w:spacing w:val="-2"/>
      </w:rPr>
      <w:t>中国联合网络通信股份有限公司</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07"/>
      <w:spacing w:before="286" w:line="226" w:lineRule="auto"/>
      <w:rPr>
        <w:rFonts w:ascii="DengXian" w:hAnsi="DengXian" w:eastAsia="DengXian" w:cs="DengXian"/>
        <w:sz w:val="18"/>
        <w:szCs w:val="18"/>
      </w:rPr>
    </w:pPr>
    <w:r>
      <w:pict>
        <v:shape id="_x0000_s18" style="position:absolute;margin-left:88.584pt;margin-top:68.28pt;mso-position-vertical-relative:page;mso-position-horizontal-relative:page;width:443.5pt;height:0.75pt;z-index:251675648;" o:allowincell="f" fillcolor="#000000" filled="true" stroked="false" coordsize="8870,15" coordorigin="0,0" path="m0,14l8869,14l8869,0l0,0l0,14xe"/>
      </w:pict>
    </w:r>
    <w:r>
      <w:pict>
        <v:shape id="_x0000_s20" style="position:absolute;margin-left:349.02pt;margin-top:12.8798pt;mso-position-vertical-relative:text;mso-position-horizontal-relative:text;width:94.05pt;height:12.65pt;z-index:251673600;"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7"/>
                    <w:w w:val="101"/>
                  </w:rPr>
                  <w:t xml:space="preserve"> </w:t>
                </w:r>
                <w:r>
                  <w:rPr>
                    <w:sz w:val="18"/>
                    <w:szCs w:val="18"/>
                    <w:spacing w:val="-2"/>
                  </w:rPr>
                  <w:t>年半年度报告摘要</w:t>
                </w:r>
              </w:p>
            </w:txbxContent>
          </v:textbox>
        </v:shape>
      </w:pict>
    </w:r>
    <w:r>
      <w:drawing>
        <wp:anchor distT="0" distB="0" distL="0" distR="0" simplePos="0" relativeHeight="251674624" behindDoc="0" locked="0" layoutInCell="0" allowOverlap="1">
          <wp:simplePos x="0" y="0"/>
          <wp:positionH relativeFrom="page">
            <wp:posOffset>1143000</wp:posOffset>
          </wp:positionH>
          <wp:positionV relativeFrom="page">
            <wp:posOffset>542290</wp:posOffset>
          </wp:positionV>
          <wp:extent cx="351789" cy="266700"/>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351789" cy="266700"/>
                  </a:xfrm>
                  <a:prstGeom prst="rect">
                    <a:avLst/>
                  </a:prstGeom>
                </pic:spPr>
              </pic:pic>
            </a:graphicData>
          </a:graphic>
        </wp:anchor>
      </w:drawing>
    </w:r>
    <w:r>
      <w:rPr>
        <w:rFonts w:ascii="DengXian" w:hAnsi="DengXian" w:eastAsia="DengXian" w:cs="DengXian"/>
        <w:sz w:val="18"/>
        <w:szCs w:val="18"/>
        <w:spacing w:val="-2"/>
      </w:rPr>
      <w:t>中国联合网络通信股份有限公司</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07"/>
      <w:spacing w:before="286" w:line="226" w:lineRule="auto"/>
      <w:rPr>
        <w:rFonts w:ascii="DengXian" w:hAnsi="DengXian" w:eastAsia="DengXian" w:cs="DengXian"/>
        <w:sz w:val="18"/>
        <w:szCs w:val="18"/>
      </w:rPr>
    </w:pPr>
    <w:r>
      <w:pict>
        <v:shape id="_x0000_s22" style="position:absolute;margin-left:88.584pt;margin-top:68.28pt;mso-position-vertical-relative:page;mso-position-horizontal-relative:page;width:443.5pt;height:0.75pt;z-index:251678720;" o:allowincell="f" fillcolor="#000000" filled="true" stroked="false" coordsize="8870,15" coordorigin="0,0" path="m0,14l8869,14l8869,0l0,0l0,14xe"/>
      </w:pict>
    </w:r>
    <w:r>
      <w:pict>
        <v:shape id="_x0000_s24" style="position:absolute;margin-left:349.02pt;margin-top:12.8798pt;mso-position-vertical-relative:text;mso-position-horizontal-relative:text;width:94.05pt;height:12.65pt;z-index:25167667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7"/>
                    <w:w w:val="101"/>
                  </w:rPr>
                  <w:t xml:space="preserve"> </w:t>
                </w:r>
                <w:r>
                  <w:rPr>
                    <w:sz w:val="18"/>
                    <w:szCs w:val="18"/>
                    <w:spacing w:val="-2"/>
                  </w:rPr>
                  <w:t>年半年度报告摘要</w:t>
                </w:r>
              </w:p>
            </w:txbxContent>
          </v:textbox>
        </v:shape>
      </w:pict>
    </w:r>
    <w:r>
      <w:drawing>
        <wp:anchor distT="0" distB="0" distL="0" distR="0" simplePos="0" relativeHeight="251677696" behindDoc="0" locked="0" layoutInCell="0" allowOverlap="1">
          <wp:simplePos x="0" y="0"/>
          <wp:positionH relativeFrom="page">
            <wp:posOffset>1143000</wp:posOffset>
          </wp:positionH>
          <wp:positionV relativeFrom="page">
            <wp:posOffset>542290</wp:posOffset>
          </wp:positionV>
          <wp:extent cx="351789" cy="266700"/>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351789" cy="266700"/>
                  </a:xfrm>
                  <a:prstGeom prst="rect">
                    <a:avLst/>
                  </a:prstGeom>
                </pic:spPr>
              </pic:pic>
            </a:graphicData>
          </a:graphic>
        </wp:anchor>
      </w:drawing>
    </w:r>
    <w:r>
      <w:rPr>
        <w:rFonts w:ascii="DengXian" w:hAnsi="DengXian" w:eastAsia="DengXian" w:cs="DengXian"/>
        <w:sz w:val="18"/>
        <w:szCs w:val="18"/>
        <w:spacing w:val="-2"/>
      </w:rPr>
      <w:t>中国联合网络通信股份有限公司</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07"/>
      <w:spacing w:before="286" w:line="226" w:lineRule="auto"/>
      <w:rPr>
        <w:rFonts w:ascii="DengXian" w:hAnsi="DengXian" w:eastAsia="DengXian" w:cs="DengXian"/>
        <w:sz w:val="18"/>
        <w:szCs w:val="18"/>
      </w:rPr>
    </w:pPr>
    <w:r>
      <w:pict>
        <v:shape id="_x0000_s26" style="position:absolute;margin-left:88.584pt;margin-top:68.28pt;mso-position-vertical-relative:page;mso-position-horizontal-relative:page;width:443.5pt;height:0.75pt;z-index:251681792;" o:allowincell="f" fillcolor="#000000" filled="true" stroked="false" coordsize="8870,15" coordorigin="0,0" path="m0,14l8869,14l8869,0l0,0l0,14xe"/>
      </w:pict>
    </w:r>
    <w:r>
      <w:pict>
        <v:shape id="_x0000_s28" style="position:absolute;margin-left:349.02pt;margin-top:12.8798pt;mso-position-vertical-relative:text;mso-position-horizontal-relative:text;width:94.05pt;height:12.65pt;z-index:25167974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7"/>
                    <w:w w:val="101"/>
                  </w:rPr>
                  <w:t xml:space="preserve"> </w:t>
                </w:r>
                <w:r>
                  <w:rPr>
                    <w:sz w:val="18"/>
                    <w:szCs w:val="18"/>
                    <w:spacing w:val="-2"/>
                  </w:rPr>
                  <w:t>年半年度报告摘要</w:t>
                </w:r>
              </w:p>
            </w:txbxContent>
          </v:textbox>
        </v:shape>
      </w:pict>
    </w:r>
    <w:r>
      <w:drawing>
        <wp:anchor distT="0" distB="0" distL="0" distR="0" simplePos="0" relativeHeight="251680768" behindDoc="0" locked="0" layoutInCell="0" allowOverlap="1">
          <wp:simplePos x="0" y="0"/>
          <wp:positionH relativeFrom="page">
            <wp:posOffset>1143000</wp:posOffset>
          </wp:positionH>
          <wp:positionV relativeFrom="page">
            <wp:posOffset>542290</wp:posOffset>
          </wp:positionV>
          <wp:extent cx="351789" cy="266700"/>
          <wp:effectExtent l="0" t="0" r="0" b="0"/>
          <wp:wrapNone/>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351789" cy="266700"/>
                  </a:xfrm>
                  <a:prstGeom prst="rect">
                    <a:avLst/>
                  </a:prstGeom>
                </pic:spPr>
              </pic:pic>
            </a:graphicData>
          </a:graphic>
        </wp:anchor>
      </w:drawing>
    </w:r>
    <w:r>
      <w:rPr>
        <w:rFonts w:ascii="DengXian" w:hAnsi="DengXian" w:eastAsia="DengXian" w:cs="DengXian"/>
        <w:sz w:val="18"/>
        <w:szCs w:val="18"/>
        <w:spacing w:val="-2"/>
      </w:rPr>
      <w:t>中国联合网络通信股份有限公司</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07"/>
      <w:spacing w:before="286" w:line="226" w:lineRule="auto"/>
      <w:rPr>
        <w:rFonts w:ascii="DengXian" w:hAnsi="DengXian" w:eastAsia="DengXian" w:cs="DengXian"/>
        <w:sz w:val="18"/>
        <w:szCs w:val="18"/>
      </w:rPr>
    </w:pPr>
    <w:r>
      <w:pict>
        <v:shape id="_x0000_s30" style="position:absolute;margin-left:88.584pt;margin-top:68.28pt;mso-position-vertical-relative:page;mso-position-horizontal-relative:page;width:443.5pt;height:0.75pt;z-index:251684864;" o:allowincell="f" fillcolor="#000000" filled="true" stroked="false" coordsize="8870,15" coordorigin="0,0" path="m0,14l8869,14l8869,0l0,0l0,14xe"/>
      </w:pict>
    </w:r>
    <w:r>
      <w:pict>
        <v:shape id="_x0000_s32" style="position:absolute;margin-left:349.02pt;margin-top:12.8798pt;mso-position-vertical-relative:text;mso-position-horizontal-relative:text;width:94.05pt;height:12.65pt;z-index:251682816;"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7"/>
                    <w:w w:val="101"/>
                  </w:rPr>
                  <w:t xml:space="preserve"> </w:t>
                </w:r>
                <w:r>
                  <w:rPr>
                    <w:sz w:val="18"/>
                    <w:szCs w:val="18"/>
                    <w:spacing w:val="-2"/>
                  </w:rPr>
                  <w:t>年半年度报告摘要</w:t>
                </w:r>
              </w:p>
            </w:txbxContent>
          </v:textbox>
        </v:shape>
      </w:pict>
    </w:r>
    <w:r>
      <w:drawing>
        <wp:anchor distT="0" distB="0" distL="0" distR="0" simplePos="0" relativeHeight="251683840" behindDoc="0" locked="0" layoutInCell="0" allowOverlap="1">
          <wp:simplePos x="0" y="0"/>
          <wp:positionH relativeFrom="page">
            <wp:posOffset>1143000</wp:posOffset>
          </wp:positionH>
          <wp:positionV relativeFrom="page">
            <wp:posOffset>542290</wp:posOffset>
          </wp:positionV>
          <wp:extent cx="351789" cy="266700"/>
          <wp:effectExtent l="0" t="0" r="0" b="0"/>
          <wp:wrapNone/>
          <wp:docPr id="18" name="IM 18"/>
          <wp:cNvGraphicFramePr/>
          <a:graphic>
            <a:graphicData uri="http://schemas.openxmlformats.org/drawingml/2006/picture">
              <pic:pic>
                <pic:nvPicPr>
                  <pic:cNvPr id="18" name="IM 18"/>
                  <pic:cNvPicPr/>
                </pic:nvPicPr>
                <pic:blipFill>
                  <a:blip r:embed="rId1"/>
                  <a:stretch>
                    <a:fillRect/>
                  </a:stretch>
                </pic:blipFill>
                <pic:spPr>
                  <a:xfrm rot="0">
                    <a:off x="0" y="0"/>
                    <a:ext cx="351789" cy="266700"/>
                  </a:xfrm>
                  <a:prstGeom prst="rect">
                    <a:avLst/>
                  </a:prstGeom>
                </pic:spPr>
              </pic:pic>
            </a:graphicData>
          </a:graphic>
        </wp:anchor>
      </w:drawing>
    </w:r>
    <w:r>
      <w:rPr>
        <w:rFonts w:ascii="DengXian" w:hAnsi="DengXian" w:eastAsia="DengXian" w:cs="DengXian"/>
        <w:sz w:val="18"/>
        <w:szCs w:val="18"/>
        <w:spacing w:val="-2"/>
      </w:rPr>
      <w:t>中国联合网络通信股份有限公司</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607"/>
      <w:spacing w:before="286" w:line="226" w:lineRule="auto"/>
      <w:rPr>
        <w:rFonts w:ascii="DengXian" w:hAnsi="DengXian" w:eastAsia="DengXian" w:cs="DengXian"/>
        <w:sz w:val="18"/>
        <w:szCs w:val="18"/>
      </w:rPr>
    </w:pPr>
    <w:r>
      <w:pict>
        <v:shape id="_x0000_s34" style="position:absolute;margin-left:88.584pt;margin-top:68.28pt;mso-position-vertical-relative:page;mso-position-horizontal-relative:page;width:443.5pt;height:0.75pt;z-index:251687936;" o:allowincell="f" fillcolor="#000000" filled="true" stroked="false" coordsize="8870,15" coordorigin="0,0" path="m0,14l8869,14l8869,0l0,0l0,14xe"/>
      </w:pict>
    </w:r>
    <w:r>
      <w:pict>
        <v:shape id="_x0000_s36" style="position:absolute;margin-left:349.02pt;margin-top:12.8798pt;mso-position-vertical-relative:text;mso-position-horizontal-relative:text;width:94.05pt;height:12.65pt;z-index:25168588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Calibri" w:hAnsi="Calibri" w:eastAsia="Calibri" w:cs="Calibri"/>
                    <w:sz w:val="18"/>
                    <w:szCs w:val="18"/>
                    <w:spacing w:val="-2"/>
                  </w:rPr>
                  <w:t>2019</w:t>
                </w:r>
                <w:r>
                  <w:rPr>
                    <w:rFonts w:ascii="Calibri" w:hAnsi="Calibri" w:eastAsia="Calibri" w:cs="Calibri"/>
                    <w:sz w:val="18"/>
                    <w:szCs w:val="18"/>
                    <w:spacing w:val="17"/>
                    <w:w w:val="101"/>
                  </w:rPr>
                  <w:t xml:space="preserve"> </w:t>
                </w:r>
                <w:r>
                  <w:rPr>
                    <w:sz w:val="18"/>
                    <w:szCs w:val="18"/>
                    <w:spacing w:val="-2"/>
                  </w:rPr>
                  <w:t>年半年度报告摘要</w:t>
                </w:r>
              </w:p>
            </w:txbxContent>
          </v:textbox>
        </v:shape>
      </w:pict>
    </w:r>
    <w:r>
      <w:drawing>
        <wp:anchor distT="0" distB="0" distL="0" distR="0" simplePos="0" relativeHeight="251686912" behindDoc="0" locked="0" layoutInCell="0" allowOverlap="1">
          <wp:simplePos x="0" y="0"/>
          <wp:positionH relativeFrom="page">
            <wp:posOffset>1143000</wp:posOffset>
          </wp:positionH>
          <wp:positionV relativeFrom="page">
            <wp:posOffset>542290</wp:posOffset>
          </wp:positionV>
          <wp:extent cx="351789" cy="266700"/>
          <wp:effectExtent l="0" t="0" r="0" b="0"/>
          <wp:wrapNone/>
          <wp:docPr id="20" name="IM 20"/>
          <wp:cNvGraphicFramePr/>
          <a:graphic>
            <a:graphicData uri="http://schemas.openxmlformats.org/drawingml/2006/picture">
              <pic:pic>
                <pic:nvPicPr>
                  <pic:cNvPr id="20" name="IM 20"/>
                  <pic:cNvPicPr/>
                </pic:nvPicPr>
                <pic:blipFill>
                  <a:blip r:embed="rId1"/>
                  <a:stretch>
                    <a:fillRect/>
                  </a:stretch>
                </pic:blipFill>
                <pic:spPr>
                  <a:xfrm rot="0">
                    <a:off x="0" y="0"/>
                    <a:ext cx="351789" cy="266700"/>
                  </a:xfrm>
                  <a:prstGeom prst="rect">
                    <a:avLst/>
                  </a:prstGeom>
                </pic:spPr>
              </pic:pic>
            </a:graphicData>
          </a:graphic>
        </wp:anchor>
      </w:drawing>
    </w:r>
    <w:r>
      <w:rPr>
        <w:rFonts w:ascii="DengXian" w:hAnsi="DengXian" w:eastAsia="DengXian" w:cs="DengXian"/>
        <w:sz w:val="18"/>
        <w:szCs w:val="18"/>
        <w:spacing w:val="-2"/>
      </w:rPr>
      <w:t>中国联合网络通信股份有限公司</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3.xml"/><Relationship Id="rId5" Type="http://schemas.openxmlformats.org/officeDocument/2006/relationships/footer" Target="footer2.xml"/><Relationship Id="rId4" Type="http://schemas.openxmlformats.org/officeDocument/2006/relationships/header" Target="header2.xml"/><Relationship Id="rId3" Type="http://schemas.openxmlformats.org/officeDocument/2006/relationships/image" Target="media/image2.jpeg"/><Relationship Id="rId26" Type="http://schemas.openxmlformats.org/officeDocument/2006/relationships/fontTable" Target="fontTable.xml"/><Relationship Id="rId25" Type="http://schemas.openxmlformats.org/officeDocument/2006/relationships/styles" Target="styles.xml"/><Relationship Id="rId24" Type="http://schemas.openxmlformats.org/officeDocument/2006/relationships/settings" Target="settings.xml"/><Relationship Id="rId23" Type="http://schemas.openxmlformats.org/officeDocument/2006/relationships/footer" Target="footer12.xml"/><Relationship Id="rId22" Type="http://schemas.openxmlformats.org/officeDocument/2006/relationships/header" Target="header10.xml"/><Relationship Id="rId21" Type="http://schemas.openxmlformats.org/officeDocument/2006/relationships/footer" Target="footer11.xml"/><Relationship Id="rId20" Type="http://schemas.openxmlformats.org/officeDocument/2006/relationships/footer" Target="footer10.xml"/><Relationship Id="rId2" Type="http://schemas.openxmlformats.org/officeDocument/2006/relationships/footer" Target="footer1.xml"/><Relationship Id="rId19" Type="http://schemas.openxmlformats.org/officeDocument/2006/relationships/header" Target="header9.xml"/><Relationship Id="rId18" Type="http://schemas.openxmlformats.org/officeDocument/2006/relationships/footer" Target="footer9.xml"/><Relationship Id="rId17" Type="http://schemas.openxmlformats.org/officeDocument/2006/relationships/header" Target="header8.xml"/><Relationship Id="rId16" Type="http://schemas.openxmlformats.org/officeDocument/2006/relationships/footer" Target="footer8.xml"/><Relationship Id="rId15" Type="http://schemas.openxmlformats.org/officeDocument/2006/relationships/header" Target="header7.xml"/><Relationship Id="rId14" Type="http://schemas.openxmlformats.org/officeDocument/2006/relationships/footer" Target="footer7.xml"/><Relationship Id="rId13" Type="http://schemas.openxmlformats.org/officeDocument/2006/relationships/header" Target="header6.xml"/><Relationship Id="rId12" Type="http://schemas.openxmlformats.org/officeDocument/2006/relationships/footer" Target="footer6.xml"/><Relationship Id="rId11" Type="http://schemas.openxmlformats.org/officeDocument/2006/relationships/header" Target="header5.xml"/><Relationship Id="rId10" Type="http://schemas.openxmlformats.org/officeDocument/2006/relationships/footer" Target="footer5.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股份有限公司</dc:title>
  <dc:creator>czq</dc:creator>
  <dcterms:created xsi:type="dcterms:W3CDTF">2019-08-14T16:54:17Z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2024-09-26T15:51:26</vt:filetime>
  </property>
</Properties>
</file>