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43"/>
        <w:spacing w:before="201" w:line="220" w:lineRule="auto"/>
        <w:rPr>
          <w:rFonts w:ascii="SimSun" w:hAnsi="SimSun" w:eastAsia="SimSun" w:cs="SimSun"/>
          <w:sz w:val="21"/>
          <w:szCs w:val="21"/>
        </w:rPr>
      </w:pPr>
      <w:r>
        <w:rPr>
          <w:rFonts w:ascii="SimSun" w:hAnsi="SimSun" w:eastAsia="SimSun" w:cs="SimSun"/>
          <w:sz w:val="21"/>
          <w:szCs w:val="21"/>
        </w:rPr>
        <w:t>公司代码：600050                                             </w:t>
      </w:r>
      <w:r>
        <w:rPr>
          <w:rFonts w:ascii="SimSun" w:hAnsi="SimSun" w:eastAsia="SimSun" w:cs="SimSun"/>
          <w:sz w:val="21"/>
          <w:szCs w:val="21"/>
          <w:spacing w:val="-1"/>
        </w:rPr>
        <w:t xml:space="preserve">    公司简称：中国联通</w:t>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ind w:left="2669" w:right="2201" w:hanging="414"/>
        <w:spacing w:before="101" w:line="298" w:lineRule="auto"/>
        <w:outlineLvl w:val="0"/>
        <w:rPr>
          <w:rFonts w:ascii="SimHei" w:hAnsi="SimHei" w:eastAsia="SimHei" w:cs="SimHei"/>
          <w:sz w:val="31"/>
          <w:szCs w:val="31"/>
        </w:rPr>
      </w:pPr>
      <w:r>
        <w:rPr>
          <w:rFonts w:ascii="SimHei" w:hAnsi="SimHei" w:eastAsia="SimHei" w:cs="SimHei"/>
          <w:sz w:val="31"/>
          <w:szCs w:val="31"/>
          <w:b/>
          <w:bCs/>
          <w:spacing w:val="5"/>
        </w:rPr>
        <w:t>中国联合网络通信股份有限公司</w:t>
      </w:r>
      <w:r>
        <w:rPr>
          <w:rFonts w:ascii="SimHei" w:hAnsi="SimHei" w:eastAsia="SimHei" w:cs="SimHei"/>
          <w:sz w:val="31"/>
          <w:szCs w:val="31"/>
          <w:spacing w:val="1"/>
        </w:rPr>
        <w:t xml:space="preserve"> </w:t>
      </w:r>
      <w:r>
        <w:rPr>
          <w:rFonts w:ascii="SimHei" w:hAnsi="SimHei" w:eastAsia="SimHei" w:cs="SimHei"/>
          <w:sz w:val="31"/>
          <w:szCs w:val="31"/>
          <w:b/>
          <w:bCs/>
          <w:spacing w:val="4"/>
        </w:rPr>
        <w:t>2019</w:t>
      </w:r>
      <w:r>
        <w:rPr>
          <w:rFonts w:ascii="SimHei" w:hAnsi="SimHei" w:eastAsia="SimHei" w:cs="SimHei"/>
          <w:sz w:val="31"/>
          <w:szCs w:val="31"/>
          <w:spacing w:val="-54"/>
        </w:rPr>
        <w:t xml:space="preserve"> </w:t>
      </w:r>
      <w:r>
        <w:rPr>
          <w:rFonts w:ascii="SimHei" w:hAnsi="SimHei" w:eastAsia="SimHei" w:cs="SimHei"/>
          <w:sz w:val="31"/>
          <w:szCs w:val="31"/>
          <w:b/>
          <w:bCs/>
          <w:spacing w:val="4"/>
        </w:rPr>
        <w:t>年第三季度报告正文</w:t>
      </w:r>
    </w:p>
    <w:p>
      <w:pPr>
        <w:ind w:firstLine="1946"/>
        <w:spacing w:before="127" w:line="2746" w:lineRule="exact"/>
        <w:rPr/>
      </w:pPr>
      <w:r>
        <w:rPr>
          <w:position w:val="-54"/>
        </w:rPr>
        <w:drawing>
          <wp:inline distT="0" distB="0" distL="0" distR="0">
            <wp:extent cx="3200400" cy="1743709"/>
            <wp:effectExtent l="0" t="0" r="0" b="0"/>
            <wp:docPr id="4" name="IM 4"/>
            <wp:cNvGraphicFramePr/>
            <a:graphic>
              <a:graphicData uri="http://schemas.openxmlformats.org/drawingml/2006/picture">
                <pic:pic>
                  <pic:nvPicPr>
                    <pic:cNvPr id="4" name="IM 4"/>
                    <pic:cNvPicPr/>
                  </pic:nvPicPr>
                  <pic:blipFill>
                    <a:blip r:embed="rId3"/>
                    <a:stretch>
                      <a:fillRect/>
                    </a:stretch>
                  </pic:blipFill>
                  <pic:spPr>
                    <a:xfrm rot="0">
                      <a:off x="0" y="0"/>
                      <a:ext cx="3200400" cy="1743709"/>
                    </a:xfrm>
                    <a:prstGeom prst="rect">
                      <a:avLst/>
                    </a:prstGeom>
                  </pic:spPr>
                </pic:pic>
              </a:graphicData>
            </a:graphic>
          </wp:inline>
        </w:drawing>
      </w:r>
    </w:p>
    <w:p>
      <w:pPr>
        <w:spacing w:line="2746" w:lineRule="exact"/>
        <w:sectPr>
          <w:headerReference w:type="default" r:id="rId1"/>
          <w:footerReference w:type="default" r:id="rId2"/>
          <w:pgSz w:w="11907" w:h="16839"/>
          <w:pgMar w:top="1374" w:right="1267" w:bottom="1431" w:left="1723" w:header="835" w:footer="1212" w:gutter="0"/>
        </w:sectPr>
        <w:rPr/>
      </w:pPr>
    </w:p>
    <w:p>
      <w:pPr>
        <w:spacing w:line="413" w:lineRule="auto"/>
        <w:rPr>
          <w:rFonts w:ascii="Arial"/>
          <w:sz w:val="21"/>
        </w:rPr>
      </w:pPr>
      <w:r/>
    </w:p>
    <w:p>
      <w:pPr>
        <w:pStyle w:val="BodyText"/>
        <w:ind w:left="362"/>
        <w:spacing w:before="69" w:line="221" w:lineRule="auto"/>
        <w:outlineLvl w:val="1"/>
        <w:rPr/>
      </w:pPr>
      <w:r>
        <w:rPr>
          <w:b/>
          <w:bCs/>
          <w:spacing w:val="-1"/>
        </w:rPr>
        <w:t>一、重要提示</w:t>
      </w:r>
    </w:p>
    <w:p>
      <w:pPr>
        <w:pStyle w:val="BodyText"/>
        <w:ind w:left="717" w:right="468" w:hanging="343"/>
        <w:spacing w:before="255" w:line="268" w:lineRule="auto"/>
        <w:rPr/>
      </w:pPr>
      <w:r>
        <w:rPr>
          <w:spacing w:val="-3"/>
        </w:rPr>
        <w:t>1.1</w:t>
      </w:r>
      <w:r>
        <w:rPr>
          <w:spacing w:val="-40"/>
        </w:rPr>
        <w:t xml:space="preserve"> </w:t>
      </w:r>
      <w:r>
        <w:rPr>
          <w:spacing w:val="-3"/>
        </w:rPr>
        <w:t>公司董事会、监事会及董事、监事、高级管理人员保证季度报告内容的真实、准确、完整，不</w:t>
      </w:r>
      <w:r>
        <w:rPr/>
        <w:t xml:space="preserve"> </w:t>
      </w:r>
      <w:r>
        <w:rPr>
          <w:spacing w:val="-1"/>
        </w:rPr>
        <w:t>存在虚假记载、误导性陈述或者重大遗漏，并承担个别和连带的法律责任。</w:t>
      </w:r>
    </w:p>
    <w:p>
      <w:pPr>
        <w:pStyle w:val="BodyText"/>
        <w:ind w:left="374"/>
        <w:spacing w:before="266" w:line="219" w:lineRule="auto"/>
        <w:rPr/>
      </w:pPr>
      <w:r>
        <w:rPr>
          <w:spacing w:val="-3"/>
        </w:rPr>
        <w:t>1.2</w:t>
      </w:r>
      <w:r>
        <w:rPr>
          <w:spacing w:val="-33"/>
        </w:rPr>
        <w:t xml:space="preserve"> </w:t>
      </w:r>
      <w:r>
        <w:rPr>
          <w:spacing w:val="-3"/>
        </w:rPr>
        <w:t>公司全体董事出席董事会审议季度报告。</w:t>
      </w:r>
    </w:p>
    <w:p>
      <w:pPr>
        <w:pStyle w:val="BodyText"/>
        <w:ind w:left="719" w:right="468" w:hanging="345"/>
        <w:spacing w:before="266" w:line="268" w:lineRule="auto"/>
        <w:rPr/>
      </w:pPr>
      <w:r>
        <w:rPr>
          <w:spacing w:val="-3"/>
        </w:rPr>
        <w:t>1.3</w:t>
      </w:r>
      <w:r>
        <w:rPr>
          <w:spacing w:val="-39"/>
        </w:rPr>
        <w:t xml:space="preserve"> </w:t>
      </w:r>
      <w:r>
        <w:rPr>
          <w:spacing w:val="-3"/>
        </w:rPr>
        <w:t>公司负责人王晓初、主管会计工作负责人姜爱华及会计机构负责人（会计主管人员）王芳保证</w:t>
      </w:r>
      <w:r>
        <w:rPr/>
        <w:t xml:space="preserve"> </w:t>
      </w:r>
      <w:r>
        <w:rPr>
          <w:spacing w:val="-1"/>
        </w:rPr>
        <w:t>季度报告中财务报表的真实、准确、完整。</w:t>
      </w:r>
    </w:p>
    <w:p>
      <w:pPr>
        <w:pStyle w:val="BodyText"/>
        <w:ind w:left="374"/>
        <w:spacing w:before="266" w:line="219" w:lineRule="auto"/>
        <w:rPr/>
      </w:pPr>
      <w:r>
        <w:rPr>
          <w:spacing w:val="-4"/>
        </w:rPr>
        <w:t>1.4</w:t>
      </w:r>
      <w:r>
        <w:rPr>
          <w:spacing w:val="-33"/>
        </w:rPr>
        <w:t xml:space="preserve"> </w:t>
      </w:r>
      <w:r>
        <w:rPr>
          <w:spacing w:val="-4"/>
        </w:rPr>
        <w:t>公司第三季度报告未经审计。</w:t>
      </w:r>
    </w:p>
    <w:p>
      <w:pPr>
        <w:spacing w:line="423" w:lineRule="auto"/>
        <w:rPr>
          <w:rFonts w:ascii="Arial"/>
          <w:sz w:val="21"/>
        </w:rPr>
      </w:pPr>
      <w:r/>
    </w:p>
    <w:p>
      <w:pPr>
        <w:pStyle w:val="BodyText"/>
        <w:ind w:left="362"/>
        <w:spacing w:before="69" w:line="221" w:lineRule="auto"/>
        <w:outlineLvl w:val="1"/>
        <w:rPr/>
      </w:pPr>
      <w:r>
        <w:rPr>
          <w:b/>
          <w:bCs/>
          <w:spacing w:val="-2"/>
        </w:rPr>
        <w:t>二、公司主要财务数据和股东变化</w:t>
      </w:r>
    </w:p>
    <w:p>
      <w:pPr>
        <w:pStyle w:val="BodyText"/>
        <w:ind w:left="361"/>
        <w:spacing w:before="255" w:line="221" w:lineRule="auto"/>
        <w:rPr/>
      </w:pPr>
      <w:r>
        <w:rPr>
          <w:spacing w:val="-1"/>
        </w:rPr>
        <w:t>2.1 主要财务数据</w:t>
      </w:r>
    </w:p>
    <w:p>
      <w:pPr>
        <w:pStyle w:val="BodyText"/>
        <w:ind w:left="6822"/>
        <w:spacing w:before="209" w:line="220" w:lineRule="auto"/>
        <w:rPr/>
      </w:pPr>
      <w:r>
        <w:rPr>
          <w:spacing w:val="-6"/>
        </w:rPr>
        <w:t>单位：元</w:t>
      </w:r>
      <w:r>
        <w:rPr>
          <w:spacing w:val="17"/>
        </w:rPr>
        <w:t xml:space="preserve">  </w:t>
      </w:r>
      <w:r>
        <w:rPr>
          <w:spacing w:val="-6"/>
        </w:rPr>
        <w:t>币种：人民币</w:t>
      </w:r>
    </w:p>
    <w:p>
      <w:pPr>
        <w:spacing w:line="114" w:lineRule="auto"/>
        <w:rPr>
          <w:rFonts w:ascii="Arial"/>
          <w:sz w:val="2"/>
        </w:rPr>
      </w:pPr>
      <w:r>
        <w:rPr>
          <w:rFonts w:ascii="Arial"/>
          <w:sz w:val="2"/>
        </w:rPr>
      </w:r>
    </w:p>
    <w:tbl>
      <w:tblPr>
        <w:tblStyle w:val="TableNormal"/>
        <w:tblW w:w="9697"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080"/>
        <w:gridCol w:w="2111"/>
        <w:gridCol w:w="2390"/>
        <w:gridCol w:w="2116"/>
      </w:tblGrid>
      <w:tr>
        <w:trPr>
          <w:trHeight w:val="628" w:hRule="atLeast"/>
        </w:trPr>
        <w:tc>
          <w:tcPr>
            <w:shd w:val="clear" w:fill="D9D9D9"/>
            <w:tcW w:w="3080" w:type="dxa"/>
            <w:vAlign w:val="top"/>
          </w:tcPr>
          <w:p>
            <w:pPr>
              <w:rPr>
                <w:rFonts w:ascii="Arial"/>
                <w:sz w:val="21"/>
              </w:rPr>
            </w:pPr>
            <w:r/>
          </w:p>
        </w:tc>
        <w:tc>
          <w:tcPr>
            <w:shd w:val="clear" w:fill="D9D9D9"/>
            <w:tcW w:w="2111" w:type="dxa"/>
            <w:vAlign w:val="top"/>
          </w:tcPr>
          <w:p>
            <w:pPr>
              <w:pStyle w:val="TableText"/>
              <w:ind w:left="534"/>
              <w:spacing w:before="207" w:line="219" w:lineRule="auto"/>
              <w:rPr/>
            </w:pPr>
            <w:r>
              <w:rPr>
                <w:spacing w:val="-2"/>
              </w:rPr>
              <w:t>本报告期末</w:t>
            </w:r>
          </w:p>
        </w:tc>
        <w:tc>
          <w:tcPr>
            <w:shd w:val="clear" w:fill="D9D9D9"/>
            <w:tcW w:w="2390" w:type="dxa"/>
            <w:vAlign w:val="top"/>
          </w:tcPr>
          <w:p>
            <w:pPr>
              <w:pStyle w:val="TableText"/>
              <w:ind w:left="783"/>
              <w:spacing w:before="206" w:line="221" w:lineRule="auto"/>
              <w:rPr/>
            </w:pPr>
            <w:r>
              <w:rPr>
                <w:spacing w:val="-2"/>
              </w:rPr>
              <w:t>上年度末</w:t>
            </w:r>
          </w:p>
        </w:tc>
        <w:tc>
          <w:tcPr>
            <w:shd w:val="clear" w:fill="D9D9D9"/>
            <w:tcW w:w="2116" w:type="dxa"/>
            <w:vAlign w:val="top"/>
          </w:tcPr>
          <w:p>
            <w:pPr>
              <w:pStyle w:val="TableText"/>
              <w:ind w:left="119"/>
              <w:spacing w:before="51" w:line="219" w:lineRule="auto"/>
              <w:rPr/>
            </w:pPr>
            <w:r>
              <w:rPr>
                <w:spacing w:val="-1"/>
              </w:rPr>
              <w:t>本报告期末比上年度</w:t>
            </w:r>
          </w:p>
          <w:p>
            <w:pPr>
              <w:pStyle w:val="TableText"/>
              <w:ind w:left="590"/>
              <w:spacing w:before="63" w:line="221" w:lineRule="auto"/>
              <w:rPr/>
            </w:pPr>
            <w:r>
              <w:rPr>
                <w:spacing w:val="-1"/>
              </w:rPr>
              <w:t>末增减(%)</w:t>
            </w:r>
          </w:p>
        </w:tc>
      </w:tr>
      <w:tr>
        <w:trPr>
          <w:trHeight w:val="316" w:hRule="atLeast"/>
        </w:trPr>
        <w:tc>
          <w:tcPr>
            <w:tcW w:w="3080" w:type="dxa"/>
            <w:vAlign w:val="top"/>
          </w:tcPr>
          <w:p>
            <w:pPr>
              <w:pStyle w:val="TableText"/>
              <w:ind w:left="121"/>
              <w:spacing w:before="51" w:line="221" w:lineRule="auto"/>
              <w:rPr/>
            </w:pPr>
            <w:r>
              <w:rPr>
                <w:spacing w:val="-3"/>
              </w:rPr>
              <w:t>总资产</w:t>
            </w:r>
          </w:p>
        </w:tc>
        <w:tc>
          <w:tcPr>
            <w:tcW w:w="2111" w:type="dxa"/>
            <w:vAlign w:val="top"/>
          </w:tcPr>
          <w:p>
            <w:pPr>
              <w:pStyle w:val="TableText"/>
              <w:ind w:left="439"/>
              <w:spacing w:before="87" w:line="182" w:lineRule="auto"/>
              <w:rPr/>
            </w:pPr>
            <w:r>
              <w:rPr>
                <w:spacing w:val="-1"/>
              </w:rPr>
              <w:t>570,574,852,593</w:t>
            </w:r>
          </w:p>
        </w:tc>
        <w:tc>
          <w:tcPr>
            <w:tcW w:w="2390" w:type="dxa"/>
            <w:vAlign w:val="top"/>
          </w:tcPr>
          <w:p>
            <w:pPr>
              <w:pStyle w:val="TableText"/>
              <w:ind w:left="718"/>
              <w:spacing w:before="85" w:line="183" w:lineRule="auto"/>
              <w:rPr/>
            </w:pPr>
            <w:r>
              <w:rPr>
                <w:spacing w:val="-1"/>
              </w:rPr>
              <w:t>541,762,283,984</w:t>
            </w:r>
          </w:p>
        </w:tc>
        <w:tc>
          <w:tcPr>
            <w:tcW w:w="2116" w:type="dxa"/>
            <w:vAlign w:val="top"/>
          </w:tcPr>
          <w:p>
            <w:pPr>
              <w:pStyle w:val="TableText"/>
              <w:ind w:left="1595"/>
              <w:spacing w:before="87" w:line="182" w:lineRule="auto"/>
              <w:rPr/>
            </w:pPr>
            <w:r>
              <w:rPr>
                <w:spacing w:val="-2"/>
              </w:rPr>
              <w:t>5.32</w:t>
            </w:r>
          </w:p>
        </w:tc>
      </w:tr>
      <w:tr>
        <w:trPr>
          <w:trHeight w:val="316" w:hRule="atLeast"/>
        </w:trPr>
        <w:tc>
          <w:tcPr>
            <w:tcW w:w="3080" w:type="dxa"/>
            <w:vAlign w:val="top"/>
          </w:tcPr>
          <w:p>
            <w:pPr>
              <w:pStyle w:val="TableText"/>
              <w:ind w:left="124"/>
              <w:spacing w:before="51" w:line="221" w:lineRule="auto"/>
              <w:rPr/>
            </w:pPr>
            <w:r>
              <w:rPr>
                <w:spacing w:val="-1"/>
              </w:rPr>
              <w:t>归属于上市公司股东的净资产</w:t>
            </w:r>
          </w:p>
        </w:tc>
        <w:tc>
          <w:tcPr>
            <w:tcW w:w="2111" w:type="dxa"/>
            <w:vAlign w:val="top"/>
          </w:tcPr>
          <w:p>
            <w:pPr>
              <w:pStyle w:val="TableText"/>
              <w:ind w:left="450"/>
              <w:spacing w:before="86" w:line="183" w:lineRule="auto"/>
              <w:rPr/>
            </w:pPr>
            <w:r>
              <w:rPr>
                <w:spacing w:val="-2"/>
              </w:rPr>
              <w:t>142,837,416,854</w:t>
            </w:r>
          </w:p>
        </w:tc>
        <w:tc>
          <w:tcPr>
            <w:tcW w:w="2390" w:type="dxa"/>
            <w:vAlign w:val="top"/>
          </w:tcPr>
          <w:p>
            <w:pPr>
              <w:pStyle w:val="TableText"/>
              <w:ind w:left="730"/>
              <w:spacing w:before="86" w:line="183" w:lineRule="auto"/>
              <w:rPr/>
            </w:pPr>
            <w:r>
              <w:rPr>
                <w:spacing w:val="-2"/>
              </w:rPr>
              <w:t>140,144,361,690</w:t>
            </w:r>
          </w:p>
        </w:tc>
        <w:tc>
          <w:tcPr>
            <w:tcW w:w="2116" w:type="dxa"/>
            <w:vAlign w:val="top"/>
          </w:tcPr>
          <w:p>
            <w:pPr>
              <w:pStyle w:val="TableText"/>
              <w:ind w:left="1607"/>
              <w:spacing w:before="86" w:line="183" w:lineRule="auto"/>
              <w:rPr/>
            </w:pPr>
            <w:r>
              <w:rPr>
                <w:spacing w:val="-5"/>
              </w:rPr>
              <w:t>1.92</w:t>
            </w:r>
          </w:p>
        </w:tc>
      </w:tr>
      <w:tr>
        <w:trPr>
          <w:trHeight w:val="631" w:hRule="atLeast"/>
        </w:trPr>
        <w:tc>
          <w:tcPr>
            <w:shd w:val="clear" w:fill="D9D9D9"/>
            <w:tcW w:w="3080" w:type="dxa"/>
            <w:vAlign w:val="top"/>
          </w:tcPr>
          <w:p>
            <w:pPr>
              <w:rPr>
                <w:rFonts w:ascii="Arial"/>
                <w:sz w:val="21"/>
              </w:rPr>
            </w:pPr>
            <w:r/>
          </w:p>
        </w:tc>
        <w:tc>
          <w:tcPr>
            <w:shd w:val="clear" w:fill="D9D9D9"/>
            <w:tcW w:w="2111" w:type="dxa"/>
            <w:vAlign w:val="top"/>
          </w:tcPr>
          <w:p>
            <w:pPr>
              <w:pStyle w:val="TableText"/>
              <w:ind w:left="325"/>
              <w:spacing w:before="55" w:line="219" w:lineRule="auto"/>
              <w:rPr/>
            </w:pPr>
            <w:r>
              <w:rPr>
                <w:spacing w:val="-1"/>
              </w:rPr>
              <w:t>年初至报告期末</w:t>
            </w:r>
          </w:p>
          <w:p>
            <w:pPr>
              <w:pStyle w:val="TableText"/>
              <w:ind w:left="566"/>
              <w:spacing w:before="62" w:line="221" w:lineRule="auto"/>
              <w:rPr/>
            </w:pPr>
            <w:r>
              <w:rPr>
                <w:spacing w:val="-5"/>
              </w:rPr>
              <w:t>（1-9</w:t>
            </w:r>
            <w:r>
              <w:rPr>
                <w:spacing w:val="-37"/>
              </w:rPr>
              <w:t xml:space="preserve"> </w:t>
            </w:r>
            <w:r>
              <w:rPr>
                <w:spacing w:val="-5"/>
              </w:rPr>
              <w:t>月）</w:t>
            </w:r>
          </w:p>
        </w:tc>
        <w:tc>
          <w:tcPr>
            <w:shd w:val="clear" w:fill="D9D9D9"/>
            <w:tcW w:w="2390" w:type="dxa"/>
            <w:vAlign w:val="top"/>
          </w:tcPr>
          <w:p>
            <w:pPr>
              <w:pStyle w:val="TableText"/>
              <w:ind w:left="152"/>
              <w:spacing w:before="55" w:line="219" w:lineRule="auto"/>
              <w:rPr/>
            </w:pPr>
            <w:r>
              <w:rPr>
                <w:spacing w:val="-1"/>
              </w:rPr>
              <w:t>上年初至上年报告期末</w:t>
            </w:r>
          </w:p>
          <w:p>
            <w:pPr>
              <w:pStyle w:val="TableText"/>
              <w:ind w:left="709"/>
              <w:spacing w:before="62" w:line="221" w:lineRule="auto"/>
              <w:rPr/>
            </w:pPr>
            <w:r>
              <w:rPr>
                <w:spacing w:val="-5"/>
              </w:rPr>
              <w:t>（1-9</w:t>
            </w:r>
            <w:r>
              <w:rPr>
                <w:spacing w:val="-37"/>
              </w:rPr>
              <w:t xml:space="preserve"> </w:t>
            </w:r>
            <w:r>
              <w:rPr>
                <w:spacing w:val="-5"/>
              </w:rPr>
              <w:t>月）</w:t>
            </w:r>
          </w:p>
        </w:tc>
        <w:tc>
          <w:tcPr>
            <w:shd w:val="clear" w:fill="D9D9D9"/>
            <w:tcW w:w="2116" w:type="dxa"/>
            <w:vAlign w:val="top"/>
          </w:tcPr>
          <w:p>
            <w:pPr>
              <w:pStyle w:val="TableText"/>
              <w:ind w:left="193"/>
              <w:spacing w:before="210" w:line="221" w:lineRule="auto"/>
              <w:rPr/>
            </w:pPr>
            <w:r>
              <w:rPr>
                <w:spacing w:val="-3"/>
              </w:rPr>
              <w:t>比上年同期增减(%)</w:t>
            </w:r>
          </w:p>
        </w:tc>
      </w:tr>
      <w:tr>
        <w:trPr>
          <w:trHeight w:val="316" w:hRule="atLeast"/>
        </w:trPr>
        <w:tc>
          <w:tcPr>
            <w:tcW w:w="3080" w:type="dxa"/>
            <w:vAlign w:val="top"/>
          </w:tcPr>
          <w:p>
            <w:pPr>
              <w:pStyle w:val="TableText"/>
              <w:ind w:left="117"/>
              <w:spacing w:before="52" w:line="221" w:lineRule="auto"/>
              <w:rPr/>
            </w:pPr>
            <w:r>
              <w:rPr>
                <w:spacing w:val="-1"/>
              </w:rPr>
              <w:t>经营活动产生的现金流量净额</w:t>
            </w:r>
          </w:p>
        </w:tc>
        <w:tc>
          <w:tcPr>
            <w:tcW w:w="2111" w:type="dxa"/>
            <w:vAlign w:val="top"/>
          </w:tcPr>
          <w:p>
            <w:pPr>
              <w:pStyle w:val="TableText"/>
              <w:ind w:left="543"/>
              <w:spacing w:before="88" w:line="182" w:lineRule="auto"/>
              <w:rPr/>
            </w:pPr>
            <w:r>
              <w:rPr>
                <w:spacing w:val="-1"/>
              </w:rPr>
              <w:t>76,770,788,925</w:t>
            </w:r>
          </w:p>
        </w:tc>
        <w:tc>
          <w:tcPr>
            <w:tcW w:w="2390" w:type="dxa"/>
            <w:vAlign w:val="top"/>
          </w:tcPr>
          <w:p>
            <w:pPr>
              <w:pStyle w:val="TableText"/>
              <w:ind w:left="818"/>
              <w:spacing w:before="87" w:line="183" w:lineRule="auto"/>
              <w:rPr/>
            </w:pPr>
            <w:r>
              <w:rPr>
                <w:spacing w:val="-1"/>
              </w:rPr>
              <w:t>83,131,814,206</w:t>
            </w:r>
          </w:p>
        </w:tc>
        <w:tc>
          <w:tcPr>
            <w:tcW w:w="2116" w:type="dxa"/>
            <w:vAlign w:val="top"/>
          </w:tcPr>
          <w:p>
            <w:pPr>
              <w:pStyle w:val="TableText"/>
              <w:ind w:left="1484"/>
              <w:spacing w:before="88" w:line="182" w:lineRule="auto"/>
              <w:rPr/>
            </w:pPr>
            <w:r>
              <w:rPr>
                <w:spacing w:val="-1"/>
              </w:rPr>
              <w:t>-7.65</w:t>
            </w:r>
          </w:p>
        </w:tc>
      </w:tr>
      <w:tr>
        <w:trPr>
          <w:trHeight w:val="629" w:hRule="atLeast"/>
        </w:trPr>
        <w:tc>
          <w:tcPr>
            <w:shd w:val="clear" w:fill="D9D9D9"/>
            <w:tcW w:w="3080" w:type="dxa"/>
            <w:vAlign w:val="top"/>
          </w:tcPr>
          <w:p>
            <w:pPr>
              <w:rPr>
                <w:rFonts w:ascii="Arial"/>
                <w:sz w:val="21"/>
              </w:rPr>
            </w:pPr>
            <w:r/>
          </w:p>
        </w:tc>
        <w:tc>
          <w:tcPr>
            <w:shd w:val="clear" w:fill="D9D9D9"/>
            <w:tcW w:w="2111" w:type="dxa"/>
            <w:vAlign w:val="top"/>
          </w:tcPr>
          <w:p>
            <w:pPr>
              <w:pStyle w:val="TableText"/>
              <w:ind w:left="325"/>
              <w:spacing w:before="53" w:line="219" w:lineRule="auto"/>
              <w:rPr/>
            </w:pPr>
            <w:r>
              <w:rPr>
                <w:spacing w:val="-1"/>
              </w:rPr>
              <w:t>年初至报告期末</w:t>
            </w:r>
          </w:p>
          <w:p>
            <w:pPr>
              <w:pStyle w:val="TableText"/>
              <w:ind w:left="566"/>
              <w:spacing w:before="62" w:line="221" w:lineRule="auto"/>
              <w:rPr/>
            </w:pPr>
            <w:r>
              <w:rPr>
                <w:spacing w:val="-5"/>
              </w:rPr>
              <w:t>（1-9</w:t>
            </w:r>
            <w:r>
              <w:rPr>
                <w:spacing w:val="-37"/>
              </w:rPr>
              <w:t xml:space="preserve"> </w:t>
            </w:r>
            <w:r>
              <w:rPr>
                <w:spacing w:val="-5"/>
              </w:rPr>
              <w:t>月）</w:t>
            </w:r>
          </w:p>
        </w:tc>
        <w:tc>
          <w:tcPr>
            <w:shd w:val="clear" w:fill="D9D9D9"/>
            <w:tcW w:w="2390" w:type="dxa"/>
            <w:vAlign w:val="top"/>
          </w:tcPr>
          <w:p>
            <w:pPr>
              <w:pStyle w:val="TableText"/>
              <w:ind w:left="152"/>
              <w:spacing w:before="53" w:line="219" w:lineRule="auto"/>
              <w:rPr/>
            </w:pPr>
            <w:r>
              <w:rPr>
                <w:spacing w:val="-1"/>
              </w:rPr>
              <w:t>上年初至上年报告期末</w:t>
            </w:r>
          </w:p>
          <w:p>
            <w:pPr>
              <w:pStyle w:val="TableText"/>
              <w:ind w:left="709"/>
              <w:spacing w:before="62" w:line="221" w:lineRule="auto"/>
              <w:rPr/>
            </w:pPr>
            <w:r>
              <w:rPr>
                <w:spacing w:val="-5"/>
              </w:rPr>
              <w:t>（1-9</w:t>
            </w:r>
            <w:r>
              <w:rPr>
                <w:spacing w:val="-37"/>
              </w:rPr>
              <w:t xml:space="preserve"> </w:t>
            </w:r>
            <w:r>
              <w:rPr>
                <w:spacing w:val="-5"/>
              </w:rPr>
              <w:t>月）</w:t>
            </w:r>
          </w:p>
        </w:tc>
        <w:tc>
          <w:tcPr>
            <w:shd w:val="clear" w:fill="D9D9D9"/>
            <w:tcW w:w="2116" w:type="dxa"/>
            <w:vAlign w:val="top"/>
          </w:tcPr>
          <w:p>
            <w:pPr>
              <w:pStyle w:val="TableText"/>
              <w:ind w:left="352"/>
              <w:spacing w:before="53" w:line="221" w:lineRule="auto"/>
              <w:rPr/>
            </w:pPr>
            <w:r>
              <w:rPr>
                <w:spacing w:val="-4"/>
              </w:rPr>
              <w:t>比上年同期增减</w:t>
            </w:r>
          </w:p>
          <w:p>
            <w:pPr>
              <w:pStyle w:val="TableText"/>
              <w:ind w:left="808"/>
              <w:spacing w:before="61" w:line="222" w:lineRule="auto"/>
              <w:rPr/>
            </w:pPr>
            <w:r>
              <w:rPr>
                <w:spacing w:val="-5"/>
              </w:rPr>
              <w:t>（%）</w:t>
            </w:r>
          </w:p>
        </w:tc>
      </w:tr>
      <w:tr>
        <w:trPr>
          <w:trHeight w:val="316" w:hRule="atLeast"/>
        </w:trPr>
        <w:tc>
          <w:tcPr>
            <w:tcW w:w="3080" w:type="dxa"/>
            <w:vAlign w:val="top"/>
          </w:tcPr>
          <w:p>
            <w:pPr>
              <w:pStyle w:val="TableText"/>
              <w:ind w:left="122"/>
              <w:spacing w:before="31" w:line="221" w:lineRule="auto"/>
              <w:rPr/>
            </w:pPr>
            <w:r>
              <w:rPr>
                <w:spacing w:val="-3"/>
              </w:rPr>
              <w:t>营业收入</w:t>
            </w:r>
          </w:p>
        </w:tc>
        <w:tc>
          <w:tcPr>
            <w:tcW w:w="2111" w:type="dxa"/>
            <w:vAlign w:val="top"/>
          </w:tcPr>
          <w:p>
            <w:pPr>
              <w:pStyle w:val="TableText"/>
              <w:ind w:left="437"/>
              <w:spacing w:before="87" w:line="183" w:lineRule="auto"/>
              <w:rPr/>
            </w:pPr>
            <w:r>
              <w:rPr>
                <w:spacing w:val="-1"/>
              </w:rPr>
              <w:t>217,120,523,302</w:t>
            </w:r>
          </w:p>
        </w:tc>
        <w:tc>
          <w:tcPr>
            <w:tcW w:w="2390" w:type="dxa"/>
            <w:vAlign w:val="top"/>
          </w:tcPr>
          <w:p>
            <w:pPr>
              <w:pStyle w:val="TableText"/>
              <w:ind w:left="717"/>
              <w:spacing w:before="87" w:line="183" w:lineRule="auto"/>
              <w:rPr/>
            </w:pPr>
            <w:r>
              <w:rPr>
                <w:spacing w:val="-1"/>
              </w:rPr>
              <w:t>219,711,544,759</w:t>
            </w:r>
          </w:p>
        </w:tc>
        <w:tc>
          <w:tcPr>
            <w:tcW w:w="2116" w:type="dxa"/>
            <w:vAlign w:val="top"/>
          </w:tcPr>
          <w:p>
            <w:pPr>
              <w:pStyle w:val="TableText"/>
              <w:ind w:left="1484"/>
              <w:spacing w:before="87" w:line="183" w:lineRule="auto"/>
              <w:rPr/>
            </w:pPr>
            <w:r>
              <w:rPr>
                <w:spacing w:val="-1"/>
              </w:rPr>
              <w:t>-1.18</w:t>
            </w:r>
          </w:p>
        </w:tc>
      </w:tr>
      <w:tr>
        <w:trPr>
          <w:trHeight w:val="317" w:hRule="atLeast"/>
        </w:trPr>
        <w:tc>
          <w:tcPr>
            <w:tcW w:w="3080" w:type="dxa"/>
            <w:vAlign w:val="top"/>
          </w:tcPr>
          <w:p>
            <w:pPr>
              <w:pStyle w:val="TableText"/>
              <w:ind w:left="116"/>
              <w:spacing w:before="53" w:line="221" w:lineRule="auto"/>
              <w:rPr/>
            </w:pPr>
            <w:r>
              <w:rPr>
                <w:spacing w:val="-1"/>
              </w:rPr>
              <w:t>其中：主营业务收入</w:t>
            </w:r>
          </w:p>
        </w:tc>
        <w:tc>
          <w:tcPr>
            <w:tcW w:w="2111" w:type="dxa"/>
            <w:vAlign w:val="top"/>
          </w:tcPr>
          <w:p>
            <w:pPr>
              <w:pStyle w:val="TableText"/>
              <w:ind w:left="450"/>
              <w:spacing w:before="88" w:line="183" w:lineRule="auto"/>
              <w:rPr/>
            </w:pPr>
            <w:r>
              <w:rPr>
                <w:spacing w:val="-2"/>
              </w:rPr>
              <w:t>198,532,456,952</w:t>
            </w:r>
          </w:p>
        </w:tc>
        <w:tc>
          <w:tcPr>
            <w:tcW w:w="2390" w:type="dxa"/>
            <w:vAlign w:val="top"/>
          </w:tcPr>
          <w:p>
            <w:pPr>
              <w:pStyle w:val="TableText"/>
              <w:ind w:left="717"/>
              <w:spacing w:before="88" w:line="183" w:lineRule="auto"/>
              <w:rPr/>
            </w:pPr>
            <w:r>
              <w:rPr>
                <w:spacing w:val="-1"/>
              </w:rPr>
              <w:t>200,012,523,124</w:t>
            </w:r>
          </w:p>
        </w:tc>
        <w:tc>
          <w:tcPr>
            <w:tcW w:w="2116" w:type="dxa"/>
            <w:vAlign w:val="top"/>
          </w:tcPr>
          <w:p>
            <w:pPr>
              <w:pStyle w:val="TableText"/>
              <w:ind w:left="1484"/>
              <w:spacing w:before="89" w:line="182" w:lineRule="auto"/>
              <w:rPr/>
            </w:pPr>
            <w:r>
              <w:rPr>
                <w:spacing w:val="-1"/>
              </w:rPr>
              <w:t>-0.74</w:t>
            </w:r>
          </w:p>
        </w:tc>
      </w:tr>
      <w:tr>
        <w:trPr>
          <w:trHeight w:val="316" w:hRule="atLeast"/>
        </w:trPr>
        <w:tc>
          <w:tcPr>
            <w:tcW w:w="3080" w:type="dxa"/>
            <w:vAlign w:val="top"/>
          </w:tcPr>
          <w:p>
            <w:pPr>
              <w:pStyle w:val="TableText"/>
              <w:ind w:left="124"/>
              <w:spacing w:before="53" w:line="221" w:lineRule="auto"/>
              <w:rPr/>
            </w:pPr>
            <w:r>
              <w:rPr>
                <w:spacing w:val="-1"/>
              </w:rPr>
              <w:t>归属于上市公司股东的净利润</w:t>
            </w:r>
          </w:p>
        </w:tc>
        <w:tc>
          <w:tcPr>
            <w:tcW w:w="2111" w:type="dxa"/>
            <w:vAlign w:val="top"/>
          </w:tcPr>
          <w:p>
            <w:pPr>
              <w:pStyle w:val="TableText"/>
              <w:ind w:left="642"/>
              <w:spacing w:before="87" w:line="183" w:lineRule="auto"/>
              <w:rPr/>
            </w:pPr>
            <w:r>
              <w:rPr>
                <w:spacing w:val="-1"/>
              </w:rPr>
              <w:t>4,316,105,308</w:t>
            </w:r>
          </w:p>
        </w:tc>
        <w:tc>
          <w:tcPr>
            <w:tcW w:w="2390" w:type="dxa"/>
            <w:vAlign w:val="top"/>
          </w:tcPr>
          <w:p>
            <w:pPr>
              <w:pStyle w:val="TableText"/>
              <w:ind w:left="927"/>
              <w:spacing w:before="87" w:line="183" w:lineRule="auto"/>
              <w:rPr/>
            </w:pPr>
            <w:r>
              <w:rPr>
                <w:spacing w:val="-1"/>
              </w:rPr>
              <w:t>3,470,031,077</w:t>
            </w:r>
          </w:p>
        </w:tc>
        <w:tc>
          <w:tcPr>
            <w:tcW w:w="2116" w:type="dxa"/>
            <w:vAlign w:val="top"/>
          </w:tcPr>
          <w:p>
            <w:pPr>
              <w:pStyle w:val="TableText"/>
              <w:ind w:left="1488"/>
              <w:spacing w:before="89" w:line="182" w:lineRule="auto"/>
              <w:rPr/>
            </w:pPr>
            <w:r>
              <w:rPr>
                <w:spacing w:val="-2"/>
              </w:rPr>
              <w:t>24.38</w:t>
            </w:r>
          </w:p>
        </w:tc>
      </w:tr>
      <w:tr>
        <w:trPr>
          <w:trHeight w:val="551" w:hRule="atLeast"/>
        </w:trPr>
        <w:tc>
          <w:tcPr>
            <w:tcW w:w="3080" w:type="dxa"/>
            <w:vAlign w:val="top"/>
          </w:tcPr>
          <w:p>
            <w:pPr>
              <w:pStyle w:val="TableText"/>
              <w:ind w:left="117" w:right="233" w:firstLine="6"/>
              <w:spacing w:before="35" w:line="222" w:lineRule="auto"/>
              <w:rPr/>
            </w:pPr>
            <w:r>
              <w:rPr>
                <w:spacing w:val="-1"/>
              </w:rPr>
              <w:t>归属于上市公司股东的扣除非</w:t>
            </w:r>
            <w:r>
              <w:rPr/>
              <w:t xml:space="preserve"> </w:t>
            </w:r>
            <w:r>
              <w:rPr>
                <w:spacing w:val="-1"/>
              </w:rPr>
              <w:t>经常性损益的净利润</w:t>
            </w:r>
          </w:p>
        </w:tc>
        <w:tc>
          <w:tcPr>
            <w:tcW w:w="2111" w:type="dxa"/>
            <w:vAlign w:val="top"/>
          </w:tcPr>
          <w:p>
            <w:pPr>
              <w:pStyle w:val="TableText"/>
              <w:ind w:left="647"/>
              <w:spacing w:before="92" w:line="182" w:lineRule="auto"/>
              <w:rPr/>
            </w:pPr>
            <w:r>
              <w:rPr>
                <w:spacing w:val="-1"/>
              </w:rPr>
              <w:t>3,968,890,099</w:t>
            </w:r>
          </w:p>
        </w:tc>
        <w:tc>
          <w:tcPr>
            <w:tcW w:w="2390" w:type="dxa"/>
            <w:vAlign w:val="top"/>
          </w:tcPr>
          <w:p>
            <w:pPr>
              <w:pStyle w:val="TableText"/>
              <w:ind w:left="922"/>
              <w:spacing w:before="92" w:line="182" w:lineRule="auto"/>
              <w:rPr/>
            </w:pPr>
            <w:r>
              <w:rPr>
                <w:spacing w:val="-1"/>
              </w:rPr>
              <w:t>4,463,856,856</w:t>
            </w:r>
          </w:p>
        </w:tc>
        <w:tc>
          <w:tcPr>
            <w:tcW w:w="2116" w:type="dxa"/>
            <w:vAlign w:val="top"/>
          </w:tcPr>
          <w:p>
            <w:pPr>
              <w:pStyle w:val="TableText"/>
              <w:ind w:left="1378"/>
              <w:spacing w:before="91" w:line="183" w:lineRule="auto"/>
              <w:rPr/>
            </w:pPr>
            <w:r>
              <w:rPr>
                <w:spacing w:val="-1"/>
              </w:rPr>
              <w:t>-11.09</w:t>
            </w:r>
          </w:p>
        </w:tc>
      </w:tr>
      <w:tr>
        <w:trPr>
          <w:trHeight w:val="316" w:hRule="atLeast"/>
        </w:trPr>
        <w:tc>
          <w:tcPr>
            <w:tcW w:w="3080" w:type="dxa"/>
            <w:vAlign w:val="top"/>
          </w:tcPr>
          <w:p>
            <w:pPr>
              <w:pStyle w:val="TableText"/>
              <w:ind w:left="116"/>
              <w:spacing w:before="54" w:line="221" w:lineRule="auto"/>
              <w:rPr/>
            </w:pPr>
            <w:r>
              <w:rPr>
                <w:spacing w:val="-1"/>
              </w:rPr>
              <w:t>加权平均净资产收益率（%）</w:t>
            </w:r>
          </w:p>
        </w:tc>
        <w:tc>
          <w:tcPr>
            <w:tcW w:w="2111" w:type="dxa"/>
            <w:vAlign w:val="top"/>
          </w:tcPr>
          <w:p>
            <w:pPr>
              <w:pStyle w:val="TableText"/>
              <w:ind w:left="1591"/>
              <w:spacing w:before="90" w:line="182" w:lineRule="auto"/>
              <w:rPr/>
            </w:pPr>
            <w:r>
              <w:rPr>
                <w:spacing w:val="-2"/>
              </w:rPr>
              <w:t>2.97</w:t>
            </w:r>
          </w:p>
        </w:tc>
        <w:tc>
          <w:tcPr>
            <w:tcW w:w="2390" w:type="dxa"/>
            <w:vAlign w:val="top"/>
          </w:tcPr>
          <w:p>
            <w:pPr>
              <w:pStyle w:val="TableText"/>
              <w:ind w:left="1871"/>
              <w:spacing w:before="90" w:line="182" w:lineRule="auto"/>
              <w:rPr/>
            </w:pPr>
            <w:r>
              <w:rPr>
                <w:spacing w:val="-2"/>
              </w:rPr>
              <w:t>2.49</w:t>
            </w:r>
          </w:p>
        </w:tc>
        <w:tc>
          <w:tcPr>
            <w:tcW w:w="2116" w:type="dxa"/>
            <w:vAlign w:val="top"/>
          </w:tcPr>
          <w:p>
            <w:pPr>
              <w:pStyle w:val="TableText"/>
              <w:ind w:left="227"/>
              <w:spacing w:before="54" w:line="221" w:lineRule="auto"/>
              <w:rPr/>
            </w:pPr>
            <w:r>
              <w:rPr>
                <w:spacing w:val="-3"/>
              </w:rPr>
              <w:t>增加</w:t>
            </w:r>
            <w:r>
              <w:rPr>
                <w:spacing w:val="-36"/>
              </w:rPr>
              <w:t xml:space="preserve"> </w:t>
            </w:r>
            <w:r>
              <w:rPr>
                <w:spacing w:val="-3"/>
              </w:rPr>
              <w:t>0.48</w:t>
            </w:r>
            <w:r>
              <w:rPr>
                <w:spacing w:val="-47"/>
              </w:rPr>
              <w:t xml:space="preserve"> </w:t>
            </w:r>
            <w:r>
              <w:rPr>
                <w:spacing w:val="-3"/>
              </w:rPr>
              <w:t>个百分点</w:t>
            </w:r>
          </w:p>
        </w:tc>
      </w:tr>
      <w:tr>
        <w:trPr>
          <w:trHeight w:val="316" w:hRule="atLeast"/>
        </w:trPr>
        <w:tc>
          <w:tcPr>
            <w:tcW w:w="3080" w:type="dxa"/>
            <w:vAlign w:val="top"/>
          </w:tcPr>
          <w:p>
            <w:pPr>
              <w:pStyle w:val="TableText"/>
              <w:ind w:left="116"/>
              <w:spacing w:before="55" w:line="220" w:lineRule="auto"/>
              <w:rPr/>
            </w:pPr>
            <w:r>
              <w:rPr>
                <w:spacing w:val="-2"/>
              </w:rPr>
              <w:t>基本每股收益（元/股）</w:t>
            </w:r>
          </w:p>
        </w:tc>
        <w:tc>
          <w:tcPr>
            <w:tcW w:w="2111" w:type="dxa"/>
            <w:vAlign w:val="top"/>
          </w:tcPr>
          <w:p>
            <w:pPr>
              <w:pStyle w:val="TableText"/>
              <w:ind w:left="1485"/>
              <w:spacing w:before="90" w:line="183" w:lineRule="auto"/>
              <w:rPr/>
            </w:pPr>
            <w:r>
              <w:rPr>
                <w:spacing w:val="-2"/>
              </w:rPr>
              <w:t>0.139</w:t>
            </w:r>
          </w:p>
        </w:tc>
        <w:tc>
          <w:tcPr>
            <w:tcW w:w="2390" w:type="dxa"/>
            <w:vAlign w:val="top"/>
          </w:tcPr>
          <w:p>
            <w:pPr>
              <w:pStyle w:val="TableText"/>
              <w:ind w:left="1765"/>
              <w:spacing w:before="90" w:line="183" w:lineRule="auto"/>
              <w:rPr/>
            </w:pPr>
            <w:r>
              <w:rPr>
                <w:spacing w:val="-2"/>
              </w:rPr>
              <w:t>0.114</w:t>
            </w:r>
          </w:p>
        </w:tc>
        <w:tc>
          <w:tcPr>
            <w:tcW w:w="2116" w:type="dxa"/>
            <w:vAlign w:val="top"/>
          </w:tcPr>
          <w:p>
            <w:pPr>
              <w:pStyle w:val="TableText"/>
              <w:ind w:left="1488"/>
              <w:spacing w:before="90" w:line="183" w:lineRule="auto"/>
              <w:rPr/>
            </w:pPr>
            <w:r>
              <w:rPr>
                <w:spacing w:val="-2"/>
              </w:rPr>
              <w:t>21.93</w:t>
            </w:r>
          </w:p>
        </w:tc>
      </w:tr>
      <w:tr>
        <w:trPr>
          <w:trHeight w:val="321" w:hRule="atLeast"/>
        </w:trPr>
        <w:tc>
          <w:tcPr>
            <w:tcW w:w="3080" w:type="dxa"/>
            <w:vAlign w:val="top"/>
          </w:tcPr>
          <w:p>
            <w:pPr>
              <w:pStyle w:val="TableText"/>
              <w:ind w:left="115"/>
              <w:spacing w:before="55" w:line="221" w:lineRule="auto"/>
              <w:rPr/>
            </w:pPr>
            <w:r>
              <w:rPr>
                <w:spacing w:val="-2"/>
              </w:rPr>
              <w:t>稀释每股收益（元/股）</w:t>
            </w:r>
          </w:p>
        </w:tc>
        <w:tc>
          <w:tcPr>
            <w:tcW w:w="2111" w:type="dxa"/>
            <w:vAlign w:val="top"/>
          </w:tcPr>
          <w:p>
            <w:pPr>
              <w:pStyle w:val="TableText"/>
              <w:ind w:left="1485"/>
              <w:spacing w:before="90" w:line="183" w:lineRule="auto"/>
              <w:rPr/>
            </w:pPr>
            <w:r>
              <w:rPr>
                <w:spacing w:val="-2"/>
              </w:rPr>
              <w:t>0.139</w:t>
            </w:r>
          </w:p>
        </w:tc>
        <w:tc>
          <w:tcPr>
            <w:tcW w:w="2390" w:type="dxa"/>
            <w:vAlign w:val="top"/>
          </w:tcPr>
          <w:p>
            <w:pPr>
              <w:pStyle w:val="TableText"/>
              <w:ind w:left="1765"/>
              <w:spacing w:before="90" w:line="183" w:lineRule="auto"/>
              <w:rPr/>
            </w:pPr>
            <w:r>
              <w:rPr>
                <w:spacing w:val="-2"/>
              </w:rPr>
              <w:t>0.114</w:t>
            </w:r>
          </w:p>
        </w:tc>
        <w:tc>
          <w:tcPr>
            <w:tcW w:w="2116" w:type="dxa"/>
            <w:vAlign w:val="top"/>
          </w:tcPr>
          <w:p>
            <w:pPr>
              <w:pStyle w:val="TableText"/>
              <w:ind w:left="1488"/>
              <w:spacing w:before="90" w:line="183" w:lineRule="auto"/>
              <w:rPr/>
            </w:pPr>
            <w:r>
              <w:rPr>
                <w:spacing w:val="-2"/>
              </w:rPr>
              <w:t>21.93</w:t>
            </w:r>
          </w:p>
        </w:tc>
      </w:tr>
    </w:tbl>
    <w:p>
      <w:pPr>
        <w:spacing w:line="301" w:lineRule="auto"/>
        <w:rPr>
          <w:rFonts w:ascii="Arial"/>
          <w:sz w:val="21"/>
        </w:rPr>
      </w:pPr>
      <w:r/>
    </w:p>
    <w:p>
      <w:pPr>
        <w:spacing w:line="302" w:lineRule="auto"/>
        <w:rPr>
          <w:rFonts w:ascii="Arial"/>
          <w:sz w:val="21"/>
        </w:rPr>
      </w:pPr>
      <w:r/>
    </w:p>
    <w:p>
      <w:pPr>
        <w:pStyle w:val="BodyText"/>
        <w:ind w:left="410" w:right="7038" w:hanging="48"/>
        <w:spacing w:before="68" w:line="262" w:lineRule="auto"/>
        <w:rPr/>
      </w:pPr>
      <w:r>
        <w:rPr>
          <w:spacing w:val="-1"/>
        </w:rPr>
        <w:t>非经常性损益项目和金额</w:t>
      </w:r>
      <w:r>
        <w:rPr>
          <w:spacing w:val="2"/>
        </w:rPr>
        <w:t xml:space="preserve"> </w:t>
      </w:r>
      <w:r>
        <w:rPr>
          <w:spacing w:val="-13"/>
        </w:rPr>
        <w:t>√适用</w:t>
      </w:r>
      <w:r>
        <w:rPr>
          <w:spacing w:val="32"/>
        </w:rPr>
        <w:t xml:space="preserve"> </w:t>
      </w:r>
      <w:r>
        <w:rPr>
          <w:spacing w:val="-13"/>
        </w:rPr>
        <w:t>□不适用</w:t>
      </w:r>
    </w:p>
    <w:p>
      <w:pPr>
        <w:pStyle w:val="BodyText"/>
        <w:ind w:left="6927"/>
        <w:spacing w:before="8" w:line="214" w:lineRule="auto"/>
        <w:rPr/>
      </w:pPr>
      <w:r>
        <w:rPr>
          <w:spacing w:val="-7"/>
        </w:rPr>
        <w:t>单位：元</w:t>
      </w:r>
      <w:r>
        <w:rPr>
          <w:spacing w:val="22"/>
        </w:rPr>
        <w:t xml:space="preserve">  </w:t>
      </w:r>
      <w:r>
        <w:rPr>
          <w:spacing w:val="-7"/>
        </w:rPr>
        <w:t>币种：人民币</w:t>
      </w:r>
    </w:p>
    <w:tbl>
      <w:tblPr>
        <w:tblStyle w:val="TableNormal"/>
        <w:tblW w:w="9058" w:type="dxa"/>
        <w:tblInd w:w="29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676"/>
        <w:gridCol w:w="2125"/>
        <w:gridCol w:w="2257"/>
      </w:tblGrid>
      <w:tr>
        <w:trPr>
          <w:trHeight w:val="627" w:hRule="atLeast"/>
        </w:trPr>
        <w:tc>
          <w:tcPr>
            <w:shd w:val="clear" w:fill="D9D9D9"/>
            <w:tcW w:w="4676" w:type="dxa"/>
            <w:vAlign w:val="top"/>
          </w:tcPr>
          <w:p>
            <w:pPr>
              <w:pStyle w:val="TableText"/>
              <w:ind w:left="2138"/>
              <w:spacing w:before="207" w:line="221" w:lineRule="auto"/>
              <w:rPr/>
            </w:pPr>
            <w:r>
              <w:rPr>
                <w:spacing w:val="-3"/>
              </w:rPr>
              <w:t>项目</w:t>
            </w:r>
          </w:p>
        </w:tc>
        <w:tc>
          <w:tcPr>
            <w:shd w:val="clear" w:fill="D9D9D9"/>
            <w:tcW w:w="2125" w:type="dxa"/>
            <w:vAlign w:val="top"/>
          </w:tcPr>
          <w:p>
            <w:pPr>
              <w:pStyle w:val="TableText"/>
              <w:ind w:left="523" w:right="521" w:firstLine="126"/>
              <w:spacing w:before="50" w:line="249" w:lineRule="auto"/>
              <w:rPr/>
            </w:pPr>
            <w:r>
              <w:rPr>
                <w:spacing w:val="-2"/>
              </w:rPr>
              <w:t>本期金额</w:t>
            </w:r>
            <w:r>
              <w:rPr/>
              <w:t xml:space="preserve">  </w:t>
            </w:r>
            <w:r>
              <w:rPr>
                <w:spacing w:val="-7"/>
              </w:rPr>
              <w:t>（7－9</w:t>
            </w:r>
            <w:r>
              <w:rPr>
                <w:spacing w:val="-39"/>
              </w:rPr>
              <w:t xml:space="preserve"> </w:t>
            </w:r>
            <w:r>
              <w:rPr>
                <w:spacing w:val="-7"/>
              </w:rPr>
              <w:t>月）</w:t>
            </w:r>
          </w:p>
        </w:tc>
        <w:tc>
          <w:tcPr>
            <w:shd w:val="clear" w:fill="D9D9D9"/>
            <w:tcW w:w="2257" w:type="dxa"/>
            <w:vAlign w:val="top"/>
          </w:tcPr>
          <w:p>
            <w:pPr>
              <w:pStyle w:val="TableText"/>
              <w:ind w:left="191"/>
              <w:spacing w:before="51" w:line="219" w:lineRule="auto"/>
              <w:rPr/>
            </w:pPr>
            <w:r>
              <w:rPr>
                <w:spacing w:val="-1"/>
              </w:rPr>
              <w:t>年初至报告期末金额</w:t>
            </w:r>
          </w:p>
          <w:p>
            <w:pPr>
              <w:pStyle w:val="TableText"/>
              <w:ind w:left="642"/>
              <w:spacing w:before="62" w:line="221" w:lineRule="auto"/>
              <w:rPr/>
            </w:pPr>
            <w:r>
              <w:rPr>
                <w:spacing w:val="-4"/>
              </w:rPr>
              <w:t>（1-9</w:t>
            </w:r>
            <w:r>
              <w:rPr>
                <w:spacing w:val="-42"/>
              </w:rPr>
              <w:t xml:space="preserve"> </w:t>
            </w:r>
            <w:r>
              <w:rPr>
                <w:spacing w:val="-4"/>
              </w:rPr>
              <w:t>月）</w:t>
            </w:r>
          </w:p>
        </w:tc>
      </w:tr>
      <w:tr>
        <w:trPr>
          <w:trHeight w:val="315" w:hRule="atLeast"/>
        </w:trPr>
        <w:tc>
          <w:tcPr>
            <w:tcW w:w="4676" w:type="dxa"/>
            <w:vAlign w:val="top"/>
          </w:tcPr>
          <w:p>
            <w:pPr>
              <w:pStyle w:val="TableText"/>
              <w:ind w:left="119"/>
              <w:spacing w:before="52" w:line="221" w:lineRule="auto"/>
              <w:rPr/>
            </w:pPr>
            <w:r>
              <w:rPr>
                <w:spacing w:val="-1"/>
              </w:rPr>
              <w:t>非流动资产处置损益</w:t>
            </w:r>
          </w:p>
        </w:tc>
        <w:tc>
          <w:tcPr>
            <w:tcW w:w="2125" w:type="dxa"/>
            <w:vAlign w:val="top"/>
          </w:tcPr>
          <w:p>
            <w:pPr>
              <w:pStyle w:val="TableText"/>
              <w:ind w:left="878"/>
              <w:spacing w:before="86" w:line="183" w:lineRule="auto"/>
              <w:rPr/>
            </w:pPr>
            <w:r>
              <w:rPr>
                <w:spacing w:val="-2"/>
              </w:rPr>
              <w:t>160,200,422</w:t>
            </w:r>
          </w:p>
        </w:tc>
        <w:tc>
          <w:tcPr>
            <w:tcW w:w="2257" w:type="dxa"/>
            <w:vAlign w:val="top"/>
          </w:tcPr>
          <w:p>
            <w:pPr>
              <w:pStyle w:val="TableText"/>
              <w:ind w:left="998"/>
              <w:spacing w:before="86" w:line="183" w:lineRule="auto"/>
              <w:rPr/>
            </w:pPr>
            <w:r>
              <w:rPr>
                <w:spacing w:val="-1"/>
              </w:rPr>
              <w:t>311,512,997</w:t>
            </w:r>
          </w:p>
        </w:tc>
      </w:tr>
      <w:tr>
        <w:trPr>
          <w:trHeight w:val="631" w:hRule="atLeast"/>
        </w:trPr>
        <w:tc>
          <w:tcPr>
            <w:tcW w:w="4676" w:type="dxa"/>
            <w:vAlign w:val="top"/>
          </w:tcPr>
          <w:p>
            <w:pPr>
              <w:pStyle w:val="TableText"/>
              <w:ind w:left="117" w:right="148" w:hanging="1"/>
              <w:spacing w:before="54" w:line="249" w:lineRule="auto"/>
              <w:rPr/>
            </w:pPr>
            <w:r>
              <w:rPr>
                <w:spacing w:val="-1"/>
              </w:rPr>
              <w:t>计入当期损益的政府补助，但与公司正常经营业</w:t>
            </w:r>
            <w:r>
              <w:rPr>
                <w:spacing w:val="16"/>
              </w:rPr>
              <w:t xml:space="preserve"> </w:t>
            </w:r>
            <w:r>
              <w:rPr>
                <w:spacing w:val="-1"/>
              </w:rPr>
              <w:t>务密切相关，符合国家政策规定、按照一定标准</w:t>
            </w:r>
          </w:p>
        </w:tc>
        <w:tc>
          <w:tcPr>
            <w:tcW w:w="2125" w:type="dxa"/>
            <w:vAlign w:val="top"/>
          </w:tcPr>
          <w:p>
            <w:pPr>
              <w:pStyle w:val="TableText"/>
              <w:ind w:left="1075"/>
              <w:spacing w:before="88" w:line="183" w:lineRule="auto"/>
              <w:rPr/>
            </w:pPr>
            <w:r>
              <w:rPr>
                <w:spacing w:val="-2"/>
              </w:rPr>
              <w:t>3,608,144</w:t>
            </w:r>
          </w:p>
        </w:tc>
        <w:tc>
          <w:tcPr>
            <w:tcW w:w="2257" w:type="dxa"/>
            <w:vAlign w:val="top"/>
          </w:tcPr>
          <w:p>
            <w:pPr>
              <w:pStyle w:val="TableText"/>
              <w:ind w:left="1099"/>
              <w:spacing w:before="89" w:line="182" w:lineRule="auto"/>
              <w:rPr/>
            </w:pPr>
            <w:r>
              <w:rPr>
                <w:spacing w:val="-1"/>
              </w:rPr>
              <w:t>29,834,274</w:t>
            </w:r>
          </w:p>
        </w:tc>
      </w:tr>
    </w:tbl>
    <w:p>
      <w:pPr>
        <w:rPr>
          <w:rFonts w:ascii="Arial"/>
          <w:sz w:val="21"/>
        </w:rPr>
      </w:pPr>
      <w:r/>
    </w:p>
    <w:p>
      <w:pPr>
        <w:sectPr>
          <w:headerReference w:type="default" r:id="rId4"/>
          <w:footerReference w:type="default" r:id="rId5"/>
          <w:pgSz w:w="11907" w:h="16839"/>
          <w:pgMar w:top="1374" w:right="801" w:bottom="1431" w:left="1402" w:header="835" w:footer="1212" w:gutter="0"/>
        </w:sectPr>
        <w:rPr>
          <w:rFonts w:ascii="Arial" w:hAnsi="Arial" w:eastAsia="Arial" w:cs="Arial"/>
          <w:sz w:val="21"/>
          <w:szCs w:val="21"/>
        </w:rPr>
      </w:pPr>
    </w:p>
    <w:p>
      <w:pPr>
        <w:spacing w:line="149" w:lineRule="exact"/>
        <w:rPr/>
      </w:pPr>
      <w:r/>
    </w:p>
    <w:tbl>
      <w:tblPr>
        <w:tblStyle w:val="TableNormal"/>
        <w:tblW w:w="9058" w:type="dxa"/>
        <w:tblInd w:w="116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676"/>
        <w:gridCol w:w="2125"/>
        <w:gridCol w:w="2257"/>
      </w:tblGrid>
      <w:tr>
        <w:trPr>
          <w:trHeight w:val="323" w:hRule="atLeast"/>
        </w:trPr>
        <w:tc>
          <w:tcPr>
            <w:tcW w:w="4676" w:type="dxa"/>
            <w:vAlign w:val="top"/>
          </w:tcPr>
          <w:p>
            <w:pPr>
              <w:pStyle w:val="TableText"/>
              <w:ind w:left="121"/>
              <w:spacing w:before="58" w:line="220" w:lineRule="auto"/>
              <w:rPr/>
            </w:pPr>
            <w:r>
              <w:rPr>
                <w:spacing w:val="-1"/>
              </w:rPr>
              <w:t>定额或定量持续享受的政府补助除外</w:t>
            </w:r>
          </w:p>
        </w:tc>
        <w:tc>
          <w:tcPr>
            <w:tcW w:w="2125" w:type="dxa"/>
            <w:vAlign w:val="top"/>
          </w:tcPr>
          <w:p>
            <w:pPr>
              <w:rPr>
                <w:rFonts w:ascii="Arial"/>
                <w:sz w:val="21"/>
              </w:rPr>
            </w:pPr>
            <w:r/>
          </w:p>
        </w:tc>
        <w:tc>
          <w:tcPr>
            <w:tcW w:w="2257" w:type="dxa"/>
            <w:vAlign w:val="top"/>
          </w:tcPr>
          <w:p>
            <w:pPr>
              <w:rPr>
                <w:rFonts w:ascii="Arial"/>
                <w:sz w:val="21"/>
              </w:rPr>
            </w:pPr>
            <w:r/>
          </w:p>
        </w:tc>
      </w:tr>
      <w:tr>
        <w:trPr>
          <w:trHeight w:val="316" w:hRule="atLeast"/>
        </w:trPr>
        <w:tc>
          <w:tcPr>
            <w:tcW w:w="4676" w:type="dxa"/>
            <w:vAlign w:val="top"/>
          </w:tcPr>
          <w:p>
            <w:pPr>
              <w:pStyle w:val="TableText"/>
              <w:ind w:left="128"/>
              <w:spacing w:before="51" w:line="221" w:lineRule="auto"/>
              <w:rPr/>
            </w:pPr>
            <w:r>
              <w:rPr>
                <w:spacing w:val="-1"/>
              </w:rPr>
              <w:t>除上述各项之外的其他营业外收入和支出</w:t>
            </w:r>
          </w:p>
        </w:tc>
        <w:tc>
          <w:tcPr>
            <w:tcW w:w="2125" w:type="dxa"/>
            <w:vAlign w:val="top"/>
          </w:tcPr>
          <w:p>
            <w:pPr>
              <w:pStyle w:val="TableText"/>
              <w:ind w:left="966"/>
              <w:spacing w:before="87" w:line="182" w:lineRule="auto"/>
              <w:rPr/>
            </w:pPr>
            <w:r>
              <w:rPr>
                <w:spacing w:val="-1"/>
              </w:rPr>
              <w:t>84,042,845</w:t>
            </w:r>
          </w:p>
        </w:tc>
        <w:tc>
          <w:tcPr>
            <w:tcW w:w="2257" w:type="dxa"/>
            <w:vAlign w:val="top"/>
          </w:tcPr>
          <w:p>
            <w:pPr>
              <w:pStyle w:val="TableText"/>
              <w:ind w:left="998"/>
              <w:spacing w:before="86" w:line="183" w:lineRule="auto"/>
              <w:rPr/>
            </w:pPr>
            <w:r>
              <w:rPr>
                <w:spacing w:val="-1"/>
              </w:rPr>
              <w:t>366,491,348</w:t>
            </w:r>
          </w:p>
        </w:tc>
      </w:tr>
      <w:tr>
        <w:trPr>
          <w:trHeight w:val="316" w:hRule="atLeast"/>
        </w:trPr>
        <w:tc>
          <w:tcPr>
            <w:tcW w:w="4676" w:type="dxa"/>
            <w:vAlign w:val="top"/>
          </w:tcPr>
          <w:p>
            <w:pPr>
              <w:pStyle w:val="TableText"/>
              <w:ind w:left="116"/>
              <w:spacing w:before="52" w:line="221" w:lineRule="auto"/>
              <w:rPr/>
            </w:pPr>
            <w:r>
              <w:rPr>
                <w:spacing w:val="-1"/>
              </w:rPr>
              <w:t>其他符合非经常性损益定义的损益项目</w:t>
            </w:r>
          </w:p>
        </w:tc>
        <w:tc>
          <w:tcPr>
            <w:tcW w:w="2125" w:type="dxa"/>
            <w:vAlign w:val="top"/>
          </w:tcPr>
          <w:p>
            <w:pPr>
              <w:pStyle w:val="TableText"/>
              <w:ind w:left="865"/>
              <w:spacing w:before="87" w:line="183" w:lineRule="auto"/>
              <w:rPr/>
            </w:pPr>
            <w:r>
              <w:rPr>
                <w:spacing w:val="-1"/>
              </w:rPr>
              <w:t>207,647,541</w:t>
            </w:r>
          </w:p>
        </w:tc>
        <w:tc>
          <w:tcPr>
            <w:tcW w:w="2257" w:type="dxa"/>
            <w:vAlign w:val="top"/>
          </w:tcPr>
          <w:p>
            <w:pPr>
              <w:pStyle w:val="TableText"/>
              <w:ind w:left="998"/>
              <w:spacing w:before="88" w:line="182" w:lineRule="auto"/>
              <w:rPr/>
            </w:pPr>
            <w:r>
              <w:rPr>
                <w:spacing w:val="-1"/>
              </w:rPr>
              <w:t>337,954,436</w:t>
            </w:r>
          </w:p>
        </w:tc>
      </w:tr>
      <w:tr>
        <w:trPr>
          <w:trHeight w:val="315" w:hRule="atLeast"/>
        </w:trPr>
        <w:tc>
          <w:tcPr>
            <w:tcW w:w="4676" w:type="dxa"/>
            <w:vAlign w:val="top"/>
          </w:tcPr>
          <w:p>
            <w:pPr>
              <w:pStyle w:val="TableText"/>
              <w:ind w:left="116"/>
              <w:spacing w:before="53" w:line="221" w:lineRule="auto"/>
              <w:rPr/>
            </w:pPr>
            <w:r>
              <w:rPr>
                <w:spacing w:val="-2"/>
              </w:rPr>
              <w:t>少数股东权益影响额（税后）</w:t>
            </w:r>
          </w:p>
        </w:tc>
        <w:tc>
          <w:tcPr>
            <w:tcW w:w="2125" w:type="dxa"/>
            <w:vAlign w:val="top"/>
          </w:tcPr>
          <w:p>
            <w:pPr>
              <w:pStyle w:val="TableText"/>
              <w:ind w:left="762"/>
              <w:spacing w:before="87" w:line="183" w:lineRule="auto"/>
              <w:rPr/>
            </w:pPr>
            <w:r>
              <w:rPr>
                <w:spacing w:val="-1"/>
              </w:rPr>
              <w:t>-195,450,851</w:t>
            </w:r>
          </w:p>
        </w:tc>
        <w:tc>
          <w:tcPr>
            <w:tcW w:w="2257" w:type="dxa"/>
            <w:vAlign w:val="top"/>
          </w:tcPr>
          <w:p>
            <w:pPr>
              <w:pStyle w:val="TableText"/>
              <w:ind w:left="891"/>
              <w:spacing w:before="88" w:line="182" w:lineRule="auto"/>
              <w:rPr/>
            </w:pPr>
            <w:r>
              <w:rPr>
                <w:spacing w:val="-1"/>
              </w:rPr>
              <w:t>-442,989,255</w:t>
            </w:r>
          </w:p>
        </w:tc>
      </w:tr>
      <w:tr>
        <w:trPr>
          <w:trHeight w:val="316" w:hRule="atLeast"/>
        </w:trPr>
        <w:tc>
          <w:tcPr>
            <w:tcW w:w="4676" w:type="dxa"/>
            <w:vAlign w:val="top"/>
          </w:tcPr>
          <w:p>
            <w:pPr>
              <w:pStyle w:val="TableText"/>
              <w:ind w:left="116"/>
              <w:spacing w:before="54" w:line="221" w:lineRule="auto"/>
              <w:rPr/>
            </w:pPr>
            <w:r>
              <w:rPr>
                <w:spacing w:val="-1"/>
              </w:rPr>
              <w:t>所得税影响额</w:t>
            </w:r>
          </w:p>
        </w:tc>
        <w:tc>
          <w:tcPr>
            <w:tcW w:w="2125" w:type="dxa"/>
            <w:vAlign w:val="top"/>
          </w:tcPr>
          <w:p>
            <w:pPr>
              <w:pStyle w:val="TableText"/>
              <w:ind w:left="762"/>
              <w:spacing w:before="89" w:line="183" w:lineRule="auto"/>
              <w:rPr/>
            </w:pPr>
            <w:r>
              <w:rPr>
                <w:spacing w:val="-1"/>
              </w:rPr>
              <w:t>-106,853,623</w:t>
            </w:r>
          </w:p>
        </w:tc>
        <w:tc>
          <w:tcPr>
            <w:tcW w:w="2257" w:type="dxa"/>
            <w:vAlign w:val="top"/>
          </w:tcPr>
          <w:p>
            <w:pPr>
              <w:pStyle w:val="TableText"/>
              <w:ind w:left="891"/>
              <w:spacing w:before="89" w:line="183" w:lineRule="auto"/>
              <w:rPr/>
            </w:pPr>
            <w:r>
              <w:rPr>
                <w:spacing w:val="-1"/>
              </w:rPr>
              <w:t>-255,588,591</w:t>
            </w:r>
          </w:p>
        </w:tc>
      </w:tr>
      <w:tr>
        <w:trPr>
          <w:trHeight w:val="323" w:hRule="atLeast"/>
        </w:trPr>
        <w:tc>
          <w:tcPr>
            <w:tcW w:w="4676" w:type="dxa"/>
            <w:vAlign w:val="top"/>
          </w:tcPr>
          <w:p>
            <w:pPr>
              <w:pStyle w:val="TableText"/>
              <w:ind w:left="2135"/>
              <w:spacing w:before="55" w:line="222" w:lineRule="auto"/>
              <w:rPr/>
            </w:pPr>
            <w:r>
              <w:rPr>
                <w:spacing w:val="-2"/>
              </w:rPr>
              <w:t>合计</w:t>
            </w:r>
          </w:p>
        </w:tc>
        <w:tc>
          <w:tcPr>
            <w:tcW w:w="2125" w:type="dxa"/>
            <w:vAlign w:val="top"/>
          </w:tcPr>
          <w:p>
            <w:pPr>
              <w:pStyle w:val="TableText"/>
              <w:ind w:left="885"/>
              <w:spacing w:before="89" w:line="183" w:lineRule="auto"/>
              <w:rPr/>
            </w:pPr>
            <w:r>
              <w:rPr>
                <w:spacing w:val="-2"/>
              </w:rPr>
              <w:t>153,194,478</w:t>
            </w:r>
          </w:p>
        </w:tc>
        <w:tc>
          <w:tcPr>
            <w:tcW w:w="2257" w:type="dxa"/>
            <w:vAlign w:val="top"/>
          </w:tcPr>
          <w:p>
            <w:pPr>
              <w:pStyle w:val="TableText"/>
              <w:ind w:left="1003"/>
              <w:spacing w:before="89" w:line="183" w:lineRule="auto"/>
              <w:rPr/>
            </w:pPr>
            <w:r>
              <w:rPr>
                <w:spacing w:val="-1"/>
              </w:rPr>
              <w:t>347,215,209</w:t>
            </w:r>
          </w:p>
        </w:tc>
      </w:tr>
    </w:tbl>
    <w:p>
      <w:pPr>
        <w:spacing w:line="462" w:lineRule="auto"/>
        <w:rPr>
          <w:rFonts w:ascii="Arial"/>
          <w:sz w:val="21"/>
        </w:rPr>
      </w:pPr>
      <w:r/>
    </w:p>
    <w:p>
      <w:pPr>
        <w:pStyle w:val="BodyText"/>
        <w:ind w:left="9280" w:right="674" w:hanging="8040"/>
        <w:spacing w:before="69" w:line="317" w:lineRule="auto"/>
        <w:rPr/>
      </w:pPr>
      <w:r>
        <w:rPr/>
        <w:t>2.2 截止报告期末的股东总数、前十名股东、前十名流通股东（或无限售条件股东）持</w:t>
      </w:r>
      <w:r>
        <w:rPr>
          <w:spacing w:val="-1"/>
        </w:rPr>
        <w:t>股情况表</w:t>
      </w:r>
      <w:r>
        <w:rPr/>
        <w:t xml:space="preserve"> </w:t>
      </w:r>
      <w:r>
        <w:rPr>
          <w:spacing w:val="-3"/>
        </w:rPr>
        <w:t>单位：股</w:t>
      </w:r>
    </w:p>
    <w:tbl>
      <w:tblPr>
        <w:tblStyle w:val="TableNormal"/>
        <w:tblW w:w="1078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80"/>
        <w:gridCol w:w="1701"/>
        <w:gridCol w:w="707"/>
        <w:gridCol w:w="1701"/>
        <w:gridCol w:w="1133"/>
        <w:gridCol w:w="1418"/>
        <w:gridCol w:w="1140"/>
      </w:tblGrid>
      <w:tr>
        <w:trPr>
          <w:trHeight w:val="314" w:hRule="atLeast"/>
        </w:trPr>
        <w:tc>
          <w:tcPr>
            <w:shd w:val="clear" w:fill="D9D9D9"/>
            <w:tcW w:w="5388" w:type="dxa"/>
            <w:vAlign w:val="top"/>
            <w:gridSpan w:val="3"/>
          </w:tcPr>
          <w:p>
            <w:pPr>
              <w:pStyle w:val="TableText"/>
              <w:ind w:left="63"/>
              <w:spacing w:before="50" w:line="221" w:lineRule="auto"/>
              <w:rPr/>
            </w:pPr>
            <w:r>
              <w:rPr>
                <w:spacing w:val="-3"/>
              </w:rPr>
              <w:t>股东总数（户）</w:t>
            </w:r>
          </w:p>
        </w:tc>
        <w:tc>
          <w:tcPr>
            <w:tcW w:w="5392" w:type="dxa"/>
            <w:vAlign w:val="top"/>
            <w:gridSpan w:val="4"/>
          </w:tcPr>
          <w:p>
            <w:pPr>
              <w:pStyle w:val="TableText"/>
              <w:ind w:left="4605"/>
              <w:spacing w:before="86" w:line="182" w:lineRule="auto"/>
              <w:rPr/>
            </w:pPr>
            <w:r>
              <w:rPr>
                <w:spacing w:val="-1"/>
              </w:rPr>
              <w:t>650,727</w:t>
            </w:r>
          </w:p>
        </w:tc>
      </w:tr>
      <w:tr>
        <w:trPr>
          <w:trHeight w:val="312" w:hRule="atLeast"/>
        </w:trPr>
        <w:tc>
          <w:tcPr>
            <w:shd w:val="clear" w:fill="D9D9D9"/>
            <w:tcW w:w="10780" w:type="dxa"/>
            <w:vAlign w:val="top"/>
            <w:gridSpan w:val="7"/>
          </w:tcPr>
          <w:p>
            <w:pPr>
              <w:pStyle w:val="TableText"/>
              <w:ind w:left="4452"/>
              <w:spacing w:before="48" w:line="221" w:lineRule="auto"/>
              <w:rPr/>
            </w:pPr>
            <w:r>
              <w:rPr>
                <w:spacing w:val="-1"/>
              </w:rPr>
              <w:t>前十名股东持股情况</w:t>
            </w:r>
          </w:p>
        </w:tc>
      </w:tr>
      <w:tr>
        <w:trPr>
          <w:trHeight w:val="312" w:hRule="atLeast"/>
        </w:trPr>
        <w:tc>
          <w:tcPr>
            <w:shd w:val="clear" w:fill="D9D9D9"/>
            <w:tcW w:w="2980" w:type="dxa"/>
            <w:vAlign w:val="top"/>
            <w:vMerge w:val="restart"/>
            <w:tcBorders>
              <w:bottom w:val="nil"/>
            </w:tcBorders>
          </w:tcPr>
          <w:p>
            <w:pPr>
              <w:pStyle w:val="TableText"/>
              <w:ind w:left="1080" w:right="1066" w:hanging="6"/>
              <w:spacing w:before="52" w:line="250" w:lineRule="auto"/>
              <w:rPr/>
            </w:pPr>
            <w:r>
              <w:rPr>
                <w:spacing w:val="-2"/>
              </w:rPr>
              <w:t>股东名称</w:t>
            </w:r>
            <w:r>
              <w:rPr>
                <w:spacing w:val="1"/>
              </w:rPr>
              <w:t xml:space="preserve"> </w:t>
            </w:r>
            <w:r>
              <w:rPr>
                <w:spacing w:val="-6"/>
              </w:rPr>
              <w:t>（全称）</w:t>
            </w:r>
          </w:p>
        </w:tc>
        <w:tc>
          <w:tcPr>
            <w:shd w:val="clear" w:fill="D9D9D9"/>
            <w:tcW w:w="1701" w:type="dxa"/>
            <w:vAlign w:val="top"/>
            <w:vMerge w:val="restart"/>
            <w:tcBorders>
              <w:bottom w:val="nil"/>
            </w:tcBorders>
          </w:tcPr>
          <w:p>
            <w:pPr>
              <w:pStyle w:val="TableText"/>
              <w:ind w:left="228"/>
              <w:spacing w:before="207" w:line="221" w:lineRule="auto"/>
              <w:rPr/>
            </w:pPr>
            <w:r>
              <w:rPr>
                <w:spacing w:val="-2"/>
              </w:rPr>
              <w:t>期末持股数量</w:t>
            </w:r>
          </w:p>
        </w:tc>
        <w:tc>
          <w:tcPr>
            <w:shd w:val="clear" w:fill="D9D9D9"/>
            <w:tcW w:w="707" w:type="dxa"/>
            <w:vAlign w:val="top"/>
            <w:vMerge w:val="restart"/>
            <w:tcBorders>
              <w:bottom w:val="nil"/>
            </w:tcBorders>
          </w:tcPr>
          <w:p>
            <w:pPr>
              <w:pStyle w:val="TableText"/>
              <w:ind w:left="238" w:right="138" w:hanging="66"/>
              <w:spacing w:before="52" w:line="250" w:lineRule="auto"/>
              <w:rPr/>
            </w:pPr>
            <w:r>
              <w:rPr>
                <w:spacing w:val="-15"/>
              </w:rPr>
              <w:t>比例</w:t>
            </w:r>
            <w:r>
              <w:rPr/>
              <w:t xml:space="preserve"> </w:t>
            </w:r>
            <w:r>
              <w:rPr>
                <w:spacing w:val="-10"/>
              </w:rPr>
              <w:t>(%)</w:t>
            </w:r>
          </w:p>
        </w:tc>
        <w:tc>
          <w:tcPr>
            <w:shd w:val="clear" w:fill="D9D9D9"/>
            <w:tcW w:w="1701" w:type="dxa"/>
            <w:vAlign w:val="top"/>
            <w:vMerge w:val="restart"/>
            <w:tcBorders>
              <w:bottom w:val="nil"/>
            </w:tcBorders>
          </w:tcPr>
          <w:p>
            <w:pPr>
              <w:pStyle w:val="TableText"/>
              <w:ind w:left="64" w:right="166" w:firstLine="2"/>
              <w:spacing w:before="52" w:line="250" w:lineRule="auto"/>
              <w:rPr/>
            </w:pPr>
            <w:r>
              <w:rPr>
                <w:spacing w:val="-2"/>
              </w:rPr>
              <w:t>持有有限售条件</w:t>
            </w:r>
            <w:r>
              <w:rPr>
                <w:spacing w:val="5"/>
              </w:rPr>
              <w:t xml:space="preserve"> </w:t>
            </w:r>
            <w:r>
              <w:rPr>
                <w:spacing w:val="-2"/>
              </w:rPr>
              <w:t>股份数量</w:t>
            </w:r>
          </w:p>
        </w:tc>
        <w:tc>
          <w:tcPr>
            <w:shd w:val="clear" w:fill="D9D9D9"/>
            <w:tcW w:w="2551" w:type="dxa"/>
            <w:vAlign w:val="top"/>
            <w:gridSpan w:val="2"/>
          </w:tcPr>
          <w:p>
            <w:pPr>
              <w:pStyle w:val="TableText"/>
              <w:ind w:left="548"/>
              <w:spacing w:before="49" w:line="221" w:lineRule="auto"/>
              <w:rPr/>
            </w:pPr>
            <w:r>
              <w:rPr>
                <w:spacing w:val="-1"/>
              </w:rPr>
              <w:t>质押或冻结情况</w:t>
            </w:r>
          </w:p>
        </w:tc>
        <w:tc>
          <w:tcPr>
            <w:shd w:val="clear" w:fill="D9D9D9"/>
            <w:tcW w:w="1140" w:type="dxa"/>
            <w:vAlign w:val="top"/>
            <w:vMerge w:val="restart"/>
            <w:tcBorders>
              <w:bottom w:val="nil"/>
            </w:tcBorders>
          </w:tcPr>
          <w:p>
            <w:pPr>
              <w:pStyle w:val="TableText"/>
              <w:ind w:left="154"/>
              <w:spacing w:before="207" w:line="221" w:lineRule="auto"/>
              <w:rPr/>
            </w:pPr>
            <w:r>
              <w:rPr>
                <w:spacing w:val="-2"/>
              </w:rPr>
              <w:t>股东性质</w:t>
            </w:r>
          </w:p>
        </w:tc>
      </w:tr>
      <w:tr>
        <w:trPr>
          <w:trHeight w:val="314" w:hRule="atLeast"/>
        </w:trPr>
        <w:tc>
          <w:tcPr>
            <w:tcW w:w="2980" w:type="dxa"/>
            <w:vAlign w:val="top"/>
            <w:vMerge w:val="continue"/>
            <w:tcBorders>
              <w:top w:val="nil"/>
            </w:tcBorders>
          </w:tcPr>
          <w:p>
            <w:pPr>
              <w:rPr>
                <w:rFonts w:ascii="Arial"/>
                <w:sz w:val="21"/>
              </w:rPr>
            </w:pPr>
            <w:r/>
          </w:p>
        </w:tc>
        <w:tc>
          <w:tcPr>
            <w:tcW w:w="1701" w:type="dxa"/>
            <w:vAlign w:val="top"/>
            <w:vMerge w:val="continue"/>
            <w:tcBorders>
              <w:top w:val="nil"/>
            </w:tcBorders>
          </w:tcPr>
          <w:p>
            <w:pPr>
              <w:rPr>
                <w:rFonts w:ascii="Arial"/>
                <w:sz w:val="21"/>
              </w:rPr>
            </w:pPr>
            <w:r/>
          </w:p>
        </w:tc>
        <w:tc>
          <w:tcPr>
            <w:tcW w:w="707" w:type="dxa"/>
            <w:vAlign w:val="top"/>
            <w:vMerge w:val="continue"/>
            <w:tcBorders>
              <w:top w:val="nil"/>
            </w:tcBorders>
          </w:tcPr>
          <w:p>
            <w:pPr>
              <w:rPr>
                <w:rFonts w:ascii="Arial"/>
                <w:sz w:val="21"/>
              </w:rPr>
            </w:pPr>
            <w:r/>
          </w:p>
        </w:tc>
        <w:tc>
          <w:tcPr>
            <w:tcW w:w="1701" w:type="dxa"/>
            <w:vAlign w:val="top"/>
            <w:vMerge w:val="continue"/>
            <w:tcBorders>
              <w:top w:val="nil"/>
            </w:tcBorders>
          </w:tcPr>
          <w:p>
            <w:pPr>
              <w:rPr>
                <w:rFonts w:ascii="Arial"/>
                <w:sz w:val="21"/>
              </w:rPr>
            </w:pPr>
            <w:r/>
          </w:p>
        </w:tc>
        <w:tc>
          <w:tcPr>
            <w:shd w:val="clear" w:fill="D9D9D9"/>
            <w:tcW w:w="1133" w:type="dxa"/>
            <w:vAlign w:val="top"/>
          </w:tcPr>
          <w:p>
            <w:pPr>
              <w:pStyle w:val="TableText"/>
              <w:ind w:left="154"/>
              <w:spacing w:before="48" w:line="221" w:lineRule="auto"/>
              <w:rPr/>
            </w:pPr>
            <w:r>
              <w:rPr>
                <w:spacing w:val="-2"/>
              </w:rPr>
              <w:t>股份状态</w:t>
            </w:r>
          </w:p>
        </w:tc>
        <w:tc>
          <w:tcPr>
            <w:shd w:val="clear" w:fill="D9D9D9"/>
            <w:tcW w:w="1418" w:type="dxa"/>
            <w:vAlign w:val="top"/>
          </w:tcPr>
          <w:p>
            <w:pPr>
              <w:pStyle w:val="TableText"/>
              <w:ind w:left="508"/>
              <w:spacing w:before="48" w:line="221" w:lineRule="auto"/>
              <w:rPr/>
            </w:pPr>
            <w:r>
              <w:rPr>
                <w:spacing w:val="-2"/>
              </w:rPr>
              <w:t>数量</w:t>
            </w:r>
          </w:p>
        </w:tc>
        <w:tc>
          <w:tcPr>
            <w:tcW w:w="1140" w:type="dxa"/>
            <w:vAlign w:val="top"/>
            <w:vMerge w:val="continue"/>
            <w:tcBorders>
              <w:top w:val="nil"/>
            </w:tcBorders>
          </w:tcPr>
          <w:p>
            <w:pPr>
              <w:rPr>
                <w:rFonts w:ascii="Arial"/>
                <w:sz w:val="21"/>
              </w:rPr>
            </w:pPr>
            <w:r/>
          </w:p>
        </w:tc>
      </w:tr>
      <w:tr>
        <w:trPr>
          <w:trHeight w:val="319" w:hRule="atLeast"/>
        </w:trPr>
        <w:tc>
          <w:tcPr>
            <w:tcW w:w="2980" w:type="dxa"/>
            <w:vAlign w:val="top"/>
          </w:tcPr>
          <w:p>
            <w:pPr>
              <w:pStyle w:val="TableText"/>
              <w:ind w:left="134"/>
              <w:spacing w:before="57" w:line="228" w:lineRule="auto"/>
              <w:rPr>
                <w:sz w:val="19"/>
                <w:szCs w:val="19"/>
              </w:rPr>
            </w:pPr>
            <w:r>
              <w:rPr>
                <w:sz w:val="19"/>
                <w:szCs w:val="19"/>
                <w:spacing w:val="8"/>
              </w:rPr>
              <w:t>中国联合网络通信集团有限公司</w:t>
            </w:r>
          </w:p>
        </w:tc>
        <w:tc>
          <w:tcPr>
            <w:tcW w:w="1701" w:type="dxa"/>
            <w:vAlign w:val="top"/>
          </w:tcPr>
          <w:p>
            <w:pPr>
              <w:pStyle w:val="TableText"/>
              <w:ind w:left="170"/>
              <w:spacing w:before="89" w:line="189" w:lineRule="auto"/>
              <w:rPr>
                <w:sz w:val="19"/>
                <w:szCs w:val="19"/>
              </w:rPr>
            </w:pPr>
            <w:r>
              <w:rPr>
                <w:sz w:val="19"/>
                <w:szCs w:val="19"/>
                <w:spacing w:val="3"/>
              </w:rPr>
              <w:t>11,399,724,220</w:t>
            </w:r>
          </w:p>
        </w:tc>
        <w:tc>
          <w:tcPr>
            <w:tcW w:w="707" w:type="dxa"/>
            <w:vAlign w:val="top"/>
          </w:tcPr>
          <w:p>
            <w:pPr>
              <w:pStyle w:val="TableText"/>
              <w:ind w:left="162"/>
              <w:spacing w:before="91" w:line="187" w:lineRule="auto"/>
              <w:rPr>
                <w:sz w:val="19"/>
                <w:szCs w:val="19"/>
              </w:rPr>
            </w:pPr>
            <w:r>
              <w:rPr>
                <w:sz w:val="19"/>
                <w:szCs w:val="19"/>
                <w:spacing w:val="2"/>
              </w:rPr>
              <w:t>36.7</w:t>
            </w:r>
          </w:p>
        </w:tc>
        <w:tc>
          <w:tcPr>
            <w:tcW w:w="1701" w:type="dxa"/>
            <w:vAlign w:val="top"/>
          </w:tcPr>
          <w:p>
            <w:pPr>
              <w:pStyle w:val="TableText"/>
              <w:ind w:left="807"/>
              <w:spacing w:before="91" w:line="187" w:lineRule="auto"/>
              <w:rPr>
                <w:sz w:val="19"/>
                <w:szCs w:val="19"/>
              </w:rPr>
            </w:pPr>
            <w:r>
              <w:rPr>
                <w:sz w:val="19"/>
                <w:szCs w:val="19"/>
              </w:rPr>
              <w:t>0</w:t>
            </w:r>
          </w:p>
        </w:tc>
        <w:tc>
          <w:tcPr>
            <w:tcW w:w="1133" w:type="dxa"/>
            <w:vAlign w:val="top"/>
          </w:tcPr>
          <w:p>
            <w:pPr>
              <w:pStyle w:val="TableText"/>
              <w:ind w:left="474"/>
              <w:spacing w:before="57" w:line="229" w:lineRule="auto"/>
              <w:rPr>
                <w:sz w:val="19"/>
                <w:szCs w:val="19"/>
              </w:rPr>
            </w:pPr>
            <w:r>
              <w:rPr>
                <w:sz w:val="19"/>
                <w:szCs w:val="19"/>
              </w:rPr>
              <w:t>无</w:t>
            </w:r>
          </w:p>
        </w:tc>
        <w:tc>
          <w:tcPr>
            <w:tcW w:w="1418" w:type="dxa"/>
            <w:vAlign w:val="top"/>
          </w:tcPr>
          <w:p>
            <w:pPr>
              <w:pStyle w:val="TableText"/>
              <w:ind w:left="666"/>
              <w:spacing w:before="91" w:line="187" w:lineRule="auto"/>
              <w:rPr>
                <w:sz w:val="19"/>
                <w:szCs w:val="19"/>
              </w:rPr>
            </w:pPr>
            <w:r>
              <w:rPr>
                <w:sz w:val="19"/>
                <w:szCs w:val="19"/>
              </w:rPr>
              <w:t>0</w:t>
            </w:r>
          </w:p>
        </w:tc>
        <w:tc>
          <w:tcPr>
            <w:tcW w:w="1140" w:type="dxa"/>
            <w:vAlign w:val="top"/>
          </w:tcPr>
          <w:p>
            <w:pPr>
              <w:pStyle w:val="TableText"/>
              <w:ind w:left="193"/>
              <w:spacing w:before="57" w:line="229" w:lineRule="auto"/>
              <w:rPr>
                <w:sz w:val="19"/>
                <w:szCs w:val="19"/>
              </w:rPr>
            </w:pPr>
            <w:r>
              <w:rPr>
                <w:sz w:val="19"/>
                <w:szCs w:val="19"/>
                <w:spacing w:val="2"/>
              </w:rPr>
              <w:t>国有法人</w:t>
            </w:r>
          </w:p>
        </w:tc>
      </w:tr>
      <w:tr>
        <w:trPr>
          <w:trHeight w:val="940" w:hRule="atLeast"/>
        </w:trPr>
        <w:tc>
          <w:tcPr>
            <w:tcW w:w="2980" w:type="dxa"/>
            <w:vAlign w:val="top"/>
          </w:tcPr>
          <w:p>
            <w:pPr>
              <w:pStyle w:val="TableText"/>
              <w:ind w:left="113" w:right="293" w:firstLine="20"/>
              <w:spacing w:before="56" w:line="283" w:lineRule="auto"/>
              <w:jc w:val="both"/>
              <w:rPr>
                <w:sz w:val="19"/>
                <w:szCs w:val="19"/>
              </w:rPr>
            </w:pPr>
            <w:r>
              <w:rPr>
                <w:sz w:val="19"/>
                <w:szCs w:val="19"/>
                <w:spacing w:val="13"/>
              </w:rPr>
              <w:t>中国人寿保险股份有限公司-</w:t>
            </w:r>
            <w:r>
              <w:rPr>
                <w:sz w:val="19"/>
                <w:szCs w:val="19"/>
                <w:spacing w:val="1"/>
              </w:rPr>
              <w:t xml:space="preserve"> </w:t>
            </w:r>
            <w:r>
              <w:rPr>
                <w:sz w:val="19"/>
                <w:szCs w:val="19"/>
                <w:spacing w:val="12"/>
              </w:rPr>
              <w:t>传统－普通保险产品－005L-</w:t>
            </w:r>
            <w:r>
              <w:rPr>
                <w:sz w:val="19"/>
                <w:szCs w:val="19"/>
                <w:spacing w:val="11"/>
              </w:rPr>
              <w:t xml:space="preserve"> </w:t>
            </w:r>
            <w:r>
              <w:rPr>
                <w:sz w:val="19"/>
                <w:szCs w:val="19"/>
                <w:spacing w:val="-1"/>
              </w:rPr>
              <w:t>CT001</w:t>
            </w:r>
            <w:r>
              <w:rPr>
                <w:sz w:val="19"/>
                <w:szCs w:val="19"/>
                <w:spacing w:val="-27"/>
              </w:rPr>
              <w:t xml:space="preserve"> </w:t>
            </w:r>
            <w:r>
              <w:rPr>
                <w:sz w:val="19"/>
                <w:szCs w:val="19"/>
                <w:spacing w:val="-1"/>
              </w:rPr>
              <w:t>沪（注 1）</w:t>
            </w:r>
          </w:p>
        </w:tc>
        <w:tc>
          <w:tcPr>
            <w:tcW w:w="1701" w:type="dxa"/>
            <w:vAlign w:val="top"/>
          </w:tcPr>
          <w:p>
            <w:pPr>
              <w:spacing w:line="335" w:lineRule="auto"/>
              <w:rPr>
                <w:rFonts w:ascii="Arial"/>
                <w:sz w:val="21"/>
              </w:rPr>
            </w:pPr>
            <w:r/>
          </w:p>
          <w:p>
            <w:pPr>
              <w:pStyle w:val="TableText"/>
              <w:ind w:left="207"/>
              <w:spacing w:before="62" w:line="189" w:lineRule="auto"/>
              <w:rPr>
                <w:sz w:val="19"/>
                <w:szCs w:val="19"/>
              </w:rPr>
            </w:pPr>
            <w:r>
              <w:rPr>
                <w:sz w:val="19"/>
                <w:szCs w:val="19"/>
                <w:spacing w:val="4"/>
              </w:rPr>
              <w:t>3,190,419,687</w:t>
            </w:r>
          </w:p>
        </w:tc>
        <w:tc>
          <w:tcPr>
            <w:tcW w:w="707" w:type="dxa"/>
            <w:vAlign w:val="top"/>
          </w:tcPr>
          <w:p>
            <w:pPr>
              <w:spacing w:line="335" w:lineRule="auto"/>
              <w:rPr>
                <w:rFonts w:ascii="Arial"/>
                <w:sz w:val="21"/>
              </w:rPr>
            </w:pPr>
            <w:r/>
          </w:p>
          <w:p>
            <w:pPr>
              <w:pStyle w:val="TableText"/>
              <w:ind w:left="173"/>
              <w:spacing w:before="62" w:line="188" w:lineRule="auto"/>
              <w:rPr>
                <w:sz w:val="19"/>
                <w:szCs w:val="19"/>
              </w:rPr>
            </w:pPr>
            <w:r>
              <w:rPr>
                <w:sz w:val="19"/>
                <w:szCs w:val="19"/>
                <w:spacing w:val="-1"/>
              </w:rPr>
              <w:t>10.3</w:t>
            </w:r>
          </w:p>
        </w:tc>
        <w:tc>
          <w:tcPr>
            <w:tcW w:w="1701" w:type="dxa"/>
            <w:vAlign w:val="top"/>
          </w:tcPr>
          <w:p>
            <w:pPr>
              <w:spacing w:line="335" w:lineRule="auto"/>
              <w:rPr>
                <w:rFonts w:ascii="Arial"/>
                <w:sz w:val="21"/>
              </w:rPr>
            </w:pPr>
            <w:r/>
          </w:p>
          <w:p>
            <w:pPr>
              <w:pStyle w:val="TableText"/>
              <w:ind w:left="209"/>
              <w:spacing w:before="62" w:line="189" w:lineRule="auto"/>
              <w:rPr>
                <w:sz w:val="19"/>
                <w:szCs w:val="19"/>
              </w:rPr>
            </w:pPr>
            <w:r>
              <w:rPr>
                <w:sz w:val="19"/>
                <w:szCs w:val="19"/>
                <w:spacing w:val="4"/>
              </w:rPr>
              <w:t>3,177,159,590</w:t>
            </w:r>
          </w:p>
        </w:tc>
        <w:tc>
          <w:tcPr>
            <w:tcW w:w="1133" w:type="dxa"/>
            <w:vAlign w:val="top"/>
          </w:tcPr>
          <w:p>
            <w:pPr>
              <w:spacing w:line="303" w:lineRule="auto"/>
              <w:rPr>
                <w:rFonts w:ascii="Arial"/>
                <w:sz w:val="21"/>
              </w:rPr>
            </w:pPr>
            <w:r/>
          </w:p>
          <w:p>
            <w:pPr>
              <w:pStyle w:val="TableText"/>
              <w:ind w:left="474"/>
              <w:spacing w:before="62" w:line="229" w:lineRule="auto"/>
              <w:rPr>
                <w:sz w:val="19"/>
                <w:szCs w:val="19"/>
              </w:rPr>
            </w:pPr>
            <w:r>
              <w:rPr>
                <w:sz w:val="19"/>
                <w:szCs w:val="19"/>
              </w:rPr>
              <w:t>无</w:t>
            </w:r>
          </w:p>
        </w:tc>
        <w:tc>
          <w:tcPr>
            <w:tcW w:w="1418" w:type="dxa"/>
            <w:vAlign w:val="top"/>
          </w:tcPr>
          <w:p>
            <w:pPr>
              <w:spacing w:line="336" w:lineRule="auto"/>
              <w:rPr>
                <w:rFonts w:ascii="Arial"/>
                <w:sz w:val="21"/>
              </w:rPr>
            </w:pPr>
            <w:r/>
          </w:p>
          <w:p>
            <w:pPr>
              <w:pStyle w:val="TableText"/>
              <w:ind w:left="666"/>
              <w:spacing w:before="62" w:line="187" w:lineRule="auto"/>
              <w:rPr>
                <w:sz w:val="19"/>
                <w:szCs w:val="19"/>
              </w:rPr>
            </w:pPr>
            <w:r>
              <w:rPr>
                <w:sz w:val="19"/>
                <w:szCs w:val="19"/>
              </w:rPr>
              <w:t>0</w:t>
            </w:r>
          </w:p>
        </w:tc>
        <w:tc>
          <w:tcPr>
            <w:tcW w:w="1140" w:type="dxa"/>
            <w:vAlign w:val="top"/>
          </w:tcPr>
          <w:p>
            <w:pPr>
              <w:spacing w:line="303" w:lineRule="auto"/>
              <w:rPr>
                <w:rFonts w:ascii="Arial"/>
                <w:sz w:val="21"/>
              </w:rPr>
            </w:pPr>
            <w:r/>
          </w:p>
          <w:p>
            <w:pPr>
              <w:pStyle w:val="TableText"/>
              <w:ind w:left="375"/>
              <w:spacing w:before="62" w:line="229" w:lineRule="auto"/>
              <w:rPr>
                <w:sz w:val="19"/>
                <w:szCs w:val="19"/>
              </w:rPr>
            </w:pPr>
            <w:r>
              <w:rPr>
                <w:sz w:val="19"/>
                <w:szCs w:val="19"/>
                <w:spacing w:val="3"/>
              </w:rPr>
              <w:t>未知</w:t>
            </w:r>
          </w:p>
        </w:tc>
      </w:tr>
      <w:tr>
        <w:trPr>
          <w:trHeight w:val="628" w:hRule="atLeast"/>
        </w:trPr>
        <w:tc>
          <w:tcPr>
            <w:tcW w:w="2980" w:type="dxa"/>
            <w:vAlign w:val="top"/>
          </w:tcPr>
          <w:p>
            <w:pPr>
              <w:pStyle w:val="TableText"/>
              <w:ind w:left="115" w:right="268" w:firstLine="18"/>
              <w:spacing w:before="56" w:line="273" w:lineRule="auto"/>
              <w:rPr>
                <w:sz w:val="19"/>
                <w:szCs w:val="19"/>
              </w:rPr>
            </w:pPr>
            <w:r>
              <w:rPr>
                <w:sz w:val="19"/>
                <w:szCs w:val="19"/>
                <w:spacing w:val="7"/>
              </w:rPr>
              <w:t>中国国有企业结构调整基金股</w:t>
            </w:r>
            <w:r>
              <w:rPr>
                <w:sz w:val="19"/>
                <w:szCs w:val="19"/>
                <w:spacing w:val="9"/>
              </w:rPr>
              <w:t xml:space="preserve"> </w:t>
            </w:r>
            <w:r>
              <w:rPr>
                <w:sz w:val="19"/>
                <w:szCs w:val="19"/>
                <w:spacing w:val="5"/>
              </w:rPr>
              <w:t>份有限公司（注</w:t>
            </w:r>
            <w:r>
              <w:rPr>
                <w:sz w:val="19"/>
                <w:szCs w:val="19"/>
                <w:spacing w:val="-27"/>
              </w:rPr>
              <w:t xml:space="preserve"> </w:t>
            </w:r>
            <w:r>
              <w:rPr>
                <w:sz w:val="19"/>
                <w:szCs w:val="19"/>
                <w:spacing w:val="5"/>
              </w:rPr>
              <w:t>2）</w:t>
            </w:r>
          </w:p>
        </w:tc>
        <w:tc>
          <w:tcPr>
            <w:tcW w:w="1701" w:type="dxa"/>
            <w:vAlign w:val="top"/>
          </w:tcPr>
          <w:p>
            <w:pPr>
              <w:pStyle w:val="TableText"/>
              <w:ind w:left="218"/>
              <w:spacing w:before="244" w:line="189" w:lineRule="auto"/>
              <w:rPr>
                <w:sz w:val="19"/>
                <w:szCs w:val="19"/>
              </w:rPr>
            </w:pPr>
            <w:r>
              <w:rPr>
                <w:sz w:val="19"/>
                <w:szCs w:val="19"/>
                <w:spacing w:val="3"/>
              </w:rPr>
              <w:t>1,899,764,201</w:t>
            </w:r>
          </w:p>
        </w:tc>
        <w:tc>
          <w:tcPr>
            <w:tcW w:w="707" w:type="dxa"/>
            <w:vAlign w:val="top"/>
          </w:tcPr>
          <w:p>
            <w:pPr>
              <w:pStyle w:val="TableText"/>
              <w:ind w:left="210"/>
              <w:spacing w:before="244" w:line="188" w:lineRule="auto"/>
              <w:rPr>
                <w:sz w:val="19"/>
                <w:szCs w:val="19"/>
              </w:rPr>
            </w:pPr>
            <w:r>
              <w:rPr>
                <w:sz w:val="19"/>
                <w:szCs w:val="19"/>
                <w:spacing w:val="2"/>
              </w:rPr>
              <w:t>6.1</w:t>
            </w:r>
          </w:p>
        </w:tc>
        <w:tc>
          <w:tcPr>
            <w:tcW w:w="1701" w:type="dxa"/>
            <w:vAlign w:val="top"/>
          </w:tcPr>
          <w:p>
            <w:pPr>
              <w:pStyle w:val="TableText"/>
              <w:ind w:left="807"/>
              <w:spacing w:before="245" w:line="187" w:lineRule="auto"/>
              <w:rPr>
                <w:sz w:val="19"/>
                <w:szCs w:val="19"/>
              </w:rPr>
            </w:pPr>
            <w:r>
              <w:rPr>
                <w:sz w:val="19"/>
                <w:szCs w:val="19"/>
              </w:rPr>
              <w:t>0</w:t>
            </w:r>
          </w:p>
        </w:tc>
        <w:tc>
          <w:tcPr>
            <w:tcW w:w="1133" w:type="dxa"/>
            <w:vAlign w:val="top"/>
          </w:tcPr>
          <w:p>
            <w:pPr>
              <w:pStyle w:val="TableText"/>
              <w:ind w:left="474"/>
              <w:spacing w:before="211" w:line="229" w:lineRule="auto"/>
              <w:rPr>
                <w:sz w:val="19"/>
                <w:szCs w:val="19"/>
              </w:rPr>
            </w:pPr>
            <w:r>
              <w:rPr>
                <w:sz w:val="19"/>
                <w:szCs w:val="19"/>
              </w:rPr>
              <w:t>无</w:t>
            </w:r>
          </w:p>
        </w:tc>
        <w:tc>
          <w:tcPr>
            <w:tcW w:w="1418" w:type="dxa"/>
            <w:vAlign w:val="top"/>
          </w:tcPr>
          <w:p>
            <w:pPr>
              <w:pStyle w:val="TableText"/>
              <w:ind w:left="666"/>
              <w:spacing w:before="245" w:line="187" w:lineRule="auto"/>
              <w:rPr>
                <w:sz w:val="19"/>
                <w:szCs w:val="19"/>
              </w:rPr>
            </w:pPr>
            <w:r>
              <w:rPr>
                <w:sz w:val="19"/>
                <w:szCs w:val="19"/>
              </w:rPr>
              <w:t>0</w:t>
            </w:r>
          </w:p>
        </w:tc>
        <w:tc>
          <w:tcPr>
            <w:tcW w:w="1140" w:type="dxa"/>
            <w:vAlign w:val="top"/>
          </w:tcPr>
          <w:p>
            <w:pPr>
              <w:pStyle w:val="TableText"/>
              <w:ind w:left="375"/>
              <w:spacing w:before="211" w:line="229" w:lineRule="auto"/>
              <w:rPr>
                <w:sz w:val="19"/>
                <w:szCs w:val="19"/>
              </w:rPr>
            </w:pPr>
            <w:r>
              <w:rPr>
                <w:sz w:val="19"/>
                <w:szCs w:val="19"/>
                <w:spacing w:val="3"/>
              </w:rPr>
              <w:t>未知</w:t>
            </w:r>
          </w:p>
        </w:tc>
      </w:tr>
      <w:tr>
        <w:trPr>
          <w:trHeight w:val="628" w:hRule="atLeast"/>
        </w:trPr>
        <w:tc>
          <w:tcPr>
            <w:tcW w:w="2980" w:type="dxa"/>
            <w:vAlign w:val="top"/>
          </w:tcPr>
          <w:p>
            <w:pPr>
              <w:pStyle w:val="TableText"/>
              <w:ind w:left="124" w:right="268" w:hanging="9"/>
              <w:spacing w:before="56" w:line="273" w:lineRule="auto"/>
              <w:rPr>
                <w:sz w:val="19"/>
                <w:szCs w:val="19"/>
              </w:rPr>
            </w:pPr>
            <w:r>
              <w:rPr>
                <w:sz w:val="19"/>
                <w:szCs w:val="19"/>
                <w:spacing w:val="9"/>
              </w:rPr>
              <w:t>深圳市腾讯信达有限合伙企业</w:t>
            </w:r>
            <w:r>
              <w:rPr>
                <w:sz w:val="19"/>
                <w:szCs w:val="19"/>
                <w:spacing w:val="2"/>
              </w:rPr>
              <w:t xml:space="preserve"> </w:t>
            </w:r>
            <w:r>
              <w:rPr>
                <w:sz w:val="19"/>
                <w:szCs w:val="19"/>
                <w:spacing w:val="3"/>
              </w:rPr>
              <w:t>（有限合伙）</w:t>
            </w:r>
          </w:p>
        </w:tc>
        <w:tc>
          <w:tcPr>
            <w:tcW w:w="1701" w:type="dxa"/>
            <w:vAlign w:val="top"/>
          </w:tcPr>
          <w:p>
            <w:pPr>
              <w:pStyle w:val="TableText"/>
              <w:ind w:left="218"/>
              <w:spacing w:before="244" w:line="189" w:lineRule="auto"/>
              <w:rPr>
                <w:sz w:val="19"/>
                <w:szCs w:val="19"/>
              </w:rPr>
            </w:pPr>
            <w:r>
              <w:rPr>
                <w:sz w:val="19"/>
                <w:szCs w:val="19"/>
                <w:spacing w:val="3"/>
              </w:rPr>
              <w:t>1,610,541,728</w:t>
            </w:r>
          </w:p>
        </w:tc>
        <w:tc>
          <w:tcPr>
            <w:tcW w:w="707" w:type="dxa"/>
            <w:vAlign w:val="top"/>
          </w:tcPr>
          <w:p>
            <w:pPr>
              <w:pStyle w:val="TableText"/>
              <w:ind w:left="213"/>
              <w:spacing w:before="245" w:line="187" w:lineRule="auto"/>
              <w:rPr>
                <w:sz w:val="19"/>
                <w:szCs w:val="19"/>
              </w:rPr>
            </w:pPr>
            <w:r>
              <w:rPr>
                <w:sz w:val="19"/>
                <w:szCs w:val="19"/>
                <w:spacing w:val="1"/>
              </w:rPr>
              <w:t>5.2</w:t>
            </w:r>
          </w:p>
        </w:tc>
        <w:tc>
          <w:tcPr>
            <w:tcW w:w="1701" w:type="dxa"/>
            <w:vAlign w:val="top"/>
          </w:tcPr>
          <w:p>
            <w:pPr>
              <w:pStyle w:val="TableText"/>
              <w:ind w:left="220"/>
              <w:spacing w:before="244" w:line="189" w:lineRule="auto"/>
              <w:rPr>
                <w:sz w:val="19"/>
                <w:szCs w:val="19"/>
              </w:rPr>
            </w:pPr>
            <w:r>
              <w:rPr>
                <w:sz w:val="19"/>
                <w:szCs w:val="19"/>
                <w:spacing w:val="3"/>
              </w:rPr>
              <w:t>1,610,541,728</w:t>
            </w:r>
          </w:p>
        </w:tc>
        <w:tc>
          <w:tcPr>
            <w:tcW w:w="1133" w:type="dxa"/>
            <w:vAlign w:val="top"/>
          </w:tcPr>
          <w:p>
            <w:pPr>
              <w:pStyle w:val="TableText"/>
              <w:ind w:left="474"/>
              <w:spacing w:before="212" w:line="229" w:lineRule="auto"/>
              <w:rPr>
                <w:sz w:val="19"/>
                <w:szCs w:val="19"/>
              </w:rPr>
            </w:pPr>
            <w:r>
              <w:rPr>
                <w:sz w:val="19"/>
                <w:szCs w:val="19"/>
              </w:rPr>
              <w:t>无</w:t>
            </w:r>
          </w:p>
        </w:tc>
        <w:tc>
          <w:tcPr>
            <w:tcW w:w="1418" w:type="dxa"/>
            <w:vAlign w:val="top"/>
          </w:tcPr>
          <w:p>
            <w:pPr>
              <w:pStyle w:val="TableText"/>
              <w:ind w:left="666"/>
              <w:spacing w:before="245" w:line="187" w:lineRule="auto"/>
              <w:rPr>
                <w:sz w:val="19"/>
                <w:szCs w:val="19"/>
              </w:rPr>
            </w:pPr>
            <w:r>
              <w:rPr>
                <w:sz w:val="19"/>
                <w:szCs w:val="19"/>
              </w:rPr>
              <w:t>0</w:t>
            </w:r>
          </w:p>
        </w:tc>
        <w:tc>
          <w:tcPr>
            <w:tcW w:w="1140" w:type="dxa"/>
            <w:vAlign w:val="top"/>
          </w:tcPr>
          <w:p>
            <w:pPr>
              <w:pStyle w:val="TableText"/>
              <w:ind w:left="375"/>
              <w:spacing w:before="212" w:line="229" w:lineRule="auto"/>
              <w:rPr>
                <w:sz w:val="19"/>
                <w:szCs w:val="19"/>
              </w:rPr>
            </w:pPr>
            <w:r>
              <w:rPr>
                <w:sz w:val="19"/>
                <w:szCs w:val="19"/>
                <w:spacing w:val="3"/>
              </w:rPr>
              <w:t>未知</w:t>
            </w:r>
          </w:p>
        </w:tc>
      </w:tr>
      <w:tr>
        <w:trPr>
          <w:trHeight w:val="941" w:hRule="atLeast"/>
        </w:trPr>
        <w:tc>
          <w:tcPr>
            <w:tcW w:w="2980" w:type="dxa"/>
            <w:vAlign w:val="top"/>
          </w:tcPr>
          <w:p>
            <w:pPr>
              <w:pStyle w:val="TableText"/>
              <w:ind w:left="123" w:right="268" w:hanging="6"/>
              <w:spacing w:before="57" w:line="283" w:lineRule="auto"/>
              <w:jc w:val="both"/>
              <w:rPr>
                <w:sz w:val="19"/>
                <w:szCs w:val="19"/>
              </w:rPr>
            </w:pPr>
            <w:r>
              <w:rPr>
                <w:sz w:val="19"/>
                <w:szCs w:val="19"/>
                <w:spacing w:val="14"/>
              </w:rPr>
              <w:t>嘉兴小度投资管理有限公司-</w:t>
            </w:r>
            <w:r>
              <w:rPr>
                <w:sz w:val="19"/>
                <w:szCs w:val="19"/>
                <w:spacing w:val="4"/>
              </w:rPr>
              <w:t xml:space="preserve"> </w:t>
            </w:r>
            <w:r>
              <w:rPr>
                <w:sz w:val="19"/>
                <w:szCs w:val="19"/>
                <w:spacing w:val="8"/>
              </w:rPr>
              <w:t>宁波梅山保税港区百度鹏寰投</w:t>
            </w:r>
            <w:r>
              <w:rPr>
                <w:sz w:val="19"/>
                <w:szCs w:val="19"/>
                <w:spacing w:val="7"/>
              </w:rPr>
              <w:t xml:space="preserve"> </w:t>
            </w:r>
            <w:r>
              <w:rPr>
                <w:sz w:val="19"/>
                <w:szCs w:val="19"/>
                <w:spacing w:val="7"/>
              </w:rPr>
              <w:t>资合伙企业（有限合伙）</w:t>
            </w:r>
          </w:p>
        </w:tc>
        <w:tc>
          <w:tcPr>
            <w:tcW w:w="1701" w:type="dxa"/>
            <w:vAlign w:val="top"/>
          </w:tcPr>
          <w:p>
            <w:pPr>
              <w:spacing w:line="337" w:lineRule="auto"/>
              <w:rPr>
                <w:rFonts w:ascii="Arial"/>
                <w:sz w:val="21"/>
              </w:rPr>
            </w:pPr>
            <w:r/>
          </w:p>
          <w:p>
            <w:pPr>
              <w:pStyle w:val="TableText"/>
              <w:ind w:left="218"/>
              <w:spacing w:before="62" w:line="189" w:lineRule="auto"/>
              <w:rPr>
                <w:sz w:val="19"/>
                <w:szCs w:val="19"/>
              </w:rPr>
            </w:pPr>
            <w:r>
              <w:rPr>
                <w:sz w:val="19"/>
                <w:szCs w:val="19"/>
                <w:spacing w:val="3"/>
              </w:rPr>
              <w:t>1,024,890,190</w:t>
            </w:r>
          </w:p>
        </w:tc>
        <w:tc>
          <w:tcPr>
            <w:tcW w:w="707" w:type="dxa"/>
            <w:vAlign w:val="top"/>
          </w:tcPr>
          <w:p>
            <w:pPr>
              <w:spacing w:line="338" w:lineRule="auto"/>
              <w:rPr>
                <w:rFonts w:ascii="Arial"/>
                <w:sz w:val="21"/>
              </w:rPr>
            </w:pPr>
            <w:r/>
          </w:p>
          <w:p>
            <w:pPr>
              <w:pStyle w:val="TableText"/>
              <w:ind w:left="213"/>
              <w:spacing w:before="62" w:line="187" w:lineRule="auto"/>
              <w:rPr>
                <w:sz w:val="19"/>
                <w:szCs w:val="19"/>
              </w:rPr>
            </w:pPr>
            <w:r>
              <w:rPr>
                <w:sz w:val="19"/>
                <w:szCs w:val="19"/>
                <w:spacing w:val="1"/>
              </w:rPr>
              <w:t>3.3</w:t>
            </w:r>
          </w:p>
        </w:tc>
        <w:tc>
          <w:tcPr>
            <w:tcW w:w="1701" w:type="dxa"/>
            <w:vAlign w:val="top"/>
          </w:tcPr>
          <w:p>
            <w:pPr>
              <w:spacing w:line="337" w:lineRule="auto"/>
              <w:rPr>
                <w:rFonts w:ascii="Arial"/>
                <w:sz w:val="21"/>
              </w:rPr>
            </w:pPr>
            <w:r/>
          </w:p>
          <w:p>
            <w:pPr>
              <w:pStyle w:val="TableText"/>
              <w:ind w:left="220"/>
              <w:spacing w:before="62" w:line="189" w:lineRule="auto"/>
              <w:rPr>
                <w:sz w:val="19"/>
                <w:szCs w:val="19"/>
              </w:rPr>
            </w:pPr>
            <w:r>
              <w:rPr>
                <w:sz w:val="19"/>
                <w:szCs w:val="19"/>
                <w:spacing w:val="3"/>
              </w:rPr>
              <w:t>1,024,890,190</w:t>
            </w:r>
          </w:p>
        </w:tc>
        <w:tc>
          <w:tcPr>
            <w:tcW w:w="1133" w:type="dxa"/>
            <w:vAlign w:val="top"/>
          </w:tcPr>
          <w:p>
            <w:pPr>
              <w:spacing w:line="305" w:lineRule="auto"/>
              <w:rPr>
                <w:rFonts w:ascii="Arial"/>
                <w:sz w:val="21"/>
              </w:rPr>
            </w:pPr>
            <w:r/>
          </w:p>
          <w:p>
            <w:pPr>
              <w:pStyle w:val="TableText"/>
              <w:ind w:left="474"/>
              <w:spacing w:before="61" w:line="229" w:lineRule="auto"/>
              <w:rPr>
                <w:sz w:val="19"/>
                <w:szCs w:val="19"/>
              </w:rPr>
            </w:pPr>
            <w:r>
              <w:rPr>
                <w:sz w:val="19"/>
                <w:szCs w:val="19"/>
              </w:rPr>
              <w:t>无</w:t>
            </w:r>
          </w:p>
        </w:tc>
        <w:tc>
          <w:tcPr>
            <w:tcW w:w="1418" w:type="dxa"/>
            <w:vAlign w:val="top"/>
          </w:tcPr>
          <w:p>
            <w:pPr>
              <w:spacing w:line="338" w:lineRule="auto"/>
              <w:rPr>
                <w:rFonts w:ascii="Arial"/>
                <w:sz w:val="21"/>
              </w:rPr>
            </w:pPr>
            <w:r/>
          </w:p>
          <w:p>
            <w:pPr>
              <w:pStyle w:val="TableText"/>
              <w:ind w:left="666"/>
              <w:spacing w:before="62" w:line="187" w:lineRule="auto"/>
              <w:rPr>
                <w:sz w:val="19"/>
                <w:szCs w:val="19"/>
              </w:rPr>
            </w:pPr>
            <w:r>
              <w:rPr>
                <w:sz w:val="19"/>
                <w:szCs w:val="19"/>
              </w:rPr>
              <w:t>0</w:t>
            </w:r>
          </w:p>
        </w:tc>
        <w:tc>
          <w:tcPr>
            <w:tcW w:w="1140" w:type="dxa"/>
            <w:vAlign w:val="top"/>
          </w:tcPr>
          <w:p>
            <w:pPr>
              <w:spacing w:line="305" w:lineRule="auto"/>
              <w:rPr>
                <w:rFonts w:ascii="Arial"/>
                <w:sz w:val="21"/>
              </w:rPr>
            </w:pPr>
            <w:r/>
          </w:p>
          <w:p>
            <w:pPr>
              <w:pStyle w:val="TableText"/>
              <w:ind w:left="375"/>
              <w:spacing w:before="61" w:line="229" w:lineRule="auto"/>
              <w:rPr>
                <w:sz w:val="19"/>
                <w:szCs w:val="19"/>
              </w:rPr>
            </w:pPr>
            <w:r>
              <w:rPr>
                <w:sz w:val="19"/>
                <w:szCs w:val="19"/>
                <w:spacing w:val="3"/>
              </w:rPr>
              <w:t>未知</w:t>
            </w:r>
          </w:p>
        </w:tc>
      </w:tr>
      <w:tr>
        <w:trPr>
          <w:trHeight w:val="628" w:hRule="atLeast"/>
        </w:trPr>
        <w:tc>
          <w:tcPr>
            <w:tcW w:w="2980" w:type="dxa"/>
            <w:vAlign w:val="top"/>
          </w:tcPr>
          <w:p>
            <w:pPr>
              <w:pStyle w:val="TableText"/>
              <w:ind w:left="129" w:right="118" w:hanging="12"/>
              <w:spacing w:before="56" w:line="273" w:lineRule="auto"/>
              <w:rPr>
                <w:sz w:val="19"/>
                <w:szCs w:val="19"/>
              </w:rPr>
            </w:pPr>
            <w:r>
              <w:rPr>
                <w:sz w:val="19"/>
                <w:szCs w:val="19"/>
                <w:spacing w:val="5"/>
              </w:rPr>
              <w:t>宿迁京东三弘企业管理中心（有</w:t>
            </w:r>
            <w:r>
              <w:rPr>
                <w:sz w:val="19"/>
                <w:szCs w:val="19"/>
                <w:spacing w:val="8"/>
              </w:rPr>
              <w:t xml:space="preserve"> </w:t>
            </w:r>
            <w:r>
              <w:rPr>
                <w:sz w:val="19"/>
                <w:szCs w:val="19"/>
                <w:spacing w:val="-1"/>
              </w:rPr>
              <w:t>限合伙）</w:t>
            </w:r>
          </w:p>
        </w:tc>
        <w:tc>
          <w:tcPr>
            <w:tcW w:w="1701" w:type="dxa"/>
            <w:vAlign w:val="top"/>
          </w:tcPr>
          <w:p>
            <w:pPr>
              <w:pStyle w:val="TableText"/>
              <w:ind w:left="309"/>
              <w:spacing w:before="245" w:line="189" w:lineRule="auto"/>
              <w:rPr>
                <w:sz w:val="19"/>
                <w:szCs w:val="19"/>
              </w:rPr>
            </w:pPr>
            <w:r>
              <w:rPr>
                <w:sz w:val="19"/>
                <w:szCs w:val="19"/>
                <w:spacing w:val="3"/>
              </w:rPr>
              <w:t>732,064,421</w:t>
            </w:r>
          </w:p>
        </w:tc>
        <w:tc>
          <w:tcPr>
            <w:tcW w:w="707" w:type="dxa"/>
            <w:vAlign w:val="top"/>
          </w:tcPr>
          <w:p>
            <w:pPr>
              <w:pStyle w:val="TableText"/>
              <w:ind w:left="211"/>
              <w:spacing w:before="246" w:line="187" w:lineRule="auto"/>
              <w:rPr>
                <w:sz w:val="19"/>
                <w:szCs w:val="19"/>
              </w:rPr>
            </w:pPr>
            <w:r>
              <w:rPr>
                <w:sz w:val="19"/>
                <w:szCs w:val="19"/>
                <w:spacing w:val="2"/>
              </w:rPr>
              <w:t>2.4</w:t>
            </w:r>
          </w:p>
        </w:tc>
        <w:tc>
          <w:tcPr>
            <w:tcW w:w="1701" w:type="dxa"/>
            <w:vAlign w:val="top"/>
          </w:tcPr>
          <w:p>
            <w:pPr>
              <w:pStyle w:val="TableText"/>
              <w:ind w:left="311"/>
              <w:spacing w:before="245" w:line="189" w:lineRule="auto"/>
              <w:rPr>
                <w:sz w:val="19"/>
                <w:szCs w:val="19"/>
              </w:rPr>
            </w:pPr>
            <w:r>
              <w:rPr>
                <w:sz w:val="19"/>
                <w:szCs w:val="19"/>
                <w:spacing w:val="3"/>
              </w:rPr>
              <w:t>732,064,421</w:t>
            </w:r>
          </w:p>
        </w:tc>
        <w:tc>
          <w:tcPr>
            <w:tcW w:w="1133" w:type="dxa"/>
            <w:vAlign w:val="top"/>
          </w:tcPr>
          <w:p>
            <w:pPr>
              <w:pStyle w:val="TableText"/>
              <w:ind w:left="474"/>
              <w:spacing w:before="212" w:line="229" w:lineRule="auto"/>
              <w:rPr>
                <w:sz w:val="19"/>
                <w:szCs w:val="19"/>
              </w:rPr>
            </w:pPr>
            <w:r>
              <w:rPr>
                <w:sz w:val="19"/>
                <w:szCs w:val="19"/>
              </w:rPr>
              <w:t>无</w:t>
            </w:r>
          </w:p>
        </w:tc>
        <w:tc>
          <w:tcPr>
            <w:tcW w:w="1418" w:type="dxa"/>
            <w:vAlign w:val="top"/>
          </w:tcPr>
          <w:p>
            <w:pPr>
              <w:pStyle w:val="TableText"/>
              <w:ind w:left="666"/>
              <w:spacing w:before="246" w:line="187" w:lineRule="auto"/>
              <w:rPr>
                <w:sz w:val="19"/>
                <w:szCs w:val="19"/>
              </w:rPr>
            </w:pPr>
            <w:r>
              <w:rPr>
                <w:sz w:val="19"/>
                <w:szCs w:val="19"/>
              </w:rPr>
              <w:t>0</w:t>
            </w:r>
          </w:p>
        </w:tc>
        <w:tc>
          <w:tcPr>
            <w:tcW w:w="1140" w:type="dxa"/>
            <w:vAlign w:val="top"/>
          </w:tcPr>
          <w:p>
            <w:pPr>
              <w:pStyle w:val="TableText"/>
              <w:ind w:left="375"/>
              <w:spacing w:before="212" w:line="229" w:lineRule="auto"/>
              <w:rPr>
                <w:sz w:val="19"/>
                <w:szCs w:val="19"/>
              </w:rPr>
            </w:pPr>
            <w:r>
              <w:rPr>
                <w:sz w:val="19"/>
                <w:szCs w:val="19"/>
                <w:spacing w:val="3"/>
              </w:rPr>
              <w:t>未知</w:t>
            </w:r>
          </w:p>
        </w:tc>
      </w:tr>
      <w:tr>
        <w:trPr>
          <w:trHeight w:val="319" w:hRule="atLeast"/>
        </w:trPr>
        <w:tc>
          <w:tcPr>
            <w:tcW w:w="2980" w:type="dxa"/>
            <w:vAlign w:val="top"/>
          </w:tcPr>
          <w:p>
            <w:pPr>
              <w:pStyle w:val="TableText"/>
              <w:ind w:left="114"/>
              <w:spacing w:before="59" w:line="228" w:lineRule="auto"/>
              <w:rPr>
                <w:sz w:val="19"/>
                <w:szCs w:val="19"/>
              </w:rPr>
            </w:pPr>
            <w:r>
              <w:rPr>
                <w:sz w:val="19"/>
                <w:szCs w:val="19"/>
                <w:spacing w:val="9"/>
              </w:rPr>
              <w:t>杭州阿里创业投资有限公司</w:t>
            </w:r>
          </w:p>
        </w:tc>
        <w:tc>
          <w:tcPr>
            <w:tcW w:w="1701" w:type="dxa"/>
            <w:vAlign w:val="top"/>
          </w:tcPr>
          <w:p>
            <w:pPr>
              <w:pStyle w:val="TableText"/>
              <w:ind w:left="306"/>
              <w:spacing w:before="93" w:line="188" w:lineRule="auto"/>
              <w:rPr>
                <w:sz w:val="19"/>
                <w:szCs w:val="19"/>
              </w:rPr>
            </w:pPr>
            <w:r>
              <w:rPr>
                <w:sz w:val="19"/>
                <w:szCs w:val="19"/>
                <w:spacing w:val="4"/>
              </w:rPr>
              <w:t>633,254,734</w:t>
            </w:r>
          </w:p>
        </w:tc>
        <w:tc>
          <w:tcPr>
            <w:tcW w:w="707" w:type="dxa"/>
            <w:vAlign w:val="top"/>
          </w:tcPr>
          <w:p>
            <w:pPr>
              <w:pStyle w:val="TableText"/>
              <w:ind w:left="211"/>
              <w:spacing w:before="93" w:line="187" w:lineRule="auto"/>
              <w:rPr>
                <w:sz w:val="19"/>
                <w:szCs w:val="19"/>
              </w:rPr>
            </w:pPr>
            <w:r>
              <w:rPr>
                <w:sz w:val="19"/>
                <w:szCs w:val="19"/>
                <w:spacing w:val="2"/>
              </w:rPr>
              <w:t>2.0</w:t>
            </w:r>
          </w:p>
        </w:tc>
        <w:tc>
          <w:tcPr>
            <w:tcW w:w="1701" w:type="dxa"/>
            <w:vAlign w:val="top"/>
          </w:tcPr>
          <w:p>
            <w:pPr>
              <w:pStyle w:val="TableText"/>
              <w:ind w:left="308"/>
              <w:spacing w:before="93" w:line="188" w:lineRule="auto"/>
              <w:rPr>
                <w:sz w:val="19"/>
                <w:szCs w:val="19"/>
              </w:rPr>
            </w:pPr>
            <w:r>
              <w:rPr>
                <w:sz w:val="19"/>
                <w:szCs w:val="19"/>
                <w:spacing w:val="4"/>
              </w:rPr>
              <w:t>633,254,734</w:t>
            </w:r>
          </w:p>
        </w:tc>
        <w:tc>
          <w:tcPr>
            <w:tcW w:w="1133" w:type="dxa"/>
            <w:vAlign w:val="top"/>
          </w:tcPr>
          <w:p>
            <w:pPr>
              <w:pStyle w:val="TableText"/>
              <w:ind w:left="474"/>
              <w:spacing w:before="59" w:line="229" w:lineRule="auto"/>
              <w:rPr>
                <w:sz w:val="19"/>
                <w:szCs w:val="19"/>
              </w:rPr>
            </w:pPr>
            <w:r>
              <w:rPr>
                <w:sz w:val="19"/>
                <w:szCs w:val="19"/>
              </w:rPr>
              <w:t>无</w:t>
            </w:r>
          </w:p>
        </w:tc>
        <w:tc>
          <w:tcPr>
            <w:tcW w:w="1418" w:type="dxa"/>
            <w:vAlign w:val="top"/>
          </w:tcPr>
          <w:p>
            <w:pPr>
              <w:pStyle w:val="TableText"/>
              <w:ind w:left="666"/>
              <w:spacing w:before="93" w:line="187" w:lineRule="auto"/>
              <w:rPr>
                <w:sz w:val="19"/>
                <w:szCs w:val="19"/>
              </w:rPr>
            </w:pPr>
            <w:r>
              <w:rPr>
                <w:sz w:val="19"/>
                <w:szCs w:val="19"/>
              </w:rPr>
              <w:t>0</w:t>
            </w:r>
          </w:p>
        </w:tc>
        <w:tc>
          <w:tcPr>
            <w:tcW w:w="1140" w:type="dxa"/>
            <w:vAlign w:val="top"/>
          </w:tcPr>
          <w:p>
            <w:pPr>
              <w:pStyle w:val="TableText"/>
              <w:ind w:left="375"/>
              <w:spacing w:before="59" w:line="229" w:lineRule="auto"/>
              <w:rPr>
                <w:sz w:val="19"/>
                <w:szCs w:val="19"/>
              </w:rPr>
            </w:pPr>
            <w:r>
              <w:rPr>
                <w:sz w:val="19"/>
                <w:szCs w:val="19"/>
                <w:spacing w:val="3"/>
              </w:rPr>
              <w:t>未知</w:t>
            </w:r>
          </w:p>
        </w:tc>
      </w:tr>
      <w:tr>
        <w:trPr>
          <w:trHeight w:val="316" w:hRule="atLeast"/>
        </w:trPr>
        <w:tc>
          <w:tcPr>
            <w:tcW w:w="2980" w:type="dxa"/>
            <w:vAlign w:val="top"/>
          </w:tcPr>
          <w:p>
            <w:pPr>
              <w:pStyle w:val="TableText"/>
              <w:ind w:left="117"/>
              <w:spacing w:before="57" w:line="228" w:lineRule="auto"/>
              <w:rPr>
                <w:sz w:val="19"/>
                <w:szCs w:val="19"/>
              </w:rPr>
            </w:pPr>
            <w:r>
              <w:rPr>
                <w:sz w:val="19"/>
                <w:szCs w:val="19"/>
                <w:spacing w:val="8"/>
              </w:rPr>
              <w:t>香港中央结算有限公司</w:t>
            </w:r>
          </w:p>
        </w:tc>
        <w:tc>
          <w:tcPr>
            <w:tcW w:w="1701" w:type="dxa"/>
            <w:vAlign w:val="top"/>
          </w:tcPr>
          <w:p>
            <w:pPr>
              <w:pStyle w:val="TableText"/>
              <w:ind w:left="306"/>
              <w:spacing w:before="89" w:line="189" w:lineRule="auto"/>
              <w:rPr>
                <w:sz w:val="19"/>
                <w:szCs w:val="19"/>
              </w:rPr>
            </w:pPr>
            <w:r>
              <w:rPr>
                <w:sz w:val="19"/>
                <w:szCs w:val="19"/>
                <w:spacing w:val="4"/>
              </w:rPr>
              <w:t>621,464,024</w:t>
            </w:r>
          </w:p>
        </w:tc>
        <w:tc>
          <w:tcPr>
            <w:tcW w:w="707" w:type="dxa"/>
            <w:vAlign w:val="top"/>
          </w:tcPr>
          <w:p>
            <w:pPr>
              <w:pStyle w:val="TableText"/>
              <w:ind w:left="211"/>
              <w:spacing w:before="91" w:line="187" w:lineRule="auto"/>
              <w:rPr>
                <w:sz w:val="19"/>
                <w:szCs w:val="19"/>
              </w:rPr>
            </w:pPr>
            <w:r>
              <w:rPr>
                <w:sz w:val="19"/>
                <w:szCs w:val="19"/>
                <w:spacing w:val="2"/>
              </w:rPr>
              <w:t>2.0</w:t>
            </w:r>
          </w:p>
        </w:tc>
        <w:tc>
          <w:tcPr>
            <w:tcW w:w="1701" w:type="dxa"/>
            <w:vAlign w:val="top"/>
          </w:tcPr>
          <w:p>
            <w:pPr>
              <w:pStyle w:val="TableText"/>
              <w:ind w:left="807"/>
              <w:spacing w:before="91" w:line="187" w:lineRule="auto"/>
              <w:rPr>
                <w:sz w:val="19"/>
                <w:szCs w:val="19"/>
              </w:rPr>
            </w:pPr>
            <w:r>
              <w:rPr>
                <w:sz w:val="19"/>
                <w:szCs w:val="19"/>
              </w:rPr>
              <w:t>0</w:t>
            </w:r>
          </w:p>
        </w:tc>
        <w:tc>
          <w:tcPr>
            <w:tcW w:w="1133" w:type="dxa"/>
            <w:vAlign w:val="top"/>
          </w:tcPr>
          <w:p>
            <w:pPr>
              <w:pStyle w:val="TableText"/>
              <w:ind w:left="474"/>
              <w:spacing w:before="57" w:line="229" w:lineRule="auto"/>
              <w:rPr>
                <w:sz w:val="19"/>
                <w:szCs w:val="19"/>
              </w:rPr>
            </w:pPr>
            <w:r>
              <w:rPr>
                <w:sz w:val="19"/>
                <w:szCs w:val="19"/>
              </w:rPr>
              <w:t>无</w:t>
            </w:r>
          </w:p>
        </w:tc>
        <w:tc>
          <w:tcPr>
            <w:tcW w:w="1418" w:type="dxa"/>
            <w:vAlign w:val="top"/>
          </w:tcPr>
          <w:p>
            <w:pPr>
              <w:pStyle w:val="TableText"/>
              <w:ind w:left="666"/>
              <w:spacing w:before="91" w:line="187" w:lineRule="auto"/>
              <w:rPr>
                <w:sz w:val="19"/>
                <w:szCs w:val="19"/>
              </w:rPr>
            </w:pPr>
            <w:r>
              <w:rPr>
                <w:sz w:val="19"/>
                <w:szCs w:val="19"/>
              </w:rPr>
              <w:t>0</w:t>
            </w:r>
          </w:p>
        </w:tc>
        <w:tc>
          <w:tcPr>
            <w:tcW w:w="1140" w:type="dxa"/>
            <w:vAlign w:val="top"/>
          </w:tcPr>
          <w:p>
            <w:pPr>
              <w:pStyle w:val="TableText"/>
              <w:ind w:left="375"/>
              <w:spacing w:before="57" w:line="229" w:lineRule="auto"/>
              <w:rPr>
                <w:sz w:val="19"/>
                <w:szCs w:val="19"/>
              </w:rPr>
            </w:pPr>
            <w:r>
              <w:rPr>
                <w:sz w:val="19"/>
                <w:szCs w:val="19"/>
                <w:spacing w:val="3"/>
              </w:rPr>
              <w:t>未知</w:t>
            </w:r>
          </w:p>
        </w:tc>
      </w:tr>
      <w:tr>
        <w:trPr>
          <w:trHeight w:val="316" w:hRule="atLeast"/>
        </w:trPr>
        <w:tc>
          <w:tcPr>
            <w:tcW w:w="2980" w:type="dxa"/>
            <w:vAlign w:val="top"/>
          </w:tcPr>
          <w:p>
            <w:pPr>
              <w:pStyle w:val="TableText"/>
              <w:ind w:left="119"/>
              <w:spacing w:before="58" w:line="228" w:lineRule="auto"/>
              <w:rPr>
                <w:sz w:val="19"/>
                <w:szCs w:val="19"/>
              </w:rPr>
            </w:pPr>
            <w:r>
              <w:rPr>
                <w:sz w:val="19"/>
                <w:szCs w:val="19"/>
                <w:spacing w:val="8"/>
              </w:rPr>
              <w:t>苏宁易购集团股份有限公司</w:t>
            </w:r>
          </w:p>
        </w:tc>
        <w:tc>
          <w:tcPr>
            <w:tcW w:w="1701" w:type="dxa"/>
            <w:vAlign w:val="top"/>
          </w:tcPr>
          <w:p>
            <w:pPr>
              <w:pStyle w:val="TableText"/>
              <w:ind w:left="308"/>
              <w:spacing w:before="90" w:line="189" w:lineRule="auto"/>
              <w:rPr>
                <w:sz w:val="19"/>
                <w:szCs w:val="19"/>
              </w:rPr>
            </w:pPr>
            <w:r>
              <w:rPr>
                <w:sz w:val="19"/>
                <w:szCs w:val="19"/>
                <w:spacing w:val="3"/>
              </w:rPr>
              <w:t>585,651,537</w:t>
            </w:r>
          </w:p>
        </w:tc>
        <w:tc>
          <w:tcPr>
            <w:tcW w:w="707" w:type="dxa"/>
            <w:vAlign w:val="top"/>
          </w:tcPr>
          <w:p>
            <w:pPr>
              <w:pStyle w:val="TableText"/>
              <w:ind w:left="223"/>
              <w:spacing w:before="90" w:line="188" w:lineRule="auto"/>
              <w:rPr>
                <w:sz w:val="19"/>
                <w:szCs w:val="19"/>
              </w:rPr>
            </w:pPr>
            <w:r>
              <w:rPr>
                <w:sz w:val="19"/>
                <w:szCs w:val="19"/>
                <w:spacing w:val="-2"/>
              </w:rPr>
              <w:t>1.9</w:t>
            </w:r>
          </w:p>
        </w:tc>
        <w:tc>
          <w:tcPr>
            <w:tcW w:w="1701" w:type="dxa"/>
            <w:vAlign w:val="top"/>
          </w:tcPr>
          <w:p>
            <w:pPr>
              <w:pStyle w:val="TableText"/>
              <w:ind w:left="310"/>
              <w:spacing w:before="90" w:line="189" w:lineRule="auto"/>
              <w:rPr>
                <w:sz w:val="19"/>
                <w:szCs w:val="19"/>
              </w:rPr>
            </w:pPr>
            <w:r>
              <w:rPr>
                <w:sz w:val="19"/>
                <w:szCs w:val="19"/>
                <w:spacing w:val="3"/>
              </w:rPr>
              <w:t>585,651,537</w:t>
            </w:r>
          </w:p>
        </w:tc>
        <w:tc>
          <w:tcPr>
            <w:tcW w:w="1133" w:type="dxa"/>
            <w:vAlign w:val="top"/>
          </w:tcPr>
          <w:p>
            <w:pPr>
              <w:pStyle w:val="TableText"/>
              <w:ind w:left="372"/>
              <w:spacing w:before="58" w:line="229" w:lineRule="auto"/>
              <w:rPr>
                <w:sz w:val="19"/>
                <w:szCs w:val="19"/>
              </w:rPr>
            </w:pPr>
            <w:r>
              <w:rPr>
                <w:sz w:val="19"/>
                <w:szCs w:val="19"/>
                <w:spacing w:val="4"/>
              </w:rPr>
              <w:t>质押</w:t>
            </w:r>
          </w:p>
        </w:tc>
        <w:tc>
          <w:tcPr>
            <w:tcW w:w="1418" w:type="dxa"/>
            <w:vAlign w:val="top"/>
          </w:tcPr>
          <w:p>
            <w:pPr>
              <w:pStyle w:val="TableText"/>
              <w:ind w:left="169"/>
              <w:spacing w:before="90" w:line="189" w:lineRule="auto"/>
              <w:rPr>
                <w:sz w:val="19"/>
                <w:szCs w:val="19"/>
              </w:rPr>
            </w:pPr>
            <w:r>
              <w:rPr>
                <w:sz w:val="19"/>
                <w:szCs w:val="19"/>
                <w:spacing w:val="3"/>
              </w:rPr>
              <w:t>585,651,537</w:t>
            </w:r>
          </w:p>
        </w:tc>
        <w:tc>
          <w:tcPr>
            <w:tcW w:w="1140" w:type="dxa"/>
            <w:vAlign w:val="top"/>
          </w:tcPr>
          <w:p>
            <w:pPr>
              <w:pStyle w:val="TableText"/>
              <w:ind w:left="375"/>
              <w:spacing w:before="58" w:line="229" w:lineRule="auto"/>
              <w:rPr>
                <w:sz w:val="19"/>
                <w:szCs w:val="19"/>
              </w:rPr>
            </w:pPr>
            <w:r>
              <w:rPr>
                <w:sz w:val="19"/>
                <w:szCs w:val="19"/>
                <w:spacing w:val="3"/>
              </w:rPr>
              <w:t>未知</w:t>
            </w:r>
          </w:p>
        </w:tc>
      </w:tr>
      <w:tr>
        <w:trPr>
          <w:trHeight w:val="628" w:hRule="atLeast"/>
        </w:trPr>
        <w:tc>
          <w:tcPr>
            <w:tcW w:w="2980" w:type="dxa"/>
            <w:vAlign w:val="top"/>
          </w:tcPr>
          <w:p>
            <w:pPr>
              <w:pStyle w:val="TableText"/>
              <w:ind w:left="115" w:right="68"/>
              <w:spacing w:before="58" w:line="272" w:lineRule="auto"/>
              <w:rPr>
                <w:sz w:val="19"/>
                <w:szCs w:val="19"/>
              </w:rPr>
            </w:pPr>
            <w:r>
              <w:rPr>
                <w:sz w:val="19"/>
                <w:szCs w:val="19"/>
                <w:spacing w:val="9"/>
              </w:rPr>
              <w:t>深圳淮海方舟信息产业股权投资</w:t>
            </w:r>
            <w:r>
              <w:rPr>
                <w:sz w:val="19"/>
                <w:szCs w:val="19"/>
                <w:spacing w:val="3"/>
              </w:rPr>
              <w:t xml:space="preserve"> </w:t>
            </w:r>
            <w:r>
              <w:rPr>
                <w:sz w:val="19"/>
                <w:szCs w:val="19"/>
                <w:spacing w:val="7"/>
              </w:rPr>
              <w:t>基金（有限合伙）</w:t>
            </w:r>
          </w:p>
        </w:tc>
        <w:tc>
          <w:tcPr>
            <w:tcW w:w="1701" w:type="dxa"/>
            <w:vAlign w:val="top"/>
          </w:tcPr>
          <w:p>
            <w:pPr>
              <w:pStyle w:val="TableText"/>
              <w:ind w:left="308"/>
              <w:spacing w:before="247" w:line="189" w:lineRule="auto"/>
              <w:rPr>
                <w:sz w:val="19"/>
                <w:szCs w:val="19"/>
              </w:rPr>
            </w:pPr>
            <w:r>
              <w:rPr>
                <w:sz w:val="19"/>
                <w:szCs w:val="19"/>
                <w:spacing w:val="3"/>
              </w:rPr>
              <w:t>585,651,537</w:t>
            </w:r>
          </w:p>
        </w:tc>
        <w:tc>
          <w:tcPr>
            <w:tcW w:w="707" w:type="dxa"/>
            <w:vAlign w:val="top"/>
          </w:tcPr>
          <w:p>
            <w:pPr>
              <w:pStyle w:val="TableText"/>
              <w:ind w:left="223"/>
              <w:spacing w:before="247" w:line="188" w:lineRule="auto"/>
              <w:rPr>
                <w:sz w:val="19"/>
                <w:szCs w:val="19"/>
              </w:rPr>
            </w:pPr>
            <w:r>
              <w:rPr>
                <w:sz w:val="19"/>
                <w:szCs w:val="19"/>
                <w:spacing w:val="-2"/>
              </w:rPr>
              <w:t>1.9</w:t>
            </w:r>
          </w:p>
        </w:tc>
        <w:tc>
          <w:tcPr>
            <w:tcW w:w="1701" w:type="dxa"/>
            <w:vAlign w:val="top"/>
          </w:tcPr>
          <w:p>
            <w:pPr>
              <w:pStyle w:val="TableText"/>
              <w:ind w:left="310"/>
              <w:spacing w:before="247" w:line="189" w:lineRule="auto"/>
              <w:rPr>
                <w:sz w:val="19"/>
                <w:szCs w:val="19"/>
              </w:rPr>
            </w:pPr>
            <w:r>
              <w:rPr>
                <w:sz w:val="19"/>
                <w:szCs w:val="19"/>
                <w:spacing w:val="3"/>
              </w:rPr>
              <w:t>585,651,537</w:t>
            </w:r>
          </w:p>
        </w:tc>
        <w:tc>
          <w:tcPr>
            <w:tcW w:w="1133" w:type="dxa"/>
            <w:vAlign w:val="top"/>
          </w:tcPr>
          <w:p>
            <w:pPr>
              <w:pStyle w:val="TableText"/>
              <w:ind w:left="372"/>
              <w:spacing w:before="214" w:line="229" w:lineRule="auto"/>
              <w:rPr>
                <w:sz w:val="19"/>
                <w:szCs w:val="19"/>
              </w:rPr>
            </w:pPr>
            <w:r>
              <w:rPr>
                <w:sz w:val="19"/>
                <w:szCs w:val="19"/>
                <w:spacing w:val="4"/>
              </w:rPr>
              <w:t>质押</w:t>
            </w:r>
          </w:p>
        </w:tc>
        <w:tc>
          <w:tcPr>
            <w:tcW w:w="1418" w:type="dxa"/>
            <w:vAlign w:val="top"/>
          </w:tcPr>
          <w:p>
            <w:pPr>
              <w:pStyle w:val="TableText"/>
              <w:ind w:left="165"/>
              <w:spacing w:before="248" w:line="188" w:lineRule="auto"/>
              <w:rPr>
                <w:sz w:val="19"/>
                <w:szCs w:val="19"/>
              </w:rPr>
            </w:pPr>
            <w:r>
              <w:rPr>
                <w:sz w:val="19"/>
                <w:szCs w:val="19"/>
                <w:spacing w:val="4"/>
              </w:rPr>
              <w:t>434,846,266</w:t>
            </w:r>
          </w:p>
        </w:tc>
        <w:tc>
          <w:tcPr>
            <w:tcW w:w="1140" w:type="dxa"/>
            <w:vAlign w:val="top"/>
          </w:tcPr>
          <w:p>
            <w:pPr>
              <w:pStyle w:val="TableText"/>
              <w:ind w:left="375"/>
              <w:spacing w:before="214" w:line="229" w:lineRule="auto"/>
              <w:rPr>
                <w:sz w:val="19"/>
                <w:szCs w:val="19"/>
              </w:rPr>
            </w:pPr>
            <w:r>
              <w:rPr>
                <w:sz w:val="19"/>
                <w:szCs w:val="19"/>
                <w:spacing w:val="3"/>
              </w:rPr>
              <w:t>未知</w:t>
            </w:r>
          </w:p>
        </w:tc>
      </w:tr>
      <w:tr>
        <w:trPr>
          <w:trHeight w:val="628" w:hRule="atLeast"/>
        </w:trPr>
        <w:tc>
          <w:tcPr>
            <w:tcW w:w="2980" w:type="dxa"/>
            <w:vAlign w:val="top"/>
          </w:tcPr>
          <w:p>
            <w:pPr>
              <w:pStyle w:val="TableText"/>
              <w:ind w:left="114" w:right="268"/>
              <w:spacing w:before="58" w:line="272" w:lineRule="auto"/>
              <w:rPr>
                <w:sz w:val="19"/>
                <w:szCs w:val="19"/>
              </w:rPr>
            </w:pPr>
            <w:r>
              <w:rPr>
                <w:sz w:val="19"/>
                <w:szCs w:val="19"/>
                <w:spacing w:val="9"/>
              </w:rPr>
              <w:t>深圳光启互联技术投资合伙企</w:t>
            </w:r>
            <w:r>
              <w:rPr>
                <w:sz w:val="19"/>
                <w:szCs w:val="19"/>
                <w:spacing w:val="2"/>
              </w:rPr>
              <w:t xml:space="preserve"> </w:t>
            </w:r>
            <w:r>
              <w:rPr>
                <w:sz w:val="19"/>
                <w:szCs w:val="19"/>
                <w:spacing w:val="5"/>
              </w:rPr>
              <w:t>业（有限合伙）</w:t>
            </w:r>
          </w:p>
        </w:tc>
        <w:tc>
          <w:tcPr>
            <w:tcW w:w="1701" w:type="dxa"/>
            <w:vAlign w:val="top"/>
          </w:tcPr>
          <w:p>
            <w:pPr>
              <w:pStyle w:val="TableText"/>
              <w:ind w:left="308"/>
              <w:spacing w:before="247" w:line="189" w:lineRule="auto"/>
              <w:rPr>
                <w:sz w:val="19"/>
                <w:szCs w:val="19"/>
              </w:rPr>
            </w:pPr>
            <w:r>
              <w:rPr>
                <w:sz w:val="19"/>
                <w:szCs w:val="19"/>
                <w:spacing w:val="3"/>
              </w:rPr>
              <w:t>585,651,537</w:t>
            </w:r>
          </w:p>
        </w:tc>
        <w:tc>
          <w:tcPr>
            <w:tcW w:w="707" w:type="dxa"/>
            <w:vAlign w:val="top"/>
          </w:tcPr>
          <w:p>
            <w:pPr>
              <w:pStyle w:val="TableText"/>
              <w:ind w:left="223"/>
              <w:spacing w:before="247" w:line="188" w:lineRule="auto"/>
              <w:rPr>
                <w:sz w:val="19"/>
                <w:szCs w:val="19"/>
              </w:rPr>
            </w:pPr>
            <w:r>
              <w:rPr>
                <w:sz w:val="19"/>
                <w:szCs w:val="19"/>
                <w:spacing w:val="-2"/>
              </w:rPr>
              <w:t>1.9</w:t>
            </w:r>
          </w:p>
        </w:tc>
        <w:tc>
          <w:tcPr>
            <w:tcW w:w="1701" w:type="dxa"/>
            <w:vAlign w:val="top"/>
          </w:tcPr>
          <w:p>
            <w:pPr>
              <w:pStyle w:val="TableText"/>
              <w:ind w:left="310"/>
              <w:spacing w:before="247" w:line="189" w:lineRule="auto"/>
              <w:rPr>
                <w:sz w:val="19"/>
                <w:szCs w:val="19"/>
              </w:rPr>
            </w:pPr>
            <w:r>
              <w:rPr>
                <w:sz w:val="19"/>
                <w:szCs w:val="19"/>
                <w:spacing w:val="3"/>
              </w:rPr>
              <w:t>585,651,537</w:t>
            </w:r>
          </w:p>
        </w:tc>
        <w:tc>
          <w:tcPr>
            <w:tcW w:w="1133" w:type="dxa"/>
            <w:vAlign w:val="top"/>
          </w:tcPr>
          <w:p>
            <w:pPr>
              <w:pStyle w:val="TableText"/>
              <w:ind w:left="372"/>
              <w:spacing w:before="215" w:line="229" w:lineRule="auto"/>
              <w:rPr>
                <w:sz w:val="19"/>
                <w:szCs w:val="19"/>
              </w:rPr>
            </w:pPr>
            <w:r>
              <w:rPr>
                <w:sz w:val="19"/>
                <w:szCs w:val="19"/>
                <w:spacing w:val="4"/>
              </w:rPr>
              <w:t>质押</w:t>
            </w:r>
          </w:p>
        </w:tc>
        <w:tc>
          <w:tcPr>
            <w:tcW w:w="1418" w:type="dxa"/>
            <w:vAlign w:val="top"/>
          </w:tcPr>
          <w:p>
            <w:pPr>
              <w:pStyle w:val="TableText"/>
              <w:ind w:left="169"/>
              <w:spacing w:before="247" w:line="189" w:lineRule="auto"/>
              <w:rPr>
                <w:sz w:val="19"/>
                <w:szCs w:val="19"/>
              </w:rPr>
            </w:pPr>
            <w:r>
              <w:rPr>
                <w:sz w:val="19"/>
                <w:szCs w:val="19"/>
                <w:spacing w:val="3"/>
              </w:rPr>
              <w:t>313,080,000</w:t>
            </w:r>
          </w:p>
        </w:tc>
        <w:tc>
          <w:tcPr>
            <w:tcW w:w="1140" w:type="dxa"/>
            <w:vAlign w:val="top"/>
          </w:tcPr>
          <w:p>
            <w:pPr>
              <w:pStyle w:val="TableText"/>
              <w:ind w:left="375"/>
              <w:spacing w:before="215" w:line="229" w:lineRule="auto"/>
              <w:rPr>
                <w:sz w:val="19"/>
                <w:szCs w:val="19"/>
              </w:rPr>
            </w:pPr>
            <w:r>
              <w:rPr>
                <w:sz w:val="19"/>
                <w:szCs w:val="19"/>
                <w:spacing w:val="3"/>
              </w:rPr>
              <w:t>未知</w:t>
            </w:r>
          </w:p>
        </w:tc>
      </w:tr>
      <w:tr>
        <w:trPr>
          <w:trHeight w:val="324" w:hRule="atLeast"/>
        </w:trPr>
        <w:tc>
          <w:tcPr>
            <w:tcW w:w="2980" w:type="dxa"/>
            <w:vAlign w:val="top"/>
          </w:tcPr>
          <w:p>
            <w:pPr>
              <w:pStyle w:val="TableText"/>
              <w:ind w:left="134"/>
              <w:spacing w:before="60" w:line="228" w:lineRule="auto"/>
              <w:rPr>
                <w:sz w:val="19"/>
                <w:szCs w:val="19"/>
              </w:rPr>
            </w:pPr>
            <w:r>
              <w:rPr>
                <w:sz w:val="19"/>
                <w:szCs w:val="19"/>
                <w:spacing w:val="7"/>
              </w:rPr>
              <w:t>中央汇金资产管理有限责任公司</w:t>
            </w:r>
          </w:p>
        </w:tc>
        <w:tc>
          <w:tcPr>
            <w:tcW w:w="1701" w:type="dxa"/>
            <w:vAlign w:val="top"/>
          </w:tcPr>
          <w:p>
            <w:pPr>
              <w:pStyle w:val="TableText"/>
              <w:ind w:left="306"/>
              <w:spacing w:before="93" w:line="188" w:lineRule="auto"/>
              <w:rPr>
                <w:sz w:val="19"/>
                <w:szCs w:val="19"/>
              </w:rPr>
            </w:pPr>
            <w:r>
              <w:rPr>
                <w:sz w:val="19"/>
                <w:szCs w:val="19"/>
                <w:spacing w:val="3"/>
              </w:rPr>
              <w:t>288,488,300</w:t>
            </w:r>
          </w:p>
        </w:tc>
        <w:tc>
          <w:tcPr>
            <w:tcW w:w="707" w:type="dxa"/>
            <w:vAlign w:val="top"/>
          </w:tcPr>
          <w:p>
            <w:pPr>
              <w:pStyle w:val="TableText"/>
              <w:ind w:left="210"/>
              <w:spacing w:before="93" w:line="187" w:lineRule="auto"/>
              <w:rPr>
                <w:sz w:val="19"/>
                <w:szCs w:val="19"/>
              </w:rPr>
            </w:pPr>
            <w:r>
              <w:rPr>
                <w:sz w:val="19"/>
                <w:szCs w:val="19"/>
                <w:spacing w:val="2"/>
              </w:rPr>
              <w:t>0.9</w:t>
            </w:r>
          </w:p>
        </w:tc>
        <w:tc>
          <w:tcPr>
            <w:tcW w:w="1701" w:type="dxa"/>
            <w:vAlign w:val="top"/>
          </w:tcPr>
          <w:p>
            <w:pPr>
              <w:pStyle w:val="TableText"/>
              <w:ind w:left="807"/>
              <w:spacing w:before="93" w:line="187" w:lineRule="auto"/>
              <w:rPr>
                <w:sz w:val="19"/>
                <w:szCs w:val="19"/>
              </w:rPr>
            </w:pPr>
            <w:r>
              <w:rPr>
                <w:sz w:val="19"/>
                <w:szCs w:val="19"/>
              </w:rPr>
              <w:t>0</w:t>
            </w:r>
          </w:p>
        </w:tc>
        <w:tc>
          <w:tcPr>
            <w:tcW w:w="1133" w:type="dxa"/>
            <w:vAlign w:val="top"/>
          </w:tcPr>
          <w:p>
            <w:pPr>
              <w:pStyle w:val="TableText"/>
              <w:ind w:left="474"/>
              <w:spacing w:before="59" w:line="229" w:lineRule="auto"/>
              <w:rPr>
                <w:sz w:val="19"/>
                <w:szCs w:val="19"/>
              </w:rPr>
            </w:pPr>
            <w:r>
              <w:rPr>
                <w:sz w:val="19"/>
                <w:szCs w:val="19"/>
              </w:rPr>
              <w:t>无</w:t>
            </w:r>
          </w:p>
        </w:tc>
        <w:tc>
          <w:tcPr>
            <w:tcW w:w="1418" w:type="dxa"/>
            <w:vAlign w:val="top"/>
          </w:tcPr>
          <w:p>
            <w:pPr>
              <w:pStyle w:val="TableText"/>
              <w:ind w:left="666"/>
              <w:spacing w:before="93" w:line="187" w:lineRule="auto"/>
              <w:rPr>
                <w:sz w:val="19"/>
                <w:szCs w:val="19"/>
              </w:rPr>
            </w:pPr>
            <w:r>
              <w:rPr>
                <w:sz w:val="19"/>
                <w:szCs w:val="19"/>
              </w:rPr>
              <w:t>0</w:t>
            </w:r>
          </w:p>
        </w:tc>
        <w:tc>
          <w:tcPr>
            <w:tcW w:w="1140" w:type="dxa"/>
            <w:vAlign w:val="top"/>
          </w:tcPr>
          <w:p>
            <w:pPr>
              <w:pStyle w:val="TableText"/>
              <w:ind w:left="375"/>
              <w:spacing w:before="59" w:line="229" w:lineRule="auto"/>
              <w:rPr>
                <w:sz w:val="19"/>
                <w:szCs w:val="19"/>
              </w:rPr>
            </w:pPr>
            <w:r>
              <w:rPr>
                <w:sz w:val="19"/>
                <w:szCs w:val="19"/>
                <w:spacing w:val="3"/>
              </w:rPr>
              <w:t>未知</w:t>
            </w:r>
          </w:p>
        </w:tc>
      </w:tr>
    </w:tbl>
    <w:p>
      <w:pPr>
        <w:rPr>
          <w:rFonts w:ascii="Arial"/>
          <w:sz w:val="21"/>
        </w:rPr>
      </w:pPr>
      <w:r/>
    </w:p>
    <w:p>
      <w:pPr>
        <w:sectPr>
          <w:headerReference w:type="default" r:id="rId6"/>
          <w:footerReference w:type="default" r:id="rId7"/>
          <w:pgSz w:w="11907" w:h="16839"/>
          <w:pgMar w:top="1374" w:right="597" w:bottom="1431" w:left="523" w:header="835" w:footer="1212" w:gutter="0"/>
        </w:sectPr>
        <w:rPr>
          <w:rFonts w:ascii="Arial" w:hAnsi="Arial" w:eastAsia="Arial" w:cs="Arial"/>
          <w:sz w:val="21"/>
          <w:szCs w:val="21"/>
        </w:rPr>
      </w:pPr>
    </w:p>
    <w:p>
      <w:pPr>
        <w:spacing w:line="149" w:lineRule="exact"/>
        <w:rPr/>
      </w:pPr>
      <w:r/>
    </w:p>
    <w:tbl>
      <w:tblPr>
        <w:tblStyle w:val="TableNormal"/>
        <w:tblW w:w="1078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973"/>
        <w:gridCol w:w="2805"/>
        <w:gridCol w:w="1862"/>
        <w:gridCol w:w="2140"/>
      </w:tblGrid>
      <w:tr>
        <w:trPr>
          <w:trHeight w:val="2819" w:hRule="atLeast"/>
        </w:trPr>
        <w:tc>
          <w:tcPr>
            <w:tcW w:w="10780" w:type="dxa"/>
            <w:vAlign w:val="top"/>
            <w:gridSpan w:val="4"/>
          </w:tcPr>
          <w:p>
            <w:pPr>
              <w:pStyle w:val="TableText"/>
              <w:ind w:left="114"/>
              <w:spacing w:before="227" w:line="224" w:lineRule="auto"/>
              <w:rPr>
                <w:sz w:val="18"/>
                <w:szCs w:val="18"/>
              </w:rPr>
            </w:pPr>
            <w:r>
              <w:rPr>
                <w:sz w:val="18"/>
                <w:szCs w:val="18"/>
                <w:spacing w:val="-13"/>
              </w:rPr>
              <w:t>注：</w:t>
            </w:r>
          </w:p>
          <w:p>
            <w:pPr>
              <w:pStyle w:val="TableText"/>
              <w:ind w:left="102" w:right="105" w:firstLine="25"/>
              <w:spacing w:before="94" w:line="313" w:lineRule="auto"/>
              <w:rPr>
                <w:sz w:val="18"/>
                <w:szCs w:val="18"/>
              </w:rPr>
            </w:pPr>
            <w:r>
              <w:rPr>
                <w:sz w:val="18"/>
                <w:szCs w:val="18"/>
                <w:spacing w:val="-1"/>
              </w:rPr>
              <w:t>1.上表数据来源于中国证券登记结算有限责任公司上海分公司（简称“中国结算</w:t>
            </w:r>
            <w:r>
              <w:rPr>
                <w:sz w:val="18"/>
                <w:szCs w:val="18"/>
                <w:spacing w:val="-2"/>
              </w:rPr>
              <w:t>”）提供的合并普通账户和融资融券信用账户股东名册</w:t>
            </w:r>
            <w:r>
              <w:rPr>
                <w:sz w:val="18"/>
                <w:szCs w:val="18"/>
              </w:rPr>
              <w:t xml:space="preserve"> </w:t>
            </w:r>
            <w:r>
              <w:rPr>
                <w:sz w:val="18"/>
                <w:szCs w:val="18"/>
                <w:spacing w:val="-1"/>
              </w:rPr>
              <w:t>的前十大股东信息（简称“本次前十大股东信息”</w:t>
            </w:r>
            <w:r>
              <w:rPr>
                <w:sz w:val="18"/>
                <w:szCs w:val="18"/>
                <w:spacing w:val="-7"/>
              </w:rPr>
              <w:t>），</w:t>
            </w:r>
            <w:r>
              <w:rPr>
                <w:sz w:val="18"/>
                <w:szCs w:val="18"/>
                <w:spacing w:val="-1"/>
              </w:rPr>
              <w:t>其中，</w:t>
            </w:r>
            <w:r>
              <w:rPr>
                <w:sz w:val="18"/>
                <w:szCs w:val="18"/>
                <w:spacing w:val="-2"/>
              </w:rPr>
              <w:t>中国人寿保险股份有限公司（简称“中国人寿”）于</w:t>
            </w:r>
            <w:r>
              <w:rPr>
                <w:sz w:val="18"/>
                <w:szCs w:val="18"/>
                <w:spacing w:val="-33"/>
              </w:rPr>
              <w:t xml:space="preserve"> </w:t>
            </w:r>
            <w:r>
              <w:rPr>
                <w:sz w:val="18"/>
                <w:szCs w:val="18"/>
                <w:spacing w:val="-2"/>
              </w:rPr>
              <w:t>2017</w:t>
            </w:r>
            <w:r>
              <w:rPr>
                <w:sz w:val="18"/>
                <w:szCs w:val="18"/>
                <w:spacing w:val="-38"/>
              </w:rPr>
              <w:t xml:space="preserve"> </w:t>
            </w:r>
            <w:r>
              <w:rPr>
                <w:sz w:val="18"/>
                <w:szCs w:val="18"/>
                <w:spacing w:val="-2"/>
              </w:rPr>
              <w:t>年</w:t>
            </w:r>
            <w:r>
              <w:rPr>
                <w:sz w:val="18"/>
                <w:szCs w:val="18"/>
                <w:spacing w:val="-24"/>
              </w:rPr>
              <w:t xml:space="preserve"> </w:t>
            </w:r>
            <w:r>
              <w:rPr>
                <w:sz w:val="18"/>
                <w:szCs w:val="18"/>
                <w:spacing w:val="-2"/>
              </w:rPr>
              <w:t>10</w:t>
            </w:r>
            <w:r>
              <w:rPr>
                <w:sz w:val="18"/>
                <w:szCs w:val="18"/>
                <w:spacing w:val="-32"/>
              </w:rPr>
              <w:t xml:space="preserve"> </w:t>
            </w:r>
            <w:r>
              <w:rPr>
                <w:sz w:val="18"/>
                <w:szCs w:val="18"/>
                <w:spacing w:val="-2"/>
              </w:rPr>
              <w:t>月底通过</w:t>
            </w:r>
            <w:r>
              <w:rPr>
                <w:sz w:val="18"/>
                <w:szCs w:val="18"/>
              </w:rPr>
              <w:t xml:space="preserve"> </w:t>
            </w:r>
            <w:r>
              <w:rPr>
                <w:sz w:val="18"/>
                <w:szCs w:val="18"/>
                <w:spacing w:val="-3"/>
              </w:rPr>
              <w:t>“</w:t>
            </w:r>
            <w:r>
              <w:rPr>
                <w:sz w:val="18"/>
                <w:szCs w:val="18"/>
                <w:spacing w:val="-66"/>
              </w:rPr>
              <w:t xml:space="preserve"> </w:t>
            </w:r>
            <w:r>
              <w:rPr>
                <w:sz w:val="18"/>
                <w:szCs w:val="18"/>
                <w:spacing w:val="-3"/>
              </w:rPr>
              <w:t>中国人寿保险股份有限公司—传统—普通保险产品—005L—CT001 沪</w:t>
            </w:r>
            <w:r>
              <w:rPr>
                <w:sz w:val="18"/>
                <w:szCs w:val="18"/>
                <w:spacing w:val="-66"/>
              </w:rPr>
              <w:t xml:space="preserve"> </w:t>
            </w:r>
            <w:r>
              <w:rPr>
                <w:sz w:val="18"/>
                <w:szCs w:val="18"/>
                <w:spacing w:val="-3"/>
              </w:rPr>
              <w:t>”账户完成本公司非公开发行股份的认购。除上述账户外， 中国</w:t>
            </w:r>
            <w:r>
              <w:rPr>
                <w:sz w:val="18"/>
                <w:szCs w:val="18"/>
              </w:rPr>
              <w:t xml:space="preserve"> </w:t>
            </w:r>
            <w:r>
              <w:rPr>
                <w:sz w:val="18"/>
                <w:szCs w:val="18"/>
                <w:spacing w:val="-1"/>
              </w:rPr>
              <w:t>人寿通过其自身控制的其他账户合计持有本公司股份约</w:t>
            </w:r>
            <w:r>
              <w:rPr>
                <w:sz w:val="18"/>
                <w:szCs w:val="18"/>
                <w:spacing w:val="-32"/>
              </w:rPr>
              <w:t xml:space="preserve"> </w:t>
            </w:r>
            <w:r>
              <w:rPr>
                <w:sz w:val="18"/>
                <w:szCs w:val="18"/>
                <w:spacing w:val="-1"/>
              </w:rPr>
              <w:t>370</w:t>
            </w:r>
            <w:r>
              <w:rPr>
                <w:sz w:val="18"/>
                <w:szCs w:val="18"/>
                <w:spacing w:val="-35"/>
              </w:rPr>
              <w:t xml:space="preserve"> </w:t>
            </w:r>
            <w:r>
              <w:rPr>
                <w:sz w:val="18"/>
                <w:szCs w:val="18"/>
                <w:spacing w:val="-1"/>
              </w:rPr>
              <w:t>万</w:t>
            </w:r>
            <w:r>
              <w:rPr>
                <w:sz w:val="18"/>
                <w:szCs w:val="18"/>
                <w:spacing w:val="-2"/>
              </w:rPr>
              <w:t>股。</w:t>
            </w:r>
          </w:p>
          <w:p>
            <w:pPr>
              <w:pStyle w:val="TableText"/>
              <w:ind w:left="114" w:right="85" w:firstLine="2"/>
              <w:spacing w:before="27" w:line="311" w:lineRule="auto"/>
              <w:jc w:val="both"/>
              <w:rPr>
                <w:sz w:val="18"/>
                <w:szCs w:val="18"/>
              </w:rPr>
            </w:pPr>
            <w:r>
              <w:rPr>
                <w:sz w:val="18"/>
                <w:szCs w:val="18"/>
                <w:spacing w:val="-1"/>
              </w:rPr>
              <w:t>2.前十名无限售条件股东中，包含中国国有企业结构调整基</w:t>
            </w:r>
            <w:r>
              <w:rPr>
                <w:sz w:val="18"/>
                <w:szCs w:val="18"/>
                <w:spacing w:val="-2"/>
              </w:rPr>
              <w:t>金股份有限公司（简称“结构调整基金</w:t>
            </w:r>
            <w:r>
              <w:rPr>
                <w:sz w:val="18"/>
                <w:szCs w:val="18"/>
                <w:spacing w:val="-66"/>
              </w:rPr>
              <w:t xml:space="preserve"> </w:t>
            </w:r>
            <w:r>
              <w:rPr>
                <w:sz w:val="18"/>
                <w:szCs w:val="18"/>
                <w:spacing w:val="-2"/>
              </w:rPr>
              <w:t>”）。公司控股股东中国联合网络通</w:t>
            </w:r>
            <w:r>
              <w:rPr>
                <w:sz w:val="18"/>
                <w:szCs w:val="18"/>
              </w:rPr>
              <w:t xml:space="preserve"> </w:t>
            </w:r>
            <w:r>
              <w:rPr>
                <w:sz w:val="18"/>
                <w:szCs w:val="18"/>
                <w:spacing w:val="-2"/>
              </w:rPr>
              <w:t>信集团有限公司于</w:t>
            </w:r>
            <w:r>
              <w:rPr>
                <w:sz w:val="18"/>
                <w:szCs w:val="18"/>
                <w:spacing w:val="-29"/>
              </w:rPr>
              <w:t xml:space="preserve"> </w:t>
            </w:r>
            <w:r>
              <w:rPr>
                <w:sz w:val="18"/>
                <w:szCs w:val="18"/>
                <w:spacing w:val="-2"/>
              </w:rPr>
              <w:t>2017</w:t>
            </w:r>
            <w:r>
              <w:rPr>
                <w:sz w:val="18"/>
                <w:szCs w:val="18"/>
                <w:spacing w:val="-37"/>
              </w:rPr>
              <w:t xml:space="preserve"> </w:t>
            </w:r>
            <w:r>
              <w:rPr>
                <w:sz w:val="18"/>
                <w:szCs w:val="18"/>
                <w:spacing w:val="-2"/>
              </w:rPr>
              <w:t>年</w:t>
            </w:r>
            <w:r>
              <w:rPr>
                <w:sz w:val="18"/>
                <w:szCs w:val="18"/>
                <w:spacing w:val="-24"/>
              </w:rPr>
              <w:t xml:space="preserve"> </w:t>
            </w:r>
            <w:r>
              <w:rPr>
                <w:sz w:val="18"/>
                <w:szCs w:val="18"/>
                <w:spacing w:val="-2"/>
              </w:rPr>
              <w:t>11</w:t>
            </w:r>
            <w:r>
              <w:rPr>
                <w:sz w:val="18"/>
                <w:szCs w:val="18"/>
                <w:spacing w:val="-34"/>
              </w:rPr>
              <w:t xml:space="preserve"> </w:t>
            </w:r>
            <w:r>
              <w:rPr>
                <w:sz w:val="18"/>
                <w:szCs w:val="18"/>
                <w:spacing w:val="-2"/>
              </w:rPr>
              <w:t>月底向结构调整基金完成协议转让</w:t>
            </w:r>
            <w:r>
              <w:rPr>
                <w:sz w:val="18"/>
                <w:szCs w:val="18"/>
                <w:spacing w:val="-24"/>
              </w:rPr>
              <w:t xml:space="preserve"> </w:t>
            </w:r>
            <w:r>
              <w:rPr>
                <w:sz w:val="18"/>
                <w:szCs w:val="18"/>
                <w:spacing w:val="-2"/>
              </w:rPr>
              <w:t>1,899,764,201</w:t>
            </w:r>
            <w:r>
              <w:rPr>
                <w:sz w:val="18"/>
                <w:szCs w:val="18"/>
                <w:spacing w:val="-35"/>
              </w:rPr>
              <w:t xml:space="preserve"> </w:t>
            </w:r>
            <w:r>
              <w:rPr>
                <w:sz w:val="18"/>
                <w:szCs w:val="18"/>
                <w:spacing w:val="-2"/>
              </w:rPr>
              <w:t>股本公司股份。根据双方《股份转让协议》相关约定，</w:t>
            </w:r>
            <w:r>
              <w:rPr>
                <w:sz w:val="18"/>
                <w:szCs w:val="18"/>
              </w:rPr>
              <w:t xml:space="preserve"> </w:t>
            </w:r>
            <w:r>
              <w:rPr>
                <w:sz w:val="18"/>
                <w:szCs w:val="18"/>
                <w:spacing w:val="-2"/>
              </w:rPr>
              <w:t>自交割日起</w:t>
            </w:r>
            <w:r>
              <w:rPr>
                <w:sz w:val="18"/>
                <w:szCs w:val="18"/>
                <w:spacing w:val="-15"/>
              </w:rPr>
              <w:t xml:space="preserve"> </w:t>
            </w:r>
            <w:r>
              <w:rPr>
                <w:sz w:val="18"/>
                <w:szCs w:val="18"/>
                <w:spacing w:val="-2"/>
              </w:rPr>
              <w:t>36</w:t>
            </w:r>
            <w:r>
              <w:rPr>
                <w:sz w:val="18"/>
                <w:szCs w:val="18"/>
                <w:spacing w:val="-37"/>
              </w:rPr>
              <w:t xml:space="preserve"> </w:t>
            </w:r>
            <w:r>
              <w:rPr>
                <w:sz w:val="18"/>
                <w:szCs w:val="18"/>
                <w:spacing w:val="-2"/>
              </w:rPr>
              <w:t>个月内，结构调整基金不得直接或间接转让此次协议转让股份。</w:t>
            </w:r>
          </w:p>
        </w:tc>
      </w:tr>
      <w:tr>
        <w:trPr>
          <w:trHeight w:val="314" w:hRule="atLeast"/>
        </w:trPr>
        <w:tc>
          <w:tcPr>
            <w:shd w:val="clear" w:fill="D9D9D9"/>
            <w:tcW w:w="10780" w:type="dxa"/>
            <w:vAlign w:val="top"/>
            <w:gridSpan w:val="4"/>
          </w:tcPr>
          <w:p>
            <w:pPr>
              <w:pStyle w:val="TableText"/>
              <w:ind w:left="3926"/>
              <w:spacing w:before="51" w:line="221" w:lineRule="auto"/>
              <w:rPr/>
            </w:pPr>
            <w:r>
              <w:rPr>
                <w:spacing w:val="-1"/>
              </w:rPr>
              <w:t>前十名无限售条件股东持股情况</w:t>
            </w:r>
          </w:p>
        </w:tc>
      </w:tr>
      <w:tr>
        <w:trPr>
          <w:trHeight w:val="312" w:hRule="atLeast"/>
        </w:trPr>
        <w:tc>
          <w:tcPr>
            <w:shd w:val="clear" w:fill="D9D9D9"/>
            <w:tcW w:w="3973" w:type="dxa"/>
            <w:vAlign w:val="top"/>
            <w:vMerge w:val="restart"/>
            <w:tcBorders>
              <w:bottom w:val="nil"/>
            </w:tcBorders>
          </w:tcPr>
          <w:p>
            <w:pPr>
              <w:pStyle w:val="TableText"/>
              <w:ind w:left="63"/>
              <w:spacing w:before="208" w:line="221" w:lineRule="auto"/>
              <w:rPr/>
            </w:pPr>
            <w:r>
              <w:rPr>
                <w:spacing w:val="-2"/>
              </w:rPr>
              <w:t>股东名称</w:t>
            </w:r>
          </w:p>
        </w:tc>
        <w:tc>
          <w:tcPr>
            <w:shd w:val="clear" w:fill="D9D9D9"/>
            <w:tcW w:w="2805" w:type="dxa"/>
            <w:vAlign w:val="top"/>
            <w:vMerge w:val="restart"/>
            <w:tcBorders>
              <w:bottom w:val="nil"/>
            </w:tcBorders>
          </w:tcPr>
          <w:p>
            <w:pPr>
              <w:pStyle w:val="TableText"/>
              <w:ind w:left="1109" w:right="347" w:hanging="749"/>
              <w:spacing w:before="49" w:line="251" w:lineRule="auto"/>
              <w:rPr/>
            </w:pPr>
            <w:r>
              <w:rPr>
                <w:spacing w:val="-1"/>
              </w:rPr>
              <w:t>持有无限售条件流通股</w:t>
            </w:r>
            <w:r>
              <w:rPr/>
              <w:t xml:space="preserve"> </w:t>
            </w:r>
            <w:r>
              <w:rPr>
                <w:spacing w:val="-5"/>
              </w:rPr>
              <w:t>的数量</w:t>
            </w:r>
          </w:p>
        </w:tc>
        <w:tc>
          <w:tcPr>
            <w:shd w:val="clear" w:fill="D9D9D9"/>
            <w:tcW w:w="4002" w:type="dxa"/>
            <w:vAlign w:val="top"/>
            <w:gridSpan w:val="2"/>
          </w:tcPr>
          <w:p>
            <w:pPr>
              <w:pStyle w:val="TableText"/>
              <w:ind w:left="1269"/>
              <w:spacing w:before="49" w:line="221" w:lineRule="auto"/>
              <w:rPr/>
            </w:pPr>
            <w:r>
              <w:rPr>
                <w:spacing w:val="-1"/>
              </w:rPr>
              <w:t>股份种类及数量</w:t>
            </w:r>
          </w:p>
        </w:tc>
      </w:tr>
      <w:tr>
        <w:trPr>
          <w:trHeight w:val="314" w:hRule="atLeast"/>
        </w:trPr>
        <w:tc>
          <w:tcPr>
            <w:tcW w:w="3973" w:type="dxa"/>
            <w:vAlign w:val="top"/>
            <w:vMerge w:val="continue"/>
            <w:tcBorders>
              <w:top w:val="nil"/>
            </w:tcBorders>
          </w:tcPr>
          <w:p>
            <w:pPr>
              <w:rPr>
                <w:rFonts w:ascii="Arial"/>
                <w:sz w:val="21"/>
              </w:rPr>
            </w:pPr>
            <w:r/>
          </w:p>
        </w:tc>
        <w:tc>
          <w:tcPr>
            <w:tcW w:w="2805" w:type="dxa"/>
            <w:vAlign w:val="top"/>
            <w:vMerge w:val="continue"/>
            <w:tcBorders>
              <w:top w:val="nil"/>
            </w:tcBorders>
          </w:tcPr>
          <w:p>
            <w:pPr>
              <w:rPr>
                <w:rFonts w:ascii="Arial"/>
                <w:sz w:val="21"/>
              </w:rPr>
            </w:pPr>
            <w:r/>
          </w:p>
        </w:tc>
        <w:tc>
          <w:tcPr>
            <w:shd w:val="clear" w:fill="D9D9D9"/>
            <w:tcW w:w="1862" w:type="dxa"/>
            <w:vAlign w:val="top"/>
          </w:tcPr>
          <w:p>
            <w:pPr>
              <w:pStyle w:val="TableText"/>
              <w:ind w:left="726"/>
              <w:spacing w:before="49" w:line="221" w:lineRule="auto"/>
              <w:rPr/>
            </w:pPr>
            <w:r>
              <w:rPr>
                <w:spacing w:val="-2"/>
              </w:rPr>
              <w:t>种类</w:t>
            </w:r>
          </w:p>
        </w:tc>
        <w:tc>
          <w:tcPr>
            <w:shd w:val="clear" w:fill="D9D9D9"/>
            <w:tcW w:w="2140" w:type="dxa"/>
            <w:vAlign w:val="top"/>
          </w:tcPr>
          <w:p>
            <w:pPr>
              <w:pStyle w:val="TableText"/>
              <w:ind w:left="868"/>
              <w:spacing w:before="49" w:line="221" w:lineRule="auto"/>
              <w:rPr/>
            </w:pPr>
            <w:r>
              <w:rPr>
                <w:spacing w:val="-2"/>
              </w:rPr>
              <w:t>数量</w:t>
            </w:r>
          </w:p>
        </w:tc>
      </w:tr>
      <w:tr>
        <w:trPr>
          <w:trHeight w:val="317" w:hRule="atLeast"/>
        </w:trPr>
        <w:tc>
          <w:tcPr>
            <w:tcW w:w="3973" w:type="dxa"/>
            <w:vAlign w:val="top"/>
          </w:tcPr>
          <w:p>
            <w:pPr>
              <w:pStyle w:val="TableText"/>
              <w:ind w:left="135"/>
              <w:spacing w:before="52" w:line="221" w:lineRule="auto"/>
              <w:rPr/>
            </w:pPr>
            <w:r>
              <w:rPr>
                <w:spacing w:val="-2"/>
              </w:rPr>
              <w:t>中国联合网络通信集团有限公司</w:t>
            </w:r>
          </w:p>
        </w:tc>
        <w:tc>
          <w:tcPr>
            <w:tcW w:w="2805" w:type="dxa"/>
            <w:vAlign w:val="top"/>
          </w:tcPr>
          <w:p>
            <w:pPr>
              <w:pStyle w:val="TableText"/>
              <w:ind w:left="688"/>
              <w:spacing w:before="87" w:line="183" w:lineRule="auto"/>
              <w:rPr/>
            </w:pPr>
            <w:r>
              <w:rPr>
                <w:spacing w:val="-2"/>
              </w:rPr>
              <w:t>11,399,724,220</w:t>
            </w:r>
          </w:p>
        </w:tc>
        <w:tc>
          <w:tcPr>
            <w:tcW w:w="1862" w:type="dxa"/>
            <w:vAlign w:val="top"/>
          </w:tcPr>
          <w:p>
            <w:pPr>
              <w:pStyle w:val="TableText"/>
              <w:ind w:left="308"/>
              <w:spacing w:before="53" w:line="220" w:lineRule="auto"/>
              <w:rPr/>
            </w:pPr>
            <w:r>
              <w:rPr>
                <w:spacing w:val="-2"/>
              </w:rPr>
              <w:t>人民币普通股</w:t>
            </w:r>
          </w:p>
        </w:tc>
        <w:tc>
          <w:tcPr>
            <w:tcW w:w="2140" w:type="dxa"/>
            <w:vAlign w:val="top"/>
          </w:tcPr>
          <w:p>
            <w:pPr>
              <w:pStyle w:val="TableText"/>
              <w:ind w:left="354"/>
              <w:spacing w:before="87" w:line="183" w:lineRule="auto"/>
              <w:rPr/>
            </w:pPr>
            <w:r>
              <w:rPr>
                <w:spacing w:val="-2"/>
              </w:rPr>
              <w:t>11,399,724,220</w:t>
            </w:r>
          </w:p>
        </w:tc>
      </w:tr>
      <w:tr>
        <w:trPr>
          <w:trHeight w:val="316" w:hRule="atLeast"/>
        </w:trPr>
        <w:tc>
          <w:tcPr>
            <w:tcW w:w="3973" w:type="dxa"/>
            <w:vAlign w:val="top"/>
          </w:tcPr>
          <w:p>
            <w:pPr>
              <w:pStyle w:val="TableText"/>
              <w:ind w:left="135"/>
              <w:spacing w:before="52" w:line="221" w:lineRule="auto"/>
              <w:rPr/>
            </w:pPr>
            <w:r>
              <w:rPr>
                <w:spacing w:val="-2"/>
              </w:rPr>
              <w:t>中国国有企业结构调整基金股份有限公司</w:t>
            </w:r>
          </w:p>
        </w:tc>
        <w:tc>
          <w:tcPr>
            <w:tcW w:w="2805" w:type="dxa"/>
            <w:vAlign w:val="top"/>
          </w:tcPr>
          <w:p>
            <w:pPr>
              <w:pStyle w:val="TableText"/>
              <w:ind w:left="741"/>
              <w:spacing w:before="86" w:line="183" w:lineRule="auto"/>
              <w:rPr/>
            </w:pPr>
            <w:r>
              <w:rPr>
                <w:spacing w:val="-2"/>
              </w:rPr>
              <w:t>1,899,764,201</w:t>
            </w:r>
          </w:p>
        </w:tc>
        <w:tc>
          <w:tcPr>
            <w:tcW w:w="1862" w:type="dxa"/>
            <w:vAlign w:val="top"/>
          </w:tcPr>
          <w:p>
            <w:pPr>
              <w:pStyle w:val="TableText"/>
              <w:ind w:left="308"/>
              <w:spacing w:before="52" w:line="220" w:lineRule="auto"/>
              <w:rPr/>
            </w:pPr>
            <w:r>
              <w:rPr>
                <w:spacing w:val="-2"/>
              </w:rPr>
              <w:t>人民币普通股</w:t>
            </w:r>
          </w:p>
        </w:tc>
        <w:tc>
          <w:tcPr>
            <w:tcW w:w="2140" w:type="dxa"/>
            <w:vAlign w:val="top"/>
          </w:tcPr>
          <w:p>
            <w:pPr>
              <w:pStyle w:val="TableText"/>
              <w:ind w:left="407"/>
              <w:spacing w:before="86" w:line="183" w:lineRule="auto"/>
              <w:rPr/>
            </w:pPr>
            <w:r>
              <w:rPr>
                <w:spacing w:val="-2"/>
              </w:rPr>
              <w:t>1,899,764,201</w:t>
            </w:r>
          </w:p>
        </w:tc>
      </w:tr>
      <w:tr>
        <w:trPr>
          <w:trHeight w:val="317" w:hRule="atLeast"/>
        </w:trPr>
        <w:tc>
          <w:tcPr>
            <w:tcW w:w="3973" w:type="dxa"/>
            <w:vAlign w:val="top"/>
          </w:tcPr>
          <w:p>
            <w:pPr>
              <w:pStyle w:val="TableText"/>
              <w:ind w:left="117"/>
              <w:spacing w:before="52" w:line="221" w:lineRule="auto"/>
              <w:rPr/>
            </w:pPr>
            <w:r>
              <w:rPr>
                <w:spacing w:val="-1"/>
              </w:rPr>
              <w:t>香港中央结算有限公司</w:t>
            </w:r>
          </w:p>
        </w:tc>
        <w:tc>
          <w:tcPr>
            <w:tcW w:w="2805" w:type="dxa"/>
            <w:vAlign w:val="top"/>
          </w:tcPr>
          <w:p>
            <w:pPr>
              <w:pStyle w:val="TableText"/>
              <w:ind w:left="832"/>
              <w:spacing w:before="87" w:line="183" w:lineRule="auto"/>
              <w:rPr/>
            </w:pPr>
            <w:r>
              <w:rPr>
                <w:spacing w:val="-1"/>
              </w:rPr>
              <w:t>621,464,024</w:t>
            </w:r>
          </w:p>
        </w:tc>
        <w:tc>
          <w:tcPr>
            <w:tcW w:w="1862" w:type="dxa"/>
            <w:vAlign w:val="top"/>
          </w:tcPr>
          <w:p>
            <w:pPr>
              <w:pStyle w:val="TableText"/>
              <w:ind w:left="308"/>
              <w:spacing w:before="53" w:line="220" w:lineRule="auto"/>
              <w:rPr/>
            </w:pPr>
            <w:r>
              <w:rPr>
                <w:spacing w:val="-2"/>
              </w:rPr>
              <w:t>人民币普通股</w:t>
            </w:r>
          </w:p>
        </w:tc>
        <w:tc>
          <w:tcPr>
            <w:tcW w:w="2140" w:type="dxa"/>
            <w:vAlign w:val="top"/>
          </w:tcPr>
          <w:p>
            <w:pPr>
              <w:pStyle w:val="TableText"/>
              <w:ind w:left="498"/>
              <w:spacing w:before="87" w:line="183" w:lineRule="auto"/>
              <w:rPr/>
            </w:pPr>
            <w:r>
              <w:rPr>
                <w:spacing w:val="-1"/>
              </w:rPr>
              <w:t>621,464,024</w:t>
            </w:r>
          </w:p>
        </w:tc>
      </w:tr>
      <w:tr>
        <w:trPr>
          <w:trHeight w:val="319" w:hRule="atLeast"/>
        </w:trPr>
        <w:tc>
          <w:tcPr>
            <w:tcW w:w="3973" w:type="dxa"/>
            <w:vAlign w:val="top"/>
          </w:tcPr>
          <w:p>
            <w:pPr>
              <w:pStyle w:val="TableText"/>
              <w:ind w:left="135"/>
              <w:spacing w:before="54" w:line="221" w:lineRule="auto"/>
              <w:rPr/>
            </w:pPr>
            <w:r>
              <w:rPr>
                <w:spacing w:val="-2"/>
              </w:rPr>
              <w:t>中央汇金资产管理有限责任公司</w:t>
            </w:r>
          </w:p>
        </w:tc>
        <w:tc>
          <w:tcPr>
            <w:tcW w:w="2805" w:type="dxa"/>
            <w:vAlign w:val="top"/>
          </w:tcPr>
          <w:p>
            <w:pPr>
              <w:pStyle w:val="TableText"/>
              <w:ind w:left="833"/>
              <w:spacing w:before="90" w:line="182" w:lineRule="auto"/>
              <w:rPr/>
            </w:pPr>
            <w:r>
              <w:rPr>
                <w:spacing w:val="-1"/>
              </w:rPr>
              <w:t>288,488,300</w:t>
            </w:r>
          </w:p>
        </w:tc>
        <w:tc>
          <w:tcPr>
            <w:tcW w:w="1862" w:type="dxa"/>
            <w:vAlign w:val="top"/>
          </w:tcPr>
          <w:p>
            <w:pPr>
              <w:pStyle w:val="TableText"/>
              <w:ind w:left="308"/>
              <w:spacing w:before="55" w:line="220" w:lineRule="auto"/>
              <w:rPr/>
            </w:pPr>
            <w:r>
              <w:rPr>
                <w:spacing w:val="-2"/>
              </w:rPr>
              <w:t>人民币普通股</w:t>
            </w:r>
          </w:p>
        </w:tc>
        <w:tc>
          <w:tcPr>
            <w:tcW w:w="2140" w:type="dxa"/>
            <w:vAlign w:val="top"/>
          </w:tcPr>
          <w:p>
            <w:pPr>
              <w:pStyle w:val="TableText"/>
              <w:ind w:left="499"/>
              <w:spacing w:before="90" w:line="182" w:lineRule="auto"/>
              <w:rPr/>
            </w:pPr>
            <w:r>
              <w:rPr>
                <w:spacing w:val="-1"/>
              </w:rPr>
              <w:t>288,488,300</w:t>
            </w:r>
          </w:p>
        </w:tc>
      </w:tr>
      <w:tr>
        <w:trPr>
          <w:trHeight w:val="316" w:hRule="atLeast"/>
        </w:trPr>
        <w:tc>
          <w:tcPr>
            <w:tcW w:w="3973" w:type="dxa"/>
            <w:vAlign w:val="top"/>
          </w:tcPr>
          <w:p>
            <w:pPr>
              <w:pStyle w:val="TableText"/>
              <w:ind w:left="119"/>
              <w:spacing w:before="52" w:line="221" w:lineRule="auto"/>
              <w:rPr/>
            </w:pPr>
            <w:r>
              <w:rPr>
                <w:spacing w:val="-1"/>
              </w:rPr>
              <w:t>北京凤山投资有限责任公司</w:t>
            </w:r>
          </w:p>
        </w:tc>
        <w:tc>
          <w:tcPr>
            <w:tcW w:w="2805" w:type="dxa"/>
            <w:vAlign w:val="top"/>
          </w:tcPr>
          <w:p>
            <w:pPr>
              <w:pStyle w:val="TableText"/>
              <w:ind w:left="846"/>
              <w:spacing w:before="87" w:line="183" w:lineRule="auto"/>
              <w:rPr/>
            </w:pPr>
            <w:r>
              <w:rPr>
                <w:spacing w:val="-2"/>
              </w:rPr>
              <w:t>107,287,440</w:t>
            </w:r>
          </w:p>
        </w:tc>
        <w:tc>
          <w:tcPr>
            <w:tcW w:w="1862" w:type="dxa"/>
            <w:vAlign w:val="top"/>
          </w:tcPr>
          <w:p>
            <w:pPr>
              <w:pStyle w:val="TableText"/>
              <w:ind w:left="308"/>
              <w:spacing w:before="52" w:line="220" w:lineRule="auto"/>
              <w:rPr/>
            </w:pPr>
            <w:r>
              <w:rPr>
                <w:spacing w:val="-2"/>
              </w:rPr>
              <w:t>人民币普通股</w:t>
            </w:r>
          </w:p>
        </w:tc>
        <w:tc>
          <w:tcPr>
            <w:tcW w:w="2140" w:type="dxa"/>
            <w:vAlign w:val="top"/>
          </w:tcPr>
          <w:p>
            <w:pPr>
              <w:pStyle w:val="TableText"/>
              <w:ind w:left="512"/>
              <w:spacing w:before="87" w:line="183" w:lineRule="auto"/>
              <w:rPr/>
            </w:pPr>
            <w:r>
              <w:rPr>
                <w:spacing w:val="-2"/>
              </w:rPr>
              <w:t>107,287,440</w:t>
            </w:r>
          </w:p>
        </w:tc>
      </w:tr>
      <w:tr>
        <w:trPr>
          <w:trHeight w:val="316" w:hRule="atLeast"/>
        </w:trPr>
        <w:tc>
          <w:tcPr>
            <w:tcW w:w="3973" w:type="dxa"/>
            <w:vAlign w:val="top"/>
          </w:tcPr>
          <w:p>
            <w:pPr>
              <w:pStyle w:val="TableText"/>
              <w:ind w:left="119"/>
              <w:spacing w:before="53" w:line="221" w:lineRule="auto"/>
              <w:rPr/>
            </w:pPr>
            <w:r>
              <w:rPr>
                <w:spacing w:val="-1"/>
              </w:rPr>
              <w:t>北京坤藤投资有限责任公司</w:t>
            </w:r>
          </w:p>
        </w:tc>
        <w:tc>
          <w:tcPr>
            <w:tcW w:w="2805" w:type="dxa"/>
            <w:vAlign w:val="top"/>
          </w:tcPr>
          <w:p>
            <w:pPr>
              <w:pStyle w:val="TableText"/>
              <w:ind w:left="846"/>
              <w:spacing w:before="87" w:line="183" w:lineRule="auto"/>
              <w:rPr/>
            </w:pPr>
            <w:r>
              <w:rPr>
                <w:spacing w:val="-2"/>
              </w:rPr>
              <w:t>100,581,975</w:t>
            </w:r>
          </w:p>
        </w:tc>
        <w:tc>
          <w:tcPr>
            <w:tcW w:w="1862" w:type="dxa"/>
            <w:vAlign w:val="top"/>
          </w:tcPr>
          <w:p>
            <w:pPr>
              <w:pStyle w:val="TableText"/>
              <w:ind w:left="308"/>
              <w:spacing w:before="53" w:line="220" w:lineRule="auto"/>
              <w:rPr/>
            </w:pPr>
            <w:r>
              <w:rPr>
                <w:spacing w:val="-2"/>
              </w:rPr>
              <w:t>人民币普通股</w:t>
            </w:r>
          </w:p>
        </w:tc>
        <w:tc>
          <w:tcPr>
            <w:tcW w:w="2140" w:type="dxa"/>
            <w:vAlign w:val="top"/>
          </w:tcPr>
          <w:p>
            <w:pPr>
              <w:pStyle w:val="TableText"/>
              <w:ind w:left="512"/>
              <w:spacing w:before="87" w:line="183" w:lineRule="auto"/>
              <w:rPr/>
            </w:pPr>
            <w:r>
              <w:rPr>
                <w:spacing w:val="-2"/>
              </w:rPr>
              <w:t>100,581,975</w:t>
            </w:r>
          </w:p>
        </w:tc>
      </w:tr>
      <w:tr>
        <w:trPr>
          <w:trHeight w:val="628" w:hRule="atLeast"/>
        </w:trPr>
        <w:tc>
          <w:tcPr>
            <w:tcW w:w="3973" w:type="dxa"/>
            <w:vAlign w:val="top"/>
          </w:tcPr>
          <w:p>
            <w:pPr>
              <w:pStyle w:val="TableText"/>
              <w:ind w:left="117" w:right="74" w:hanging="1"/>
              <w:spacing w:before="53" w:line="248" w:lineRule="auto"/>
              <w:rPr/>
            </w:pPr>
            <w:r>
              <w:rPr>
                <w:spacing w:val="-1"/>
              </w:rPr>
              <w:t>招商银行股份有限公司－博时中证央企结</w:t>
            </w:r>
            <w:r>
              <w:rPr>
                <w:spacing w:val="13"/>
              </w:rPr>
              <w:t xml:space="preserve"> </w:t>
            </w:r>
            <w:r>
              <w:rPr>
                <w:spacing w:val="-1"/>
              </w:rPr>
              <w:t>构调整交易型开放式指数证券投资基金</w:t>
            </w:r>
          </w:p>
        </w:tc>
        <w:tc>
          <w:tcPr>
            <w:tcW w:w="2805" w:type="dxa"/>
            <w:vAlign w:val="top"/>
          </w:tcPr>
          <w:p>
            <w:pPr>
              <w:pStyle w:val="TableText"/>
              <w:ind w:left="884"/>
              <w:spacing w:before="244" w:line="183" w:lineRule="auto"/>
              <w:rPr/>
            </w:pPr>
            <w:r>
              <w:rPr>
                <w:spacing w:val="-1"/>
              </w:rPr>
              <w:t>84,311,698</w:t>
            </w:r>
          </w:p>
        </w:tc>
        <w:tc>
          <w:tcPr>
            <w:tcW w:w="1862" w:type="dxa"/>
            <w:vAlign w:val="top"/>
          </w:tcPr>
          <w:p>
            <w:pPr>
              <w:pStyle w:val="TableText"/>
              <w:ind w:left="308"/>
              <w:spacing w:before="210" w:line="220" w:lineRule="auto"/>
              <w:rPr/>
            </w:pPr>
            <w:r>
              <w:rPr>
                <w:spacing w:val="-2"/>
              </w:rPr>
              <w:t>人民币普通股</w:t>
            </w:r>
          </w:p>
        </w:tc>
        <w:tc>
          <w:tcPr>
            <w:tcW w:w="2140" w:type="dxa"/>
            <w:vAlign w:val="top"/>
          </w:tcPr>
          <w:p>
            <w:pPr>
              <w:pStyle w:val="TableText"/>
              <w:ind w:left="550"/>
              <w:spacing w:before="244" w:line="183" w:lineRule="auto"/>
              <w:rPr/>
            </w:pPr>
            <w:r>
              <w:rPr>
                <w:spacing w:val="-1"/>
              </w:rPr>
              <w:t>84,311,698</w:t>
            </w:r>
          </w:p>
        </w:tc>
      </w:tr>
      <w:tr>
        <w:trPr>
          <w:trHeight w:val="628" w:hRule="atLeast"/>
        </w:trPr>
        <w:tc>
          <w:tcPr>
            <w:tcW w:w="3973" w:type="dxa"/>
            <w:vAlign w:val="top"/>
          </w:tcPr>
          <w:p>
            <w:pPr>
              <w:pStyle w:val="TableText"/>
              <w:ind w:left="117" w:right="182" w:firstLine="18"/>
              <w:spacing w:before="53" w:line="248" w:lineRule="auto"/>
              <w:rPr/>
            </w:pPr>
            <w:r>
              <w:rPr>
                <w:spacing w:val="-3"/>
              </w:rPr>
              <w:t>中国工商银行－上证</w:t>
            </w:r>
            <w:r>
              <w:rPr>
                <w:spacing w:val="-36"/>
              </w:rPr>
              <w:t xml:space="preserve"> </w:t>
            </w:r>
            <w:r>
              <w:rPr>
                <w:spacing w:val="-3"/>
              </w:rPr>
              <w:t>50</w:t>
            </w:r>
            <w:r>
              <w:rPr>
                <w:spacing w:val="-42"/>
              </w:rPr>
              <w:t xml:space="preserve"> </w:t>
            </w:r>
            <w:r>
              <w:rPr>
                <w:spacing w:val="-3"/>
              </w:rPr>
              <w:t>交易型开放式指</w:t>
            </w:r>
            <w:r>
              <w:rPr/>
              <w:t xml:space="preserve"> </w:t>
            </w:r>
            <w:r>
              <w:rPr>
                <w:spacing w:val="-1"/>
              </w:rPr>
              <w:t>数证券投资基金</w:t>
            </w:r>
          </w:p>
        </w:tc>
        <w:tc>
          <w:tcPr>
            <w:tcW w:w="2805" w:type="dxa"/>
            <w:vAlign w:val="top"/>
          </w:tcPr>
          <w:p>
            <w:pPr>
              <w:pStyle w:val="TableText"/>
              <w:ind w:left="885"/>
              <w:spacing w:before="246" w:line="182" w:lineRule="auto"/>
              <w:rPr/>
            </w:pPr>
            <w:r>
              <w:rPr>
                <w:spacing w:val="-1"/>
              </w:rPr>
              <w:t>68,430,593</w:t>
            </w:r>
          </w:p>
        </w:tc>
        <w:tc>
          <w:tcPr>
            <w:tcW w:w="1862" w:type="dxa"/>
            <w:vAlign w:val="top"/>
          </w:tcPr>
          <w:p>
            <w:pPr>
              <w:pStyle w:val="TableText"/>
              <w:ind w:left="308"/>
              <w:spacing w:before="210" w:line="220" w:lineRule="auto"/>
              <w:rPr/>
            </w:pPr>
            <w:r>
              <w:rPr>
                <w:spacing w:val="-2"/>
              </w:rPr>
              <w:t>人民币普通股</w:t>
            </w:r>
          </w:p>
        </w:tc>
        <w:tc>
          <w:tcPr>
            <w:tcW w:w="2140" w:type="dxa"/>
            <w:vAlign w:val="top"/>
          </w:tcPr>
          <w:p>
            <w:pPr>
              <w:pStyle w:val="TableText"/>
              <w:ind w:left="551"/>
              <w:spacing w:before="246" w:line="182" w:lineRule="auto"/>
              <w:rPr/>
            </w:pPr>
            <w:r>
              <w:rPr>
                <w:spacing w:val="-1"/>
              </w:rPr>
              <w:t>68,430,593</w:t>
            </w:r>
          </w:p>
        </w:tc>
      </w:tr>
      <w:tr>
        <w:trPr>
          <w:trHeight w:val="317" w:hRule="atLeast"/>
        </w:trPr>
        <w:tc>
          <w:tcPr>
            <w:tcW w:w="3973" w:type="dxa"/>
            <w:vAlign w:val="top"/>
          </w:tcPr>
          <w:p>
            <w:pPr>
              <w:pStyle w:val="TableText"/>
              <w:ind w:left="116"/>
              <w:spacing w:before="54" w:line="221" w:lineRule="auto"/>
              <w:rPr/>
            </w:pPr>
            <w:r>
              <w:rPr>
                <w:spacing w:val="-1"/>
              </w:rPr>
              <w:t>全国社保基金一一二组合</w:t>
            </w:r>
          </w:p>
        </w:tc>
        <w:tc>
          <w:tcPr>
            <w:tcW w:w="2805" w:type="dxa"/>
            <w:vAlign w:val="top"/>
          </w:tcPr>
          <w:p>
            <w:pPr>
              <w:pStyle w:val="TableText"/>
              <w:ind w:left="885"/>
              <w:spacing w:before="90" w:line="182" w:lineRule="auto"/>
              <w:rPr/>
            </w:pPr>
            <w:r>
              <w:rPr>
                <w:spacing w:val="-1"/>
              </w:rPr>
              <w:t>66,885,298</w:t>
            </w:r>
          </w:p>
        </w:tc>
        <w:tc>
          <w:tcPr>
            <w:tcW w:w="1862" w:type="dxa"/>
            <w:vAlign w:val="top"/>
          </w:tcPr>
          <w:p>
            <w:pPr>
              <w:pStyle w:val="TableText"/>
              <w:ind w:left="308"/>
              <w:spacing w:before="55" w:line="220" w:lineRule="auto"/>
              <w:rPr/>
            </w:pPr>
            <w:r>
              <w:rPr>
                <w:spacing w:val="-2"/>
              </w:rPr>
              <w:t>人民币普通股</w:t>
            </w:r>
          </w:p>
        </w:tc>
        <w:tc>
          <w:tcPr>
            <w:tcW w:w="2140" w:type="dxa"/>
            <w:vAlign w:val="top"/>
          </w:tcPr>
          <w:p>
            <w:pPr>
              <w:pStyle w:val="TableText"/>
              <w:ind w:left="551"/>
              <w:spacing w:before="90" w:line="182" w:lineRule="auto"/>
              <w:rPr/>
            </w:pPr>
            <w:r>
              <w:rPr>
                <w:spacing w:val="-1"/>
              </w:rPr>
              <w:t>66,885,298</w:t>
            </w:r>
          </w:p>
        </w:tc>
      </w:tr>
      <w:tr>
        <w:trPr>
          <w:trHeight w:val="319" w:hRule="atLeast"/>
        </w:trPr>
        <w:tc>
          <w:tcPr>
            <w:tcW w:w="3973" w:type="dxa"/>
            <w:vAlign w:val="top"/>
          </w:tcPr>
          <w:p>
            <w:pPr>
              <w:pStyle w:val="TableText"/>
              <w:ind w:left="116"/>
              <w:spacing w:before="56" w:line="221" w:lineRule="auto"/>
              <w:rPr/>
            </w:pPr>
            <w:r>
              <w:rPr>
                <w:spacing w:val="-1"/>
              </w:rPr>
              <w:t>齐齐哈尔市中正房地产开发有限公司</w:t>
            </w:r>
          </w:p>
        </w:tc>
        <w:tc>
          <w:tcPr>
            <w:tcW w:w="2805" w:type="dxa"/>
            <w:vAlign w:val="top"/>
          </w:tcPr>
          <w:p>
            <w:pPr>
              <w:pStyle w:val="TableText"/>
              <w:ind w:left="885"/>
              <w:spacing w:before="92" w:line="182" w:lineRule="auto"/>
              <w:rPr/>
            </w:pPr>
            <w:r>
              <w:rPr>
                <w:spacing w:val="-1"/>
              </w:rPr>
              <w:t>65,532,320</w:t>
            </w:r>
          </w:p>
        </w:tc>
        <w:tc>
          <w:tcPr>
            <w:tcW w:w="1862" w:type="dxa"/>
            <w:vAlign w:val="top"/>
          </w:tcPr>
          <w:p>
            <w:pPr>
              <w:pStyle w:val="TableText"/>
              <w:ind w:left="308"/>
              <w:spacing w:before="57" w:line="220" w:lineRule="auto"/>
              <w:rPr/>
            </w:pPr>
            <w:r>
              <w:rPr>
                <w:spacing w:val="-2"/>
              </w:rPr>
              <w:t>人民币普通股</w:t>
            </w:r>
          </w:p>
        </w:tc>
        <w:tc>
          <w:tcPr>
            <w:tcW w:w="2140" w:type="dxa"/>
            <w:vAlign w:val="top"/>
          </w:tcPr>
          <w:p>
            <w:pPr>
              <w:pStyle w:val="TableText"/>
              <w:ind w:left="551"/>
              <w:spacing w:before="92" w:line="182" w:lineRule="auto"/>
              <w:rPr/>
            </w:pPr>
            <w:r>
              <w:rPr>
                <w:spacing w:val="-1"/>
              </w:rPr>
              <w:t>65,532,320</w:t>
            </w:r>
          </w:p>
        </w:tc>
      </w:tr>
      <w:tr>
        <w:trPr>
          <w:trHeight w:val="3121" w:hRule="atLeast"/>
        </w:trPr>
        <w:tc>
          <w:tcPr>
            <w:shd w:val="clear" w:fill="D9D9D9"/>
            <w:tcW w:w="3973" w:type="dxa"/>
            <w:vAlign w:val="top"/>
          </w:tcPr>
          <w:p>
            <w:pPr>
              <w:pStyle w:val="TableText"/>
              <w:ind w:left="64"/>
              <w:spacing w:before="54" w:line="221" w:lineRule="auto"/>
              <w:rPr/>
            </w:pPr>
            <w:r>
              <w:rPr>
                <w:spacing w:val="-1"/>
              </w:rPr>
              <w:t>上述股东关联关系或一致行动的说明</w:t>
            </w:r>
          </w:p>
        </w:tc>
        <w:tc>
          <w:tcPr>
            <w:tcW w:w="6807" w:type="dxa"/>
            <w:vAlign w:val="top"/>
            <w:gridSpan w:val="3"/>
          </w:tcPr>
          <w:p>
            <w:pPr>
              <w:pStyle w:val="TableText"/>
              <w:ind w:left="75"/>
              <w:spacing w:before="223" w:line="219" w:lineRule="auto"/>
              <w:rPr>
                <w:sz w:val="18"/>
                <w:szCs w:val="18"/>
              </w:rPr>
            </w:pPr>
            <w:r>
              <w:rPr>
                <w:sz w:val="18"/>
                <w:szCs w:val="18"/>
                <w:spacing w:val="-2"/>
              </w:rPr>
              <w:t>1.中国联合网络通信集团有限公司为本公司控股股东。</w:t>
            </w:r>
          </w:p>
          <w:p>
            <w:pPr>
              <w:pStyle w:val="TableText"/>
              <w:ind w:left="62" w:right="86" w:firstLine="1"/>
              <w:spacing w:before="98" w:line="307" w:lineRule="auto"/>
              <w:rPr>
                <w:sz w:val="18"/>
                <w:szCs w:val="18"/>
              </w:rPr>
            </w:pPr>
            <w:r>
              <w:rPr>
                <w:sz w:val="18"/>
                <w:szCs w:val="18"/>
              </w:rPr>
              <w:t>2.根据公开披露信息，杭州阿里创业投资有限公司为苏宁易购</w:t>
            </w:r>
            <w:r>
              <w:rPr>
                <w:sz w:val="18"/>
                <w:szCs w:val="18"/>
                <w:spacing w:val="-1"/>
              </w:rPr>
              <w:t>集团股份有限公司关联</w:t>
            </w:r>
            <w:r>
              <w:rPr>
                <w:sz w:val="18"/>
                <w:szCs w:val="18"/>
              </w:rPr>
              <w:t xml:space="preserve"> </w:t>
            </w:r>
            <w:r>
              <w:rPr>
                <w:sz w:val="18"/>
                <w:szCs w:val="18"/>
                <w:spacing w:val="-1"/>
              </w:rPr>
              <w:t>方，双方构成关联关系。</w:t>
            </w:r>
          </w:p>
          <w:p>
            <w:pPr>
              <w:pStyle w:val="TableText"/>
              <w:ind w:left="66" w:right="86" w:hanging="1"/>
              <w:spacing w:before="24" w:line="307" w:lineRule="auto"/>
              <w:rPr>
                <w:sz w:val="18"/>
                <w:szCs w:val="18"/>
              </w:rPr>
            </w:pPr>
            <w:r>
              <w:rPr>
                <w:sz w:val="18"/>
                <w:szCs w:val="18"/>
              </w:rPr>
              <w:t>3.除上述情况外，本公司未知前十名股东之间是否存在其</w:t>
            </w:r>
            <w:r>
              <w:rPr>
                <w:sz w:val="18"/>
                <w:szCs w:val="18"/>
                <w:spacing w:val="-1"/>
              </w:rPr>
              <w:t>他《上海证券交易所股票上</w:t>
            </w:r>
            <w:r>
              <w:rPr>
                <w:sz w:val="18"/>
                <w:szCs w:val="18"/>
              </w:rPr>
              <w:t xml:space="preserve"> </w:t>
            </w:r>
            <w:r>
              <w:rPr>
                <w:sz w:val="18"/>
                <w:szCs w:val="18"/>
                <w:spacing w:val="-1"/>
              </w:rPr>
              <w:t>市规则》规定的关联关系或构成《上市公司收购管理办法》规定的一致行动人。</w:t>
            </w:r>
          </w:p>
          <w:p>
            <w:pPr>
              <w:pStyle w:val="TableText"/>
              <w:ind w:left="62" w:right="93" w:hanging="1"/>
              <w:spacing w:before="25" w:line="307" w:lineRule="auto"/>
              <w:rPr>
                <w:sz w:val="18"/>
                <w:szCs w:val="18"/>
              </w:rPr>
            </w:pPr>
            <w:r>
              <w:rPr>
                <w:sz w:val="18"/>
                <w:szCs w:val="18"/>
              </w:rPr>
              <w:t>4.本公司未知前十名无限售条件股东之间是否存在</w:t>
            </w:r>
            <w:r>
              <w:rPr>
                <w:sz w:val="18"/>
                <w:szCs w:val="18"/>
                <w:spacing w:val="-1"/>
              </w:rPr>
              <w:t>《上海证券交易所股票上市规则》</w:t>
            </w:r>
            <w:r>
              <w:rPr>
                <w:sz w:val="18"/>
                <w:szCs w:val="18"/>
              </w:rPr>
              <w:t xml:space="preserve"> </w:t>
            </w:r>
            <w:r>
              <w:rPr>
                <w:sz w:val="18"/>
                <w:szCs w:val="18"/>
                <w:spacing w:val="-1"/>
              </w:rPr>
              <w:t>规定的关联关系或构成《上市公司收购管理办法》规定的一致行动人。</w:t>
            </w:r>
          </w:p>
          <w:p>
            <w:pPr>
              <w:pStyle w:val="TableText"/>
              <w:ind w:left="63" w:right="86" w:firstLine="2"/>
              <w:spacing w:before="25" w:line="307" w:lineRule="auto"/>
              <w:rPr>
                <w:sz w:val="18"/>
                <w:szCs w:val="18"/>
              </w:rPr>
            </w:pPr>
            <w:r>
              <w:rPr>
                <w:sz w:val="18"/>
                <w:szCs w:val="18"/>
              </w:rPr>
              <w:t>5.本公司未知前十名无限售条件股东和前十名股东之间是</w:t>
            </w:r>
            <w:r>
              <w:rPr>
                <w:sz w:val="18"/>
                <w:szCs w:val="18"/>
                <w:spacing w:val="-1"/>
              </w:rPr>
              <w:t>否存在《上海证券交易所股</w:t>
            </w:r>
            <w:r>
              <w:rPr>
                <w:sz w:val="18"/>
                <w:szCs w:val="18"/>
              </w:rPr>
              <w:t xml:space="preserve"> </w:t>
            </w:r>
            <w:r>
              <w:rPr>
                <w:sz w:val="18"/>
                <w:szCs w:val="18"/>
              </w:rPr>
              <w:t>票上市规则》规定的关联关系或构成《上市公司收购管理办法</w:t>
            </w:r>
            <w:r>
              <w:rPr>
                <w:sz w:val="18"/>
                <w:szCs w:val="18"/>
                <w:spacing w:val="-1"/>
              </w:rPr>
              <w:t>》规定的一致行动人。</w:t>
            </w:r>
          </w:p>
        </w:tc>
      </w:tr>
      <w:tr>
        <w:trPr>
          <w:trHeight w:val="627" w:hRule="atLeast"/>
        </w:trPr>
        <w:tc>
          <w:tcPr>
            <w:shd w:val="clear" w:fill="D9D9D9"/>
            <w:tcW w:w="3973" w:type="dxa"/>
            <w:vAlign w:val="top"/>
          </w:tcPr>
          <w:p>
            <w:pPr>
              <w:pStyle w:val="TableText"/>
              <w:ind w:left="82" w:right="127" w:hanging="20"/>
              <w:spacing w:before="55" w:line="247" w:lineRule="auto"/>
              <w:rPr/>
            </w:pPr>
            <w:r>
              <w:rPr>
                <w:spacing w:val="-1"/>
              </w:rPr>
              <w:t>表决权恢复的优先股股东及持股数量的说</w:t>
            </w:r>
            <w:r>
              <w:rPr>
                <w:spacing w:val="14"/>
              </w:rPr>
              <w:t xml:space="preserve"> </w:t>
            </w:r>
            <w:r>
              <w:rPr/>
              <w:t>明</w:t>
            </w:r>
          </w:p>
        </w:tc>
        <w:tc>
          <w:tcPr>
            <w:tcW w:w="6807" w:type="dxa"/>
            <w:vAlign w:val="top"/>
            <w:gridSpan w:val="3"/>
          </w:tcPr>
          <w:p>
            <w:pPr>
              <w:pStyle w:val="TableText"/>
              <w:ind w:left="66"/>
              <w:spacing w:before="54" w:line="222" w:lineRule="auto"/>
              <w:rPr/>
            </w:pPr>
            <w:r>
              <w:rPr>
                <w:spacing w:val="-2"/>
              </w:rPr>
              <w:t>不适用</w:t>
            </w:r>
          </w:p>
        </w:tc>
      </w:tr>
    </w:tbl>
    <w:p>
      <w:pPr>
        <w:spacing w:line="251" w:lineRule="auto"/>
        <w:rPr>
          <w:rFonts w:ascii="Arial"/>
          <w:sz w:val="21"/>
        </w:rPr>
      </w:pPr>
      <w:r/>
    </w:p>
    <w:p>
      <w:pPr>
        <w:spacing w:line="251" w:lineRule="auto"/>
        <w:rPr>
          <w:rFonts w:ascii="Arial"/>
          <w:sz w:val="21"/>
        </w:rPr>
      </w:pPr>
      <w:r/>
    </w:p>
    <w:p>
      <w:pPr>
        <w:pStyle w:val="BodyText"/>
        <w:ind w:left="1659" w:right="727" w:hanging="419"/>
        <w:spacing w:before="69" w:line="269" w:lineRule="auto"/>
        <w:rPr/>
      </w:pPr>
      <w:r>
        <w:rPr/>
        <w:t>2.3 截止报告期末的优先股股东总数、前十名优先股股东、前十名优先股无限售条件股</w:t>
      </w:r>
      <w:r>
        <w:rPr>
          <w:spacing w:val="-1"/>
        </w:rPr>
        <w:t>东持股情</w:t>
      </w:r>
      <w:r>
        <w:rPr/>
        <w:t xml:space="preserve"> </w:t>
      </w:r>
      <w:r>
        <w:rPr>
          <w:spacing w:val="-2"/>
        </w:rPr>
        <w:t>况表</w:t>
      </w:r>
    </w:p>
    <w:p>
      <w:pPr>
        <w:pStyle w:val="BodyText"/>
        <w:ind w:left="1259"/>
        <w:spacing w:before="209" w:line="222" w:lineRule="auto"/>
        <w:rPr/>
      </w:pPr>
      <w:r>
        <w:rPr>
          <w:spacing w:val="-13"/>
        </w:rPr>
        <w:t>□适用</w:t>
      </w:r>
      <w:r>
        <w:rPr>
          <w:spacing w:val="63"/>
        </w:rPr>
        <w:t xml:space="preserve"> </w:t>
      </w:r>
      <w:r>
        <w:rPr>
          <w:spacing w:val="-13"/>
        </w:rPr>
        <w:t>√不适用</w:t>
      </w:r>
    </w:p>
    <w:p>
      <w:pPr>
        <w:spacing w:line="222" w:lineRule="auto"/>
        <w:sectPr>
          <w:footerReference w:type="default" r:id="rId8"/>
          <w:pgSz w:w="11907" w:h="16839"/>
          <w:pgMar w:top="1374" w:right="597" w:bottom="1431" w:left="523" w:header="835" w:footer="1212" w:gutter="0"/>
        </w:sectPr>
        <w:rPr/>
      </w:pPr>
    </w:p>
    <w:p>
      <w:pPr>
        <w:spacing w:line="413" w:lineRule="auto"/>
        <w:rPr>
          <w:rFonts w:ascii="Arial"/>
          <w:sz w:val="21"/>
        </w:rPr>
      </w:pPr>
      <w:r/>
    </w:p>
    <w:p>
      <w:pPr>
        <w:pStyle w:val="BodyText"/>
        <w:ind w:left="121"/>
        <w:spacing w:before="69" w:line="221" w:lineRule="auto"/>
        <w:outlineLvl w:val="1"/>
        <w:rPr/>
      </w:pPr>
      <w:r>
        <w:rPr>
          <w:b/>
          <w:bCs/>
          <w:spacing w:val="-1"/>
        </w:rPr>
        <w:t>三、经营情况</w:t>
      </w:r>
    </w:p>
    <w:p>
      <w:pPr>
        <w:spacing w:line="148" w:lineRule="exact"/>
        <w:rPr/>
      </w:pPr>
      <w:r/>
    </w:p>
    <w:tbl>
      <w:tblPr>
        <w:tblStyle w:val="TableNormal"/>
        <w:tblW w:w="9099"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241"/>
        <w:gridCol w:w="2423"/>
        <w:gridCol w:w="2435"/>
      </w:tblGrid>
      <w:tr>
        <w:trPr>
          <w:trHeight w:val="1052" w:hRule="atLeast"/>
        </w:trPr>
        <w:tc>
          <w:tcPr>
            <w:shd w:val="clear" w:fill="D9D9D9"/>
            <w:tcW w:w="4241" w:type="dxa"/>
            <w:vAlign w:val="top"/>
          </w:tcPr>
          <w:p>
            <w:pPr>
              <w:spacing w:line="352" w:lineRule="auto"/>
              <w:rPr>
                <w:rFonts w:ascii="Arial"/>
                <w:sz w:val="21"/>
              </w:rPr>
            </w:pPr>
            <w:r/>
          </w:p>
          <w:p>
            <w:pPr>
              <w:pStyle w:val="TableText"/>
              <w:ind w:left="1288"/>
              <w:spacing w:before="68" w:line="221" w:lineRule="auto"/>
              <w:rPr/>
            </w:pPr>
            <w:r>
              <w:rPr>
                <w:spacing w:val="-1"/>
              </w:rPr>
              <w:t>主要业务数据指标</w:t>
            </w:r>
          </w:p>
        </w:tc>
        <w:tc>
          <w:tcPr>
            <w:shd w:val="clear" w:fill="D9D9D9"/>
            <w:tcW w:w="2423" w:type="dxa"/>
            <w:vAlign w:val="top"/>
          </w:tcPr>
          <w:p>
            <w:pPr>
              <w:pStyle w:val="TableText"/>
              <w:ind w:left="275" w:right="101" w:firstLine="56"/>
              <w:spacing w:before="164" w:line="257" w:lineRule="auto"/>
              <w:jc w:val="both"/>
              <w:rPr/>
            </w:pPr>
            <w:r>
              <w:rPr>
                <w:spacing w:val="-9"/>
              </w:rPr>
              <w:t>于</w:t>
            </w:r>
            <w:r>
              <w:rPr>
                <w:spacing w:val="-40"/>
              </w:rPr>
              <w:t xml:space="preserve"> </w:t>
            </w:r>
            <w:r>
              <w:rPr>
                <w:spacing w:val="-9"/>
              </w:rPr>
              <w:t>2019</w:t>
            </w:r>
            <w:r>
              <w:rPr>
                <w:spacing w:val="-43"/>
              </w:rPr>
              <w:t xml:space="preserve"> </w:t>
            </w:r>
            <w:r>
              <w:rPr>
                <w:spacing w:val="-9"/>
              </w:rPr>
              <w:t>年</w:t>
            </w:r>
            <w:r>
              <w:rPr>
                <w:spacing w:val="-45"/>
              </w:rPr>
              <w:t xml:space="preserve"> </w:t>
            </w:r>
            <w:r>
              <w:rPr>
                <w:spacing w:val="-9"/>
              </w:rPr>
              <w:t>9</w:t>
            </w:r>
            <w:r>
              <w:rPr>
                <w:spacing w:val="-39"/>
              </w:rPr>
              <w:t xml:space="preserve"> </w:t>
            </w:r>
            <w:r>
              <w:rPr>
                <w:spacing w:val="-9"/>
              </w:rPr>
              <w:t>月</w:t>
            </w:r>
            <w:r>
              <w:rPr>
                <w:spacing w:val="-42"/>
              </w:rPr>
              <w:t xml:space="preserve"> </w:t>
            </w:r>
            <w:r>
              <w:rPr>
                <w:spacing w:val="-9"/>
              </w:rPr>
              <w:t>30 日/</w:t>
            </w:r>
            <w:r>
              <w:rPr/>
              <w:t xml:space="preserve"> </w:t>
            </w:r>
            <w:r>
              <w:rPr>
                <w:spacing w:val="-7"/>
              </w:rPr>
              <w:t>由</w:t>
            </w:r>
            <w:r>
              <w:rPr>
                <w:spacing w:val="-42"/>
              </w:rPr>
              <w:t xml:space="preserve"> </w:t>
            </w:r>
            <w:r>
              <w:rPr>
                <w:spacing w:val="-7"/>
              </w:rPr>
              <w:t>2019</w:t>
            </w:r>
            <w:r>
              <w:rPr>
                <w:spacing w:val="-44"/>
              </w:rPr>
              <w:t xml:space="preserve"> </w:t>
            </w:r>
            <w:r>
              <w:rPr>
                <w:spacing w:val="-7"/>
              </w:rPr>
              <w:t>年</w:t>
            </w:r>
            <w:r>
              <w:rPr>
                <w:spacing w:val="-31"/>
              </w:rPr>
              <w:t xml:space="preserve"> </w:t>
            </w:r>
            <w:r>
              <w:rPr>
                <w:spacing w:val="-7"/>
              </w:rPr>
              <w:t>1</w:t>
            </w:r>
            <w:r>
              <w:rPr>
                <w:spacing w:val="-39"/>
              </w:rPr>
              <w:t xml:space="preserve"> </w:t>
            </w:r>
            <w:r>
              <w:rPr>
                <w:spacing w:val="-7"/>
              </w:rPr>
              <w:t>月</w:t>
            </w:r>
            <w:r>
              <w:rPr>
                <w:spacing w:val="-30"/>
              </w:rPr>
              <w:t xml:space="preserve"> </w:t>
            </w:r>
            <w:r>
              <w:rPr>
                <w:spacing w:val="-7"/>
              </w:rPr>
              <w:t>1 日至</w:t>
            </w:r>
            <w:r>
              <w:rPr/>
              <w:t xml:space="preserve"> </w:t>
            </w:r>
            <w:r>
              <w:rPr>
                <w:spacing w:val="-8"/>
              </w:rPr>
              <w:t>2019</w:t>
            </w:r>
            <w:r>
              <w:rPr>
                <w:spacing w:val="-43"/>
              </w:rPr>
              <w:t xml:space="preserve"> </w:t>
            </w:r>
            <w:r>
              <w:rPr>
                <w:spacing w:val="-8"/>
              </w:rPr>
              <w:t>年</w:t>
            </w:r>
            <w:r>
              <w:rPr>
                <w:spacing w:val="-43"/>
              </w:rPr>
              <w:t xml:space="preserve"> </w:t>
            </w:r>
            <w:r>
              <w:rPr>
                <w:spacing w:val="-8"/>
              </w:rPr>
              <w:t>9</w:t>
            </w:r>
            <w:r>
              <w:rPr>
                <w:spacing w:val="-42"/>
              </w:rPr>
              <w:t xml:space="preserve"> </w:t>
            </w:r>
            <w:r>
              <w:rPr>
                <w:spacing w:val="-8"/>
              </w:rPr>
              <w:t>月</w:t>
            </w:r>
            <w:r>
              <w:rPr>
                <w:spacing w:val="-39"/>
              </w:rPr>
              <w:t xml:space="preserve"> </w:t>
            </w:r>
            <w:r>
              <w:rPr>
                <w:spacing w:val="-8"/>
              </w:rPr>
              <w:t>30 日期间</w:t>
            </w:r>
          </w:p>
        </w:tc>
        <w:tc>
          <w:tcPr>
            <w:shd w:val="clear" w:fill="D9D9D9"/>
            <w:tcW w:w="2435" w:type="dxa"/>
            <w:vAlign w:val="top"/>
          </w:tcPr>
          <w:p>
            <w:pPr>
              <w:pStyle w:val="TableText"/>
              <w:ind w:left="285" w:right="104" w:firstLine="54"/>
              <w:spacing w:before="164" w:line="257" w:lineRule="auto"/>
              <w:jc w:val="both"/>
              <w:rPr/>
            </w:pPr>
            <w:r>
              <w:rPr>
                <w:spacing w:val="-9"/>
              </w:rPr>
              <w:t>于</w:t>
            </w:r>
            <w:r>
              <w:rPr>
                <w:spacing w:val="-40"/>
              </w:rPr>
              <w:t xml:space="preserve"> </w:t>
            </w:r>
            <w:r>
              <w:rPr>
                <w:spacing w:val="-9"/>
              </w:rPr>
              <w:t>2018</w:t>
            </w:r>
            <w:r>
              <w:rPr>
                <w:spacing w:val="-43"/>
              </w:rPr>
              <w:t xml:space="preserve"> </w:t>
            </w:r>
            <w:r>
              <w:rPr>
                <w:spacing w:val="-9"/>
              </w:rPr>
              <w:t>年</w:t>
            </w:r>
            <w:r>
              <w:rPr>
                <w:spacing w:val="-45"/>
              </w:rPr>
              <w:t xml:space="preserve"> </w:t>
            </w:r>
            <w:r>
              <w:rPr>
                <w:spacing w:val="-9"/>
              </w:rPr>
              <w:t>9</w:t>
            </w:r>
            <w:r>
              <w:rPr>
                <w:spacing w:val="-39"/>
              </w:rPr>
              <w:t xml:space="preserve"> </w:t>
            </w:r>
            <w:r>
              <w:rPr>
                <w:spacing w:val="-9"/>
              </w:rPr>
              <w:t>月</w:t>
            </w:r>
            <w:r>
              <w:rPr>
                <w:spacing w:val="-42"/>
              </w:rPr>
              <w:t xml:space="preserve"> </w:t>
            </w:r>
            <w:r>
              <w:rPr>
                <w:spacing w:val="-9"/>
              </w:rPr>
              <w:t>30 日/</w:t>
            </w:r>
            <w:r>
              <w:rPr/>
              <w:t xml:space="preserve"> </w:t>
            </w:r>
            <w:r>
              <w:rPr>
                <w:spacing w:val="-8"/>
              </w:rPr>
              <w:t>由</w:t>
            </w:r>
            <w:r>
              <w:rPr>
                <w:spacing w:val="-33"/>
              </w:rPr>
              <w:t xml:space="preserve"> </w:t>
            </w:r>
            <w:r>
              <w:rPr>
                <w:spacing w:val="-8"/>
              </w:rPr>
              <w:t>2018</w:t>
            </w:r>
            <w:r>
              <w:rPr>
                <w:spacing w:val="-43"/>
              </w:rPr>
              <w:t xml:space="preserve"> </w:t>
            </w:r>
            <w:r>
              <w:rPr>
                <w:spacing w:val="-8"/>
              </w:rPr>
              <w:t>年</w:t>
            </w:r>
            <w:r>
              <w:rPr>
                <w:spacing w:val="-30"/>
              </w:rPr>
              <w:t xml:space="preserve"> </w:t>
            </w:r>
            <w:r>
              <w:rPr>
                <w:spacing w:val="-8"/>
              </w:rPr>
              <w:t>1</w:t>
            </w:r>
            <w:r>
              <w:rPr>
                <w:spacing w:val="-39"/>
              </w:rPr>
              <w:t xml:space="preserve"> </w:t>
            </w:r>
            <w:r>
              <w:rPr>
                <w:spacing w:val="-8"/>
              </w:rPr>
              <w:t>月</w:t>
            </w:r>
            <w:r>
              <w:rPr>
                <w:spacing w:val="-31"/>
              </w:rPr>
              <w:t xml:space="preserve"> </w:t>
            </w:r>
            <w:r>
              <w:rPr>
                <w:spacing w:val="-8"/>
              </w:rPr>
              <w:t>1 日至</w:t>
            </w:r>
            <w:r>
              <w:rPr/>
              <w:t xml:space="preserve"> </w:t>
            </w:r>
            <w:r>
              <w:rPr>
                <w:spacing w:val="-8"/>
              </w:rPr>
              <w:t>2018</w:t>
            </w:r>
            <w:r>
              <w:rPr>
                <w:spacing w:val="-44"/>
              </w:rPr>
              <w:t xml:space="preserve"> </w:t>
            </w:r>
            <w:r>
              <w:rPr>
                <w:spacing w:val="-8"/>
              </w:rPr>
              <w:t>年</w:t>
            </w:r>
            <w:r>
              <w:rPr>
                <w:spacing w:val="-43"/>
              </w:rPr>
              <w:t xml:space="preserve"> </w:t>
            </w:r>
            <w:r>
              <w:rPr>
                <w:spacing w:val="-8"/>
              </w:rPr>
              <w:t>9</w:t>
            </w:r>
            <w:r>
              <w:rPr>
                <w:spacing w:val="-41"/>
              </w:rPr>
              <w:t xml:space="preserve"> </w:t>
            </w:r>
            <w:r>
              <w:rPr>
                <w:spacing w:val="-8"/>
              </w:rPr>
              <w:t>月</w:t>
            </w:r>
            <w:r>
              <w:rPr>
                <w:spacing w:val="-40"/>
              </w:rPr>
              <w:t xml:space="preserve"> </w:t>
            </w:r>
            <w:r>
              <w:rPr>
                <w:spacing w:val="-8"/>
              </w:rPr>
              <w:t>30 日期间</w:t>
            </w:r>
          </w:p>
        </w:tc>
      </w:tr>
      <w:tr>
        <w:trPr>
          <w:trHeight w:val="316" w:hRule="atLeast"/>
        </w:trPr>
        <w:tc>
          <w:tcPr>
            <w:tcW w:w="4241" w:type="dxa"/>
            <w:vAlign w:val="top"/>
          </w:tcPr>
          <w:p>
            <w:pPr>
              <w:pStyle w:val="TableText"/>
              <w:ind w:left="116"/>
              <w:spacing w:before="52" w:line="221" w:lineRule="auto"/>
              <w:rPr/>
            </w:pPr>
            <w:r>
              <w:rPr>
                <w:spacing w:val="-2"/>
              </w:rPr>
              <w:t>移动出账用户数（万户）</w:t>
            </w:r>
          </w:p>
        </w:tc>
        <w:tc>
          <w:tcPr>
            <w:tcW w:w="2423" w:type="dxa"/>
            <w:vAlign w:val="top"/>
          </w:tcPr>
          <w:p>
            <w:pPr>
              <w:pStyle w:val="TableText"/>
              <w:ind w:left="1486"/>
              <w:spacing w:before="87" w:line="182" w:lineRule="auto"/>
              <w:rPr/>
            </w:pPr>
            <w:r>
              <w:rPr>
                <w:spacing w:val="-2"/>
              </w:rPr>
              <w:t>32,472.9</w:t>
            </w:r>
          </w:p>
        </w:tc>
        <w:tc>
          <w:tcPr>
            <w:tcW w:w="2435" w:type="dxa"/>
            <w:vAlign w:val="top"/>
          </w:tcPr>
          <w:p>
            <w:pPr>
              <w:pStyle w:val="TableText"/>
              <w:ind w:left="1495"/>
              <w:spacing w:before="87" w:line="182" w:lineRule="auto"/>
              <w:rPr/>
            </w:pPr>
            <w:r>
              <w:rPr>
                <w:spacing w:val="-2"/>
              </w:rPr>
              <w:t>30,982.6</w:t>
            </w:r>
          </w:p>
        </w:tc>
      </w:tr>
      <w:tr>
        <w:trPr>
          <w:trHeight w:val="316" w:hRule="atLeast"/>
        </w:trPr>
        <w:tc>
          <w:tcPr>
            <w:tcW w:w="4241" w:type="dxa"/>
            <w:vAlign w:val="top"/>
          </w:tcPr>
          <w:p>
            <w:pPr>
              <w:pStyle w:val="TableText"/>
              <w:ind w:left="328"/>
              <w:spacing w:before="52" w:line="221" w:lineRule="auto"/>
              <w:rPr/>
            </w:pPr>
            <w:r>
              <w:rPr>
                <w:spacing w:val="-2"/>
              </w:rPr>
              <w:t>其中：4G</w:t>
            </w:r>
            <w:r>
              <w:rPr>
                <w:spacing w:val="-36"/>
              </w:rPr>
              <w:t xml:space="preserve"> </w:t>
            </w:r>
            <w:r>
              <w:rPr>
                <w:spacing w:val="-2"/>
              </w:rPr>
              <w:t>用户数（万户）</w:t>
            </w:r>
          </w:p>
        </w:tc>
        <w:tc>
          <w:tcPr>
            <w:tcW w:w="2423" w:type="dxa"/>
            <w:vAlign w:val="top"/>
          </w:tcPr>
          <w:p>
            <w:pPr>
              <w:pStyle w:val="TableText"/>
              <w:ind w:left="1484"/>
              <w:spacing w:before="87" w:line="183" w:lineRule="auto"/>
              <w:rPr/>
            </w:pPr>
            <w:r>
              <w:rPr>
                <w:spacing w:val="-2"/>
              </w:rPr>
              <w:t>25,114.5</w:t>
            </w:r>
          </w:p>
        </w:tc>
        <w:tc>
          <w:tcPr>
            <w:tcW w:w="2435" w:type="dxa"/>
            <w:vAlign w:val="top"/>
          </w:tcPr>
          <w:p>
            <w:pPr>
              <w:pStyle w:val="TableText"/>
              <w:ind w:left="1493"/>
              <w:spacing w:before="87" w:line="183" w:lineRule="auto"/>
              <w:rPr/>
            </w:pPr>
            <w:r>
              <w:rPr>
                <w:spacing w:val="-2"/>
              </w:rPr>
              <w:t>21,385.0</w:t>
            </w:r>
          </w:p>
        </w:tc>
      </w:tr>
      <w:tr>
        <w:trPr>
          <w:trHeight w:val="316" w:hRule="atLeast"/>
        </w:trPr>
        <w:tc>
          <w:tcPr>
            <w:tcW w:w="4241" w:type="dxa"/>
            <w:vAlign w:val="top"/>
          </w:tcPr>
          <w:p>
            <w:pPr>
              <w:pStyle w:val="TableText"/>
              <w:ind w:left="116"/>
              <w:spacing w:before="53" w:line="221" w:lineRule="auto"/>
              <w:rPr/>
            </w:pPr>
            <w:r>
              <w:rPr>
                <w:spacing w:val="-2"/>
              </w:rPr>
              <w:t>移动出账用户净增数（万户）</w:t>
            </w:r>
          </w:p>
        </w:tc>
        <w:tc>
          <w:tcPr>
            <w:tcW w:w="2423" w:type="dxa"/>
            <w:vAlign w:val="top"/>
          </w:tcPr>
          <w:p>
            <w:pPr>
              <w:pStyle w:val="TableText"/>
              <w:ind w:left="1797"/>
              <w:spacing w:before="89" w:line="182" w:lineRule="auto"/>
              <w:rPr/>
            </w:pPr>
            <w:r>
              <w:rPr>
                <w:spacing w:val="-2"/>
              </w:rPr>
              <w:t>969.3</w:t>
            </w:r>
          </w:p>
        </w:tc>
        <w:tc>
          <w:tcPr>
            <w:tcW w:w="2435" w:type="dxa"/>
            <w:vAlign w:val="top"/>
          </w:tcPr>
          <w:p>
            <w:pPr>
              <w:pStyle w:val="TableText"/>
              <w:ind w:left="1599"/>
              <w:spacing w:before="89" w:line="182" w:lineRule="auto"/>
              <w:rPr/>
            </w:pPr>
            <w:r>
              <w:rPr>
                <w:spacing w:val="-2"/>
              </w:rPr>
              <w:t>2,566.3</w:t>
            </w:r>
          </w:p>
        </w:tc>
      </w:tr>
      <w:tr>
        <w:trPr>
          <w:trHeight w:val="319" w:hRule="atLeast"/>
        </w:trPr>
        <w:tc>
          <w:tcPr>
            <w:tcW w:w="4241" w:type="dxa"/>
            <w:vAlign w:val="top"/>
          </w:tcPr>
          <w:p>
            <w:pPr>
              <w:pStyle w:val="TableText"/>
              <w:ind w:left="328"/>
              <w:spacing w:before="56" w:line="221" w:lineRule="auto"/>
              <w:rPr/>
            </w:pPr>
            <w:r>
              <w:rPr>
                <w:spacing w:val="-2"/>
              </w:rPr>
              <w:t>其中：4G</w:t>
            </w:r>
            <w:r>
              <w:rPr>
                <w:spacing w:val="-41"/>
              </w:rPr>
              <w:t xml:space="preserve"> </w:t>
            </w:r>
            <w:r>
              <w:rPr>
                <w:spacing w:val="-2"/>
              </w:rPr>
              <w:t>用户净增数（万户）</w:t>
            </w:r>
          </w:p>
        </w:tc>
        <w:tc>
          <w:tcPr>
            <w:tcW w:w="2423" w:type="dxa"/>
            <w:vAlign w:val="top"/>
          </w:tcPr>
          <w:p>
            <w:pPr>
              <w:pStyle w:val="TableText"/>
              <w:ind w:left="1592"/>
              <w:spacing w:before="90" w:line="183" w:lineRule="auto"/>
              <w:rPr/>
            </w:pPr>
            <w:r>
              <w:rPr>
                <w:spacing w:val="-2"/>
              </w:rPr>
              <w:t>3,122.0</w:t>
            </w:r>
          </w:p>
        </w:tc>
        <w:tc>
          <w:tcPr>
            <w:tcW w:w="2435" w:type="dxa"/>
            <w:vAlign w:val="top"/>
          </w:tcPr>
          <w:p>
            <w:pPr>
              <w:pStyle w:val="TableText"/>
              <w:ind w:left="1600"/>
              <w:spacing w:before="92" w:line="182" w:lineRule="auto"/>
              <w:rPr/>
            </w:pPr>
            <w:r>
              <w:rPr>
                <w:spacing w:val="-2"/>
              </w:rPr>
              <w:t>3,897.4</w:t>
            </w:r>
          </w:p>
        </w:tc>
      </w:tr>
      <w:tr>
        <w:trPr>
          <w:trHeight w:val="316" w:hRule="atLeast"/>
        </w:trPr>
        <w:tc>
          <w:tcPr>
            <w:tcW w:w="4241" w:type="dxa"/>
            <w:vAlign w:val="top"/>
          </w:tcPr>
          <w:p>
            <w:pPr>
              <w:pStyle w:val="TableText"/>
              <w:ind w:left="116"/>
              <w:spacing w:before="54" w:line="220" w:lineRule="auto"/>
              <w:rPr/>
            </w:pPr>
            <w:r>
              <w:rPr>
                <w:spacing w:val="-1"/>
              </w:rPr>
              <w:t>手机上网总流量-亿</w:t>
            </w:r>
            <w:r>
              <w:rPr>
                <w:spacing w:val="-49"/>
              </w:rPr>
              <w:t xml:space="preserve"> </w:t>
            </w:r>
            <w:r>
              <w:rPr>
                <w:spacing w:val="-1"/>
              </w:rPr>
              <w:t>MB</w:t>
            </w:r>
          </w:p>
        </w:tc>
        <w:tc>
          <w:tcPr>
            <w:tcW w:w="2423" w:type="dxa"/>
            <w:vAlign w:val="top"/>
          </w:tcPr>
          <w:p>
            <w:pPr>
              <w:pStyle w:val="TableText"/>
              <w:ind w:left="1379"/>
              <w:spacing w:before="89" w:line="182" w:lineRule="auto"/>
              <w:rPr/>
            </w:pPr>
            <w:r>
              <w:rPr>
                <w:spacing w:val="-1"/>
              </w:rPr>
              <w:t>228,576.3</w:t>
            </w:r>
          </w:p>
        </w:tc>
        <w:tc>
          <w:tcPr>
            <w:tcW w:w="2435" w:type="dxa"/>
            <w:vAlign w:val="top"/>
          </w:tcPr>
          <w:p>
            <w:pPr>
              <w:pStyle w:val="TableText"/>
              <w:ind w:left="1401"/>
              <w:spacing w:before="88" w:line="183" w:lineRule="auto"/>
              <w:rPr/>
            </w:pPr>
            <w:r>
              <w:rPr>
                <w:spacing w:val="-3"/>
              </w:rPr>
              <w:t>150,094.0</w:t>
            </w:r>
          </w:p>
        </w:tc>
      </w:tr>
      <w:tr>
        <w:trPr>
          <w:trHeight w:val="316" w:hRule="atLeast"/>
        </w:trPr>
        <w:tc>
          <w:tcPr>
            <w:tcW w:w="4241" w:type="dxa"/>
            <w:vAlign w:val="top"/>
          </w:tcPr>
          <w:p>
            <w:pPr>
              <w:pStyle w:val="TableText"/>
              <w:ind w:left="116"/>
              <w:spacing w:before="54" w:line="221" w:lineRule="auto"/>
              <w:rPr/>
            </w:pPr>
            <w:r>
              <w:rPr>
                <w:spacing w:val="-1"/>
              </w:rPr>
              <w:t>移动语音通话总分钟数（亿分钟）</w:t>
            </w:r>
          </w:p>
        </w:tc>
        <w:tc>
          <w:tcPr>
            <w:tcW w:w="2423" w:type="dxa"/>
            <w:vAlign w:val="top"/>
          </w:tcPr>
          <w:p>
            <w:pPr>
              <w:pStyle w:val="TableText"/>
              <w:ind w:left="1592"/>
              <w:spacing w:before="90" w:line="182" w:lineRule="auto"/>
              <w:rPr/>
            </w:pPr>
            <w:r>
              <w:rPr>
                <w:spacing w:val="-2"/>
              </w:rPr>
              <w:t>5,622.2</w:t>
            </w:r>
          </w:p>
        </w:tc>
        <w:tc>
          <w:tcPr>
            <w:tcW w:w="2435" w:type="dxa"/>
            <w:vAlign w:val="top"/>
          </w:tcPr>
          <w:p>
            <w:pPr>
              <w:pStyle w:val="TableText"/>
              <w:ind w:left="1598"/>
              <w:spacing w:before="89" w:line="183" w:lineRule="auto"/>
              <w:rPr/>
            </w:pPr>
            <w:r>
              <w:rPr>
                <w:spacing w:val="-1"/>
              </w:rPr>
              <w:t>6,132.3</w:t>
            </w:r>
          </w:p>
        </w:tc>
      </w:tr>
      <w:tr>
        <w:trPr>
          <w:trHeight w:val="317" w:hRule="atLeast"/>
        </w:trPr>
        <w:tc>
          <w:tcPr>
            <w:tcW w:w="4241" w:type="dxa"/>
            <w:vAlign w:val="top"/>
          </w:tcPr>
          <w:p>
            <w:pPr>
              <w:pStyle w:val="TableText"/>
              <w:ind w:left="134"/>
              <w:spacing w:before="55" w:line="221" w:lineRule="auto"/>
              <w:rPr/>
            </w:pPr>
            <w:r>
              <w:rPr>
                <w:spacing w:val="-4"/>
              </w:rPr>
              <w:t>固网宽带用户数（万户）</w:t>
            </w:r>
          </w:p>
        </w:tc>
        <w:tc>
          <w:tcPr>
            <w:tcW w:w="2423" w:type="dxa"/>
            <w:vAlign w:val="top"/>
          </w:tcPr>
          <w:p>
            <w:pPr>
              <w:pStyle w:val="TableText"/>
              <w:ind w:left="1588"/>
              <w:spacing w:before="91" w:line="182" w:lineRule="auto"/>
              <w:rPr/>
            </w:pPr>
            <w:r>
              <w:rPr>
                <w:spacing w:val="-1"/>
              </w:rPr>
              <w:t>8,444.5</w:t>
            </w:r>
          </w:p>
        </w:tc>
        <w:tc>
          <w:tcPr>
            <w:tcW w:w="2435" w:type="dxa"/>
            <w:vAlign w:val="top"/>
          </w:tcPr>
          <w:p>
            <w:pPr>
              <w:pStyle w:val="TableText"/>
              <w:ind w:left="1597"/>
              <w:spacing w:before="91" w:line="182" w:lineRule="auto"/>
              <w:rPr/>
            </w:pPr>
            <w:r>
              <w:rPr>
                <w:spacing w:val="-1"/>
              </w:rPr>
              <w:t>8,034.7</w:t>
            </w:r>
          </w:p>
        </w:tc>
      </w:tr>
      <w:tr>
        <w:trPr>
          <w:trHeight w:val="316" w:hRule="atLeast"/>
        </w:trPr>
        <w:tc>
          <w:tcPr>
            <w:tcW w:w="4241" w:type="dxa"/>
            <w:vAlign w:val="top"/>
          </w:tcPr>
          <w:p>
            <w:pPr>
              <w:pStyle w:val="TableText"/>
              <w:ind w:left="134"/>
              <w:spacing w:before="55" w:line="220" w:lineRule="auto"/>
              <w:rPr/>
            </w:pPr>
            <w:r>
              <w:rPr>
                <w:spacing w:val="-3"/>
              </w:rPr>
              <w:t>固网宽带用户净增数（万户）</w:t>
            </w:r>
          </w:p>
        </w:tc>
        <w:tc>
          <w:tcPr>
            <w:tcW w:w="2423" w:type="dxa"/>
            <w:vAlign w:val="top"/>
          </w:tcPr>
          <w:p>
            <w:pPr>
              <w:pStyle w:val="TableText"/>
              <w:ind w:left="1800"/>
              <w:spacing w:before="91" w:line="182" w:lineRule="auto"/>
              <w:rPr/>
            </w:pPr>
            <w:r>
              <w:rPr>
                <w:spacing w:val="-2"/>
              </w:rPr>
              <w:t>356.5</w:t>
            </w:r>
          </w:p>
        </w:tc>
        <w:tc>
          <w:tcPr>
            <w:tcW w:w="2435" w:type="dxa"/>
            <w:vAlign w:val="top"/>
          </w:tcPr>
          <w:p>
            <w:pPr>
              <w:pStyle w:val="TableText"/>
              <w:ind w:left="1809"/>
              <w:spacing w:before="91" w:line="182" w:lineRule="auto"/>
              <w:rPr/>
            </w:pPr>
            <w:r>
              <w:rPr>
                <w:spacing w:val="-2"/>
              </w:rPr>
              <w:t>380.8</w:t>
            </w:r>
          </w:p>
        </w:tc>
      </w:tr>
      <w:tr>
        <w:trPr>
          <w:trHeight w:val="316" w:hRule="atLeast"/>
        </w:trPr>
        <w:tc>
          <w:tcPr>
            <w:tcW w:w="4241" w:type="dxa"/>
            <w:vAlign w:val="top"/>
          </w:tcPr>
          <w:p>
            <w:pPr>
              <w:pStyle w:val="TableText"/>
              <w:ind w:left="134"/>
              <w:spacing w:before="56" w:line="219" w:lineRule="auto"/>
              <w:rPr/>
            </w:pPr>
            <w:r>
              <w:rPr>
                <w:spacing w:val="-3"/>
              </w:rPr>
              <w:t>固网本地电话用户数（万户）</w:t>
            </w:r>
          </w:p>
        </w:tc>
        <w:tc>
          <w:tcPr>
            <w:tcW w:w="2423" w:type="dxa"/>
            <w:vAlign w:val="top"/>
          </w:tcPr>
          <w:p>
            <w:pPr>
              <w:pStyle w:val="TableText"/>
              <w:ind w:left="1592"/>
              <w:spacing w:before="91" w:line="182" w:lineRule="auto"/>
              <w:rPr/>
            </w:pPr>
            <w:r>
              <w:rPr>
                <w:spacing w:val="-2"/>
              </w:rPr>
              <w:t>5,424.7</w:t>
            </w:r>
          </w:p>
        </w:tc>
        <w:tc>
          <w:tcPr>
            <w:tcW w:w="2435" w:type="dxa"/>
            <w:vAlign w:val="top"/>
          </w:tcPr>
          <w:p>
            <w:pPr>
              <w:pStyle w:val="TableText"/>
              <w:ind w:left="1600"/>
              <w:spacing w:before="91" w:line="182" w:lineRule="auto"/>
              <w:rPr/>
            </w:pPr>
            <w:r>
              <w:rPr>
                <w:spacing w:val="-2"/>
              </w:rPr>
              <w:t>5,682.5</w:t>
            </w:r>
          </w:p>
        </w:tc>
      </w:tr>
      <w:tr>
        <w:trPr>
          <w:trHeight w:val="324" w:hRule="atLeast"/>
        </w:trPr>
        <w:tc>
          <w:tcPr>
            <w:tcW w:w="4241" w:type="dxa"/>
            <w:vAlign w:val="top"/>
          </w:tcPr>
          <w:p>
            <w:pPr>
              <w:pStyle w:val="TableText"/>
              <w:ind w:left="134"/>
              <w:spacing w:before="59" w:line="220" w:lineRule="auto"/>
              <w:rPr/>
            </w:pPr>
            <w:r>
              <w:rPr>
                <w:spacing w:val="-3"/>
              </w:rPr>
              <w:t>固网本地电话用户净增数（万户）</w:t>
            </w:r>
          </w:p>
        </w:tc>
        <w:tc>
          <w:tcPr>
            <w:tcW w:w="2423" w:type="dxa"/>
            <w:vAlign w:val="top"/>
          </w:tcPr>
          <w:p>
            <w:pPr>
              <w:pStyle w:val="TableText"/>
              <w:ind w:left="1689"/>
              <w:spacing w:before="93" w:line="183" w:lineRule="auto"/>
              <w:rPr/>
            </w:pPr>
            <w:r>
              <w:rPr>
                <w:spacing w:val="-1"/>
              </w:rPr>
              <w:t>-165.2</w:t>
            </w:r>
          </w:p>
        </w:tc>
        <w:tc>
          <w:tcPr>
            <w:tcW w:w="2435" w:type="dxa"/>
            <w:vAlign w:val="top"/>
          </w:tcPr>
          <w:p>
            <w:pPr>
              <w:pStyle w:val="TableText"/>
              <w:ind w:left="1698"/>
              <w:spacing w:before="93" w:line="183" w:lineRule="auto"/>
              <w:rPr/>
            </w:pPr>
            <w:r>
              <w:rPr>
                <w:spacing w:val="-1"/>
              </w:rPr>
              <w:t>-317.2</w:t>
            </w:r>
          </w:p>
        </w:tc>
      </w:tr>
    </w:tbl>
    <w:p>
      <w:pPr>
        <w:pStyle w:val="BodyText"/>
        <w:ind w:left="121" w:right="110" w:firstLine="422"/>
        <w:spacing w:before="263" w:line="307" w:lineRule="auto"/>
        <w:jc w:val="both"/>
        <w:rPr/>
      </w:pPr>
      <w:r>
        <w:rPr>
          <w:spacing w:val="1"/>
        </w:rPr>
        <w:t>2019年首三季度，面对行业发展的新挑战，公司深化实施聚焦创新合作战略，加快互联网化</w:t>
      </w:r>
      <w:r>
        <w:rPr>
          <w:spacing w:val="6"/>
        </w:rPr>
        <w:t xml:space="preserve"> </w:t>
      </w:r>
      <w:r>
        <w:rPr>
          <w:spacing w:val="1"/>
        </w:rPr>
        <w:t>运营转型，纵深推进混改，创新业务持续快速增长，支撑整体主营业务收入基本保持稳定。得益</w:t>
      </w:r>
      <w:r>
        <w:rPr>
          <w:spacing w:val="9"/>
        </w:rPr>
        <w:t xml:space="preserve"> </w:t>
      </w:r>
      <w:r>
        <w:rPr>
          <w:spacing w:val="-1"/>
        </w:rPr>
        <w:t>于良好的成本管控，2019年首三季度公司的净利润持续显著提升。</w:t>
      </w:r>
    </w:p>
    <w:p>
      <w:pPr>
        <w:pStyle w:val="BodyText"/>
        <w:ind w:left="121" w:right="33" w:firstLine="423"/>
        <w:spacing w:before="188" w:line="312" w:lineRule="auto"/>
        <w:jc w:val="both"/>
        <w:rPr/>
      </w:pPr>
      <w:r>
        <w:rPr>
          <w:spacing w:val="1"/>
        </w:rPr>
        <w:t>受提速降费、市场饱和、激烈市场竞争以及4G流量红利逐步消退的影响，2019年首三季度移</w:t>
      </w:r>
      <w:r>
        <w:rPr>
          <w:spacing w:val="7"/>
        </w:rPr>
        <w:t xml:space="preserve"> </w:t>
      </w:r>
      <w:r>
        <w:rPr>
          <w:spacing w:val="-1"/>
        </w:rPr>
        <w:t>动主营业务收入比去年同期下降6.1%至人民币1,</w:t>
      </w:r>
      <w:r>
        <w:rPr>
          <w:spacing w:val="-2"/>
        </w:rPr>
        <w:t>177.33亿元，移动出账用户ARPU为人民币40.6元。</w:t>
      </w:r>
      <w:r>
        <w:rPr/>
        <w:t xml:space="preserve"> </w:t>
      </w:r>
      <w:r>
        <w:rPr>
          <w:spacing w:val="-1"/>
        </w:rPr>
        <w:t>公司逐步发挥LTE 900MHz</w:t>
      </w:r>
      <w:r>
        <w:rPr>
          <w:spacing w:val="-4"/>
        </w:rPr>
        <w:t xml:space="preserve"> </w:t>
      </w:r>
      <w:r>
        <w:rPr>
          <w:spacing w:val="-1"/>
        </w:rPr>
        <w:t>4G网络的深度覆盖和农村区域广覆盖优势，聚焦产品、渠道和营销加大</w:t>
      </w:r>
      <w:r>
        <w:rPr/>
        <w:t xml:space="preserve"> </w:t>
      </w:r>
      <w:r>
        <w:rPr>
          <w:spacing w:val="1"/>
        </w:rPr>
        <w:t>力度推动互联网化运营转型，严控用户发展成本及超低资费套餐，坚持差异化经营，努力避免简</w:t>
      </w:r>
      <w:r>
        <w:rPr>
          <w:spacing w:val="6"/>
        </w:rPr>
        <w:t xml:space="preserve"> </w:t>
      </w:r>
      <w:r>
        <w:rPr>
          <w:spacing w:val="1"/>
        </w:rPr>
        <w:t>单价格战。2019年首三季度，移动出账用户净增969万户，达到3.25亿户；其中4G用户净增3,122</w:t>
      </w:r>
      <w:r>
        <w:rPr>
          <w:spacing w:val="2"/>
        </w:rPr>
        <w:t xml:space="preserve"> </w:t>
      </w:r>
      <w:r>
        <w:rPr>
          <w:spacing w:val="-1"/>
        </w:rPr>
        <w:t>万户，达到2.51亿户。</w:t>
      </w:r>
    </w:p>
    <w:p>
      <w:pPr>
        <w:pStyle w:val="BodyText"/>
        <w:ind w:left="121" w:right="49" w:firstLine="426"/>
        <w:spacing w:before="184" w:line="313" w:lineRule="auto"/>
        <w:jc w:val="both"/>
        <w:rPr/>
      </w:pPr>
      <w:r>
        <w:rPr>
          <w:spacing w:val="-4"/>
        </w:rPr>
        <w:t>公司以“大视频、大融合、大带宽”积极应对宽带市场的激烈竞争挑战，打造宽带2I2H、2B2H</w:t>
      </w:r>
      <w:r>
        <w:rPr>
          <w:spacing w:val="15"/>
        </w:rPr>
        <w:t xml:space="preserve"> </w:t>
      </w:r>
      <w:r>
        <w:rPr>
          <w:spacing w:val="1"/>
        </w:rPr>
        <w:t>营销新模式，提升营销能力。2019年首三季度，固网宽带用户净增357万户，达到8,445万户，固</w:t>
      </w:r>
      <w:r>
        <w:rPr>
          <w:spacing w:val="6"/>
        </w:rPr>
        <w:t xml:space="preserve"> </w:t>
      </w:r>
      <w:r>
        <w:rPr>
          <w:spacing w:val="1"/>
        </w:rPr>
        <w:t>网宽带接入收入为人民币309.59亿元。在创新业务领域，公司加快云计算、大数据、物联网等重</w:t>
      </w:r>
      <w:r>
        <w:rPr>
          <w:spacing w:val="6"/>
        </w:rPr>
        <w:t xml:space="preserve"> </w:t>
      </w:r>
      <w:r>
        <w:rPr>
          <w:spacing w:val="-2"/>
        </w:rPr>
        <w:t>点创新业务的能力培养和规模拓展，不断强化机制创新，加快创新人才</w:t>
      </w:r>
      <w:r>
        <w:rPr>
          <w:spacing w:val="-3"/>
        </w:rPr>
        <w:t>队伍建设和激励分配改革，</w:t>
      </w:r>
      <w:r>
        <w:rPr/>
        <w:t xml:space="preserve"> </w:t>
      </w:r>
      <w:r>
        <w:rPr>
          <w:spacing w:val="-3"/>
        </w:rPr>
        <w:t>以“云+智能网络+智能应用</w:t>
      </w:r>
      <w:r>
        <w:rPr>
          <w:spacing w:val="-65"/>
        </w:rPr>
        <w:t xml:space="preserve"> </w:t>
      </w:r>
      <w:r>
        <w:rPr>
          <w:spacing w:val="-3"/>
        </w:rPr>
        <w:t>”融合经营模式，拉动创新业务实现持续快速突破。2019年首三季度，</w:t>
      </w:r>
      <w:r>
        <w:rPr/>
        <w:t xml:space="preserve"> </w:t>
      </w:r>
      <w:r>
        <w:rPr>
          <w:spacing w:val="-4"/>
        </w:rPr>
        <w:t>产业互联网业务收入为人民币242.91亿元，比去年同期上升40.8%。得益于创新业务</w:t>
      </w:r>
      <w:r>
        <w:rPr>
          <w:spacing w:val="-5"/>
        </w:rPr>
        <w:t>快速增长拉动，</w:t>
      </w:r>
      <w:r>
        <w:rPr/>
        <w:t xml:space="preserve"> </w:t>
      </w:r>
      <w:r>
        <w:rPr>
          <w:spacing w:val="5"/>
        </w:rPr>
        <w:t>固网主营业务收入达到人民币788.63亿元，</w:t>
      </w:r>
      <w:r>
        <w:rPr>
          <w:spacing w:val="-61"/>
        </w:rPr>
        <w:t xml:space="preserve"> </w:t>
      </w:r>
      <w:r>
        <w:rPr>
          <w:spacing w:val="5"/>
        </w:rPr>
        <w:t>比去年同期上升7.7%</w:t>
      </w:r>
      <w:r>
        <w:rPr>
          <w:spacing w:val="4"/>
        </w:rPr>
        <w:t>。整体主营业务收入为人民币</w:t>
      </w:r>
      <w:r>
        <w:rPr/>
        <w:t xml:space="preserve"> </w:t>
      </w:r>
      <w:r>
        <w:rPr/>
        <w:t>1,985.32亿元，比去年同期下降0.7%，跌幅较今年上半年的-1.1%有所</w:t>
      </w:r>
      <w:r>
        <w:rPr>
          <w:spacing w:val="-1"/>
        </w:rPr>
        <w:t>缓和。</w:t>
      </w:r>
    </w:p>
    <w:p>
      <w:pPr>
        <w:pStyle w:val="BodyText"/>
        <w:ind w:left="121" w:right="107" w:firstLine="426"/>
        <w:spacing w:before="190" w:line="311" w:lineRule="auto"/>
        <w:jc w:val="both"/>
        <w:rPr/>
      </w:pPr>
      <w:r>
        <w:rPr>
          <w:spacing w:val="-1"/>
        </w:rPr>
        <w:t>公司自2019年1月1日起执行《企业会计准则第21号——租赁（修订</w:t>
      </w:r>
      <w:r>
        <w:rPr>
          <w:spacing w:val="-2"/>
        </w:rPr>
        <w:t>）》(以下简称“新租赁准</w:t>
      </w:r>
      <w:r>
        <w:rPr/>
        <w:t xml:space="preserve"> </w:t>
      </w:r>
      <w:r>
        <w:rPr>
          <w:spacing w:val="-1"/>
        </w:rPr>
        <w:t>则”)，根据准则允许的简化处理方法，对所有适用的租赁确认租赁负债及相应</w:t>
      </w:r>
      <w:r>
        <w:rPr>
          <w:spacing w:val="-2"/>
        </w:rPr>
        <w:t>的使用权资产，并</w:t>
      </w:r>
      <w:r>
        <w:rPr/>
        <w:t xml:space="preserve"> </w:t>
      </w:r>
      <w:r>
        <w:rPr>
          <w:spacing w:val="1"/>
        </w:rPr>
        <w:t>确认租赁负债未偿还余额所产生的利息费用以及使用权资产的折旧费用。公司选择采用修订追溯</w:t>
      </w:r>
      <w:r>
        <w:rPr>
          <w:spacing w:val="9"/>
        </w:rPr>
        <w:t xml:space="preserve"> </w:t>
      </w:r>
      <w:r>
        <w:rPr>
          <w:spacing w:val="-1"/>
        </w:rPr>
        <w:t>法执行该准则，即对首次执行前年度/期间的可比期间不予调整，同时将首次执</w:t>
      </w:r>
      <w:r>
        <w:rPr>
          <w:spacing w:val="-2"/>
        </w:rPr>
        <w:t>行累积影响数确认</w:t>
      </w:r>
      <w:r>
        <w:rPr/>
        <w:t xml:space="preserve"> </w:t>
      </w:r>
      <w:r>
        <w:rPr>
          <w:spacing w:val="1"/>
        </w:rPr>
        <w:t>为总资产、总负债及期初留存收益和少数股东权益的调整。因此，执行新租赁准则导致2019年首</w:t>
      </w:r>
    </w:p>
    <w:p>
      <w:pPr>
        <w:spacing w:line="311" w:lineRule="auto"/>
        <w:sectPr>
          <w:headerReference w:type="default" r:id="rId9"/>
          <w:footerReference w:type="default" r:id="rId10"/>
          <w:pgSz w:w="11907" w:h="16839"/>
          <w:pgMar w:top="1374" w:right="1162" w:bottom="1431" w:left="1639" w:header="835" w:footer="1212" w:gutter="0"/>
        </w:sectPr>
        <w:rPr/>
      </w:pPr>
    </w:p>
    <w:p>
      <w:pPr>
        <w:pStyle w:val="BodyText"/>
        <w:ind w:left="34" w:right="16" w:firstLine="2"/>
        <w:spacing w:before="255" w:line="312" w:lineRule="auto"/>
        <w:rPr/>
      </w:pPr>
      <w:r>
        <w:rPr>
          <w:spacing w:val="-2"/>
        </w:rPr>
        <w:t>三季度折旧及摊销和财务费用有所增加，但同时网络运行及支撑成本中的租赁费用相应有所下降。</w:t>
      </w:r>
      <w:r>
        <w:rPr>
          <w:spacing w:val="5"/>
        </w:rPr>
        <w:t xml:space="preserve"> </w:t>
      </w:r>
      <w:r>
        <w:rPr>
          <w:spacing w:val="-1"/>
        </w:rPr>
        <w:t>2019年首三季度，网间结算支出比去年同期下降11.7%，主要受网间话务量下滑影响。期</w:t>
      </w:r>
      <w:r>
        <w:rPr>
          <w:spacing w:val="-2"/>
        </w:rPr>
        <w:t>内公司严</w:t>
      </w:r>
      <w:r>
        <w:rPr/>
        <w:t xml:space="preserve"> </w:t>
      </w:r>
      <w:r>
        <w:rPr>
          <w:spacing w:val="-2"/>
        </w:rPr>
        <w:t>控用户发展成本，使得销售费用得到良好管控，为人民币257.05亿元，较去年同期轻微上升1.7%。</w:t>
      </w:r>
      <w:r>
        <w:rPr>
          <w:spacing w:val="17"/>
        </w:rPr>
        <w:t xml:space="preserve"> </w:t>
      </w:r>
      <w:r>
        <w:rPr>
          <w:spacing w:val="1"/>
        </w:rPr>
        <w:t>投资收益比去年同期下降18.9%，主要由于去年8月份本公司联营公司中国铁塔股份有限公司（简</w:t>
      </w:r>
      <w:r>
        <w:rPr>
          <w:spacing w:val="9"/>
        </w:rPr>
        <w:t xml:space="preserve"> </w:t>
      </w:r>
      <w:r>
        <w:rPr/>
        <w:t>称“</w:t>
      </w:r>
      <w:r>
        <w:rPr>
          <w:spacing w:val="-77"/>
        </w:rPr>
        <w:t xml:space="preserve"> </w:t>
      </w:r>
      <w:r>
        <w:rPr/>
        <w:t>中国铁塔</w:t>
      </w:r>
      <w:r>
        <w:rPr>
          <w:spacing w:val="-77"/>
        </w:rPr>
        <w:t xml:space="preserve"> </w:t>
      </w:r>
      <w:r>
        <w:rPr/>
        <w:t>”）在香港联交所上市并发行新股，导致公司对中国铁塔的持股比例变化，出</w:t>
      </w:r>
      <w:r>
        <w:rPr>
          <w:spacing w:val="-1"/>
        </w:rPr>
        <w:t>售铁</w:t>
      </w:r>
      <w:r>
        <w:rPr/>
        <w:t xml:space="preserve"> </w:t>
      </w:r>
      <w:r>
        <w:rPr>
          <w:spacing w:val="6"/>
        </w:rPr>
        <w:t>塔及相关资产的递延收益一次性转回共计人民币6.82亿元，计入投资收</w:t>
      </w:r>
      <w:r>
        <w:rPr>
          <w:spacing w:val="5"/>
        </w:rPr>
        <w:t>益。2019年首三季度，</w:t>
      </w:r>
      <w:r>
        <w:rPr/>
        <w:t xml:space="preserve"> </w:t>
      </w:r>
      <w:r>
        <w:rPr/>
        <w:t>EBITDA</w:t>
      </w:r>
      <w:r>
        <w:rPr>
          <w:sz w:val="11"/>
          <w:szCs w:val="11"/>
          <w:position w:val="11"/>
        </w:rPr>
        <w:t>1</w:t>
      </w:r>
      <w:r>
        <w:rPr/>
        <w:t>为人民币732.03亿元，比去年同期上升10.3%，EBITDA占主营业务收入比为36.9%。归属于</w:t>
      </w:r>
      <w:r>
        <w:rPr>
          <w:spacing w:val="2"/>
        </w:rPr>
        <w:t xml:space="preserve"> </w:t>
      </w:r>
      <w:r>
        <w:rPr/>
        <w:t>母公司净利润为人民币43.16亿元，比去年同期上升2</w:t>
      </w:r>
      <w:r>
        <w:rPr>
          <w:spacing w:val="-1"/>
        </w:rPr>
        <w:t>4.4%。</w:t>
      </w:r>
    </w:p>
    <w:p>
      <w:pPr>
        <w:pStyle w:val="BodyText"/>
        <w:ind w:left="37" w:right="102" w:firstLine="422"/>
        <w:spacing w:before="188" w:line="310" w:lineRule="auto"/>
        <w:rPr/>
      </w:pPr>
      <w:r>
        <w:rPr>
          <w:spacing w:val="1"/>
        </w:rPr>
        <w:t>如果剔除执行新租赁准则对本期的影响，2019年首三季度折旧及摊销比去年同期下降</w:t>
      </w:r>
      <w:r>
        <w:rPr/>
        <w:t>4.5%， </w:t>
      </w:r>
      <w:r>
        <w:rPr>
          <w:spacing w:val="1"/>
        </w:rPr>
        <w:t>主要得益于近年资本开支的良好管控。财务费用比去年同期下降486.0%，主要由于良好的</w:t>
      </w:r>
      <w:r>
        <w:rPr/>
        <w:t>自由现 </w:t>
      </w:r>
      <w:r>
        <w:rPr>
          <w:spacing w:val="1"/>
        </w:rPr>
        <w:t>金流助力期内平均带息债务比去年同期大幅减少。网络运行及支撑成本比去年同期下降4</w:t>
      </w:r>
      <w:r>
        <w:rPr/>
        <w:t>.5%，主 </w:t>
      </w:r>
      <w:r>
        <w:rPr>
          <w:spacing w:val="-2"/>
        </w:rPr>
        <w:t>要得益于对维护费用和电费的有效控制。</w:t>
      </w:r>
    </w:p>
    <w:p>
      <w:pPr>
        <w:pStyle w:val="BodyText"/>
        <w:ind w:left="36" w:firstLine="423"/>
        <w:spacing w:before="186" w:line="312" w:lineRule="auto"/>
        <w:jc w:val="both"/>
        <w:rPr/>
      </w:pPr>
      <w:r>
        <w:rPr>
          <w:spacing w:val="-1"/>
        </w:rPr>
        <w:t>2019年9月，公司控股子公司中国联合网络通信（香港）股份有限公</w:t>
      </w:r>
      <w:r>
        <w:rPr>
          <w:spacing w:val="-2"/>
        </w:rPr>
        <w:t>司之全资附属子公司中国</w:t>
      </w:r>
      <w:r>
        <w:rPr/>
        <w:t xml:space="preserve">  </w:t>
      </w:r>
      <w:r>
        <w:rPr>
          <w:spacing w:val="-3"/>
        </w:rPr>
        <w:t>联合网络通信有限公司（简称“联通运营公司”）与中国电信股份有限公司（简称“</w:t>
      </w:r>
      <w:r>
        <w:rPr>
          <w:spacing w:val="-68"/>
        </w:rPr>
        <w:t xml:space="preserve"> </w:t>
      </w:r>
      <w:r>
        <w:rPr>
          <w:spacing w:val="-3"/>
        </w:rPr>
        <w:t>中国电信</w:t>
      </w:r>
      <w:r>
        <w:rPr>
          <w:spacing w:val="-77"/>
        </w:rPr>
        <w:t xml:space="preserve"> </w:t>
      </w:r>
      <w:r>
        <w:rPr>
          <w:spacing w:val="-3"/>
        </w:rPr>
        <w:t>”）</w:t>
      </w:r>
      <w:r>
        <w:rPr/>
        <w:t xml:space="preserve"> </w:t>
      </w:r>
      <w:r>
        <w:rPr>
          <w:spacing w:val="1"/>
        </w:rPr>
        <w:t>签署合作协议，在全国范围内合作共建一张5G接入网络，公司认为，与中国电信进行5G网络共建</w:t>
      </w:r>
      <w:r>
        <w:rPr>
          <w:spacing w:val="4"/>
        </w:rPr>
        <w:t xml:space="preserve">  </w:t>
      </w:r>
      <w:r>
        <w:rPr>
          <w:spacing w:val="1"/>
        </w:rPr>
        <w:t>共享合作，特别是双方连续的5G频率共享，有助于降低未来5G网络建设和运维成本，高效实现5G</w:t>
      </w:r>
      <w:r>
        <w:rPr>
          <w:spacing w:val="4"/>
        </w:rPr>
        <w:t xml:space="preserve">  </w:t>
      </w:r>
      <w:r>
        <w:rPr>
          <w:spacing w:val="1"/>
        </w:rPr>
        <w:t>网络覆盖，快速形成5G服务能力，增强5G网络和服务的市场竞争力，提升网络效益和资产运营效</w:t>
      </w:r>
      <w:r>
        <w:rPr>
          <w:spacing w:val="3"/>
        </w:rPr>
        <w:t xml:space="preserve">  </w:t>
      </w:r>
      <w:r>
        <w:rPr>
          <w:spacing w:val="-1"/>
        </w:rPr>
        <w:t>率，达成双方的互利共赢。</w:t>
      </w:r>
    </w:p>
    <w:p>
      <w:pPr>
        <w:pStyle w:val="BodyText"/>
        <w:ind w:left="37" w:right="35" w:firstLine="423"/>
        <w:spacing w:before="186" w:line="311" w:lineRule="auto"/>
        <w:jc w:val="both"/>
        <w:rPr/>
      </w:pPr>
      <w:r>
        <w:rPr>
          <w:spacing w:val="1"/>
        </w:rPr>
        <w:t>未来，公司将直面挑战，奋力开创“五新”联通建设和高质量发展的新局面。公司将坚定不</w:t>
      </w:r>
      <w:r>
        <w:rPr>
          <w:spacing w:val="6"/>
        </w:rPr>
        <w:t xml:space="preserve"> </w:t>
      </w:r>
      <w:r>
        <w:rPr>
          <w:spacing w:val="-2"/>
        </w:rPr>
        <w:t>移地深化互联网化运营，持续提升客户感知、运营效率和差异化</w:t>
      </w:r>
      <w:r>
        <w:rPr>
          <w:spacing w:val="-3"/>
        </w:rPr>
        <w:t>竞争力，积极应对携号转网挑战，</w:t>
      </w:r>
      <w:r>
        <w:rPr/>
        <w:t xml:space="preserve"> </w:t>
      </w:r>
      <w:r>
        <w:rPr>
          <w:spacing w:val="1"/>
        </w:rPr>
        <w:t>努力稳定基础业务，规模提升创新业务，扎实推进5G业务创新，驱动整体业务企稳回升。持续深</w:t>
      </w:r>
      <w:r>
        <w:rPr>
          <w:spacing w:val="8"/>
        </w:rPr>
        <w:t xml:space="preserve"> </w:t>
      </w:r>
      <w:r>
        <w:rPr>
          <w:spacing w:val="1"/>
        </w:rPr>
        <w:t>化与战略投资者的业务和资本合作，纵深推进各领域的创新变革，不断提升企业内生活力和运营</w:t>
      </w:r>
      <w:r>
        <w:rPr>
          <w:spacing w:val="7"/>
        </w:rPr>
        <w:t xml:space="preserve"> </w:t>
      </w:r>
      <w:r>
        <w:rPr>
          <w:spacing w:val="-2"/>
        </w:rPr>
        <w:t>效益，为股东创造更大价值。</w:t>
      </w:r>
    </w:p>
    <w:p>
      <w:pPr>
        <w:pStyle w:val="BodyText"/>
        <w:ind w:left="33" w:right="45" w:firstLine="16"/>
        <w:spacing w:before="143" w:line="314" w:lineRule="auto"/>
        <w:jc w:val="both"/>
        <w:rPr>
          <w:sz w:val="18"/>
          <w:szCs w:val="18"/>
        </w:rPr>
      </w:pPr>
      <w:r>
        <w:rPr>
          <w:sz w:val="18"/>
          <w:szCs w:val="18"/>
          <w:spacing w:val="-1"/>
        </w:rPr>
        <w:t>附注</w:t>
      </w:r>
      <w:r>
        <w:rPr>
          <w:sz w:val="18"/>
          <w:szCs w:val="18"/>
          <w:spacing w:val="-25"/>
        </w:rPr>
        <w:t xml:space="preserve"> </w:t>
      </w:r>
      <w:r>
        <w:rPr>
          <w:sz w:val="18"/>
          <w:szCs w:val="18"/>
          <w:spacing w:val="-1"/>
        </w:rPr>
        <w:t>1. EBITDA</w:t>
      </w:r>
      <w:r>
        <w:rPr>
          <w:sz w:val="18"/>
          <w:szCs w:val="18"/>
          <w:spacing w:val="-35"/>
        </w:rPr>
        <w:t xml:space="preserve"> </w:t>
      </w:r>
      <w:r>
        <w:rPr>
          <w:sz w:val="18"/>
          <w:szCs w:val="18"/>
          <w:spacing w:val="-1"/>
        </w:rPr>
        <w:t>反映了加回财务费用、所得税、公允价值变动净损失、营业成本和管理费用及研发费用中的折旧</w:t>
      </w:r>
      <w:r>
        <w:rPr>
          <w:sz w:val="18"/>
          <w:szCs w:val="18"/>
        </w:rPr>
        <w:t xml:space="preserve">  </w:t>
      </w:r>
      <w:r>
        <w:rPr>
          <w:sz w:val="18"/>
          <w:szCs w:val="18"/>
        </w:rPr>
        <w:t>及摊销以及减去投资收益、其他收益、营业外净收入的净利润。由于电信业是资本密集型产业，资本</w:t>
      </w:r>
      <w:r>
        <w:rPr>
          <w:sz w:val="18"/>
          <w:szCs w:val="18"/>
          <w:spacing w:val="-1"/>
        </w:rPr>
        <w:t>开支和财务</w:t>
      </w:r>
      <w:r>
        <w:rPr>
          <w:sz w:val="18"/>
          <w:szCs w:val="18"/>
        </w:rPr>
        <w:t xml:space="preserve">  </w:t>
      </w:r>
      <w:r>
        <w:rPr>
          <w:sz w:val="18"/>
          <w:szCs w:val="18"/>
          <w:spacing w:val="-4"/>
        </w:rPr>
        <w:t>费用可能对具有类似经营成果的公司年度盈利产生重大影响。因此，</w:t>
      </w:r>
      <w:r>
        <w:rPr>
          <w:sz w:val="18"/>
          <w:szCs w:val="18"/>
          <w:spacing w:val="43"/>
        </w:rPr>
        <w:t xml:space="preserve"> </w:t>
      </w:r>
      <w:r>
        <w:rPr>
          <w:sz w:val="18"/>
          <w:szCs w:val="18"/>
          <w:spacing w:val="-4"/>
        </w:rPr>
        <w:t>公司认为，对于与公司</w:t>
      </w:r>
      <w:r>
        <w:rPr>
          <w:sz w:val="18"/>
          <w:szCs w:val="18"/>
          <w:spacing w:val="-5"/>
        </w:rPr>
        <w:t>类似的电信公司而言，</w:t>
      </w:r>
      <w:r>
        <w:rPr>
          <w:sz w:val="18"/>
          <w:szCs w:val="18"/>
        </w:rPr>
        <w:t xml:space="preserve"> </w:t>
      </w:r>
      <w:r>
        <w:rPr>
          <w:sz w:val="18"/>
          <w:szCs w:val="18"/>
          <w:spacing w:val="-1"/>
        </w:rPr>
        <w:t>EBITDA</w:t>
      </w:r>
      <w:r>
        <w:rPr>
          <w:sz w:val="18"/>
          <w:szCs w:val="18"/>
          <w:spacing w:val="-32"/>
        </w:rPr>
        <w:t xml:space="preserve"> </w:t>
      </w:r>
      <w:r>
        <w:rPr>
          <w:sz w:val="18"/>
          <w:szCs w:val="18"/>
          <w:spacing w:val="-1"/>
        </w:rPr>
        <w:t>有助于对公司经营成果分析。</w:t>
      </w:r>
    </w:p>
    <w:p>
      <w:pPr>
        <w:spacing w:line="381" w:lineRule="auto"/>
        <w:rPr>
          <w:rFonts w:ascii="Arial"/>
          <w:sz w:val="21"/>
        </w:rPr>
      </w:pPr>
      <w:r/>
    </w:p>
    <w:p>
      <w:pPr>
        <w:pStyle w:val="BodyText"/>
        <w:ind w:left="56"/>
        <w:spacing w:before="69" w:line="221" w:lineRule="auto"/>
        <w:outlineLvl w:val="1"/>
        <w:rPr/>
      </w:pPr>
      <w:r>
        <w:rPr>
          <w:b/>
          <w:bCs/>
          <w:spacing w:val="-4"/>
        </w:rPr>
        <w:t>四、重要事项</w:t>
      </w:r>
    </w:p>
    <w:p>
      <w:pPr>
        <w:pStyle w:val="BodyText"/>
        <w:ind w:left="88" w:right="3358" w:hanging="52"/>
        <w:spacing w:before="254" w:line="393" w:lineRule="auto"/>
        <w:rPr/>
      </w:pPr>
      <w:r>
        <w:rPr>
          <w:spacing w:val="-1"/>
        </w:rPr>
        <w:t>4.1</w:t>
      </w:r>
      <w:r>
        <w:rPr>
          <w:spacing w:val="-34"/>
        </w:rPr>
        <w:t xml:space="preserve"> </w:t>
      </w:r>
      <w:r>
        <w:rPr>
          <w:spacing w:val="-1"/>
        </w:rPr>
        <w:t>公司主要会计报表项目、财务指标重大变动的情况及原因</w:t>
      </w:r>
      <w:r>
        <w:rPr/>
        <w:t xml:space="preserve"> </w:t>
      </w:r>
      <w:r>
        <w:rPr>
          <w:spacing w:val="-13"/>
        </w:rPr>
        <w:t>√适用</w:t>
      </w:r>
      <w:r>
        <w:rPr>
          <w:spacing w:val="32"/>
        </w:rPr>
        <w:t xml:space="preserve"> </w:t>
      </w:r>
      <w:r>
        <w:rPr>
          <w:spacing w:val="-13"/>
        </w:rPr>
        <w:t>□不适用</w:t>
      </w:r>
    </w:p>
    <w:p>
      <w:pPr>
        <w:spacing w:line="140" w:lineRule="exact"/>
        <w:rPr/>
      </w:pPr>
      <w:r/>
    </w:p>
    <w:tbl>
      <w:tblPr>
        <w:tblStyle w:val="TableNormal"/>
        <w:tblW w:w="8941" w:type="dxa"/>
        <w:tblInd w:w="1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641"/>
        <w:gridCol w:w="2188"/>
        <w:gridCol w:w="2411"/>
        <w:gridCol w:w="1701"/>
      </w:tblGrid>
      <w:tr>
        <w:trPr>
          <w:trHeight w:val="313" w:hRule="atLeast"/>
        </w:trPr>
        <w:tc>
          <w:tcPr>
            <w:shd w:val="clear" w:fill="D9D9D9"/>
            <w:tcW w:w="2641" w:type="dxa"/>
            <w:vAlign w:val="top"/>
          </w:tcPr>
          <w:p>
            <w:pPr>
              <w:pStyle w:val="TableText"/>
              <w:ind w:left="1114"/>
              <w:spacing w:before="51" w:line="220" w:lineRule="auto"/>
              <w:rPr/>
            </w:pPr>
            <w:r>
              <w:rPr>
                <w:spacing w:val="-2"/>
              </w:rPr>
              <w:t>科目</w:t>
            </w:r>
          </w:p>
        </w:tc>
        <w:tc>
          <w:tcPr>
            <w:shd w:val="clear" w:fill="D9D9D9"/>
            <w:tcW w:w="2188" w:type="dxa"/>
            <w:vAlign w:val="top"/>
          </w:tcPr>
          <w:p>
            <w:pPr>
              <w:pStyle w:val="TableText"/>
              <w:ind w:left="783"/>
              <w:spacing w:before="51" w:line="220" w:lineRule="auto"/>
              <w:rPr/>
            </w:pPr>
            <w:r>
              <w:rPr>
                <w:spacing w:val="-2"/>
              </w:rPr>
              <w:t>本期数</w:t>
            </w:r>
          </w:p>
        </w:tc>
        <w:tc>
          <w:tcPr>
            <w:shd w:val="clear" w:fill="D9D9D9"/>
            <w:tcW w:w="2411" w:type="dxa"/>
            <w:vAlign w:val="top"/>
          </w:tcPr>
          <w:p>
            <w:pPr>
              <w:pStyle w:val="TableText"/>
              <w:ind w:left="687"/>
              <w:spacing w:before="50" w:line="221" w:lineRule="auto"/>
              <w:rPr/>
            </w:pPr>
            <w:r>
              <w:rPr>
                <w:spacing w:val="-2"/>
              </w:rPr>
              <w:t>上年期末数</w:t>
            </w:r>
          </w:p>
        </w:tc>
        <w:tc>
          <w:tcPr>
            <w:shd w:val="clear" w:fill="D9D9D9"/>
            <w:tcW w:w="1701" w:type="dxa"/>
            <w:vAlign w:val="top"/>
          </w:tcPr>
          <w:p>
            <w:pPr>
              <w:pStyle w:val="TableText"/>
              <w:ind w:left="175"/>
              <w:spacing w:before="51" w:line="221" w:lineRule="auto"/>
              <w:rPr/>
            </w:pPr>
            <w:r>
              <w:rPr>
                <w:spacing w:val="-1"/>
              </w:rPr>
              <w:t>变动比例（%）</w:t>
            </w:r>
          </w:p>
        </w:tc>
      </w:tr>
      <w:tr>
        <w:trPr>
          <w:trHeight w:val="311" w:hRule="atLeast"/>
        </w:trPr>
        <w:tc>
          <w:tcPr>
            <w:tcW w:w="2641" w:type="dxa"/>
            <w:vAlign w:val="top"/>
          </w:tcPr>
          <w:p>
            <w:pPr>
              <w:pStyle w:val="TableText"/>
              <w:ind w:left="114"/>
              <w:spacing w:before="49" w:line="221" w:lineRule="auto"/>
              <w:rPr/>
            </w:pPr>
            <w:r>
              <w:rPr>
                <w:spacing w:val="-2"/>
              </w:rPr>
              <w:t>使用权资产</w:t>
            </w:r>
          </w:p>
        </w:tc>
        <w:tc>
          <w:tcPr>
            <w:tcW w:w="2188" w:type="dxa"/>
            <w:vAlign w:val="top"/>
          </w:tcPr>
          <w:p>
            <w:pPr>
              <w:pStyle w:val="TableText"/>
              <w:ind w:left="618"/>
              <w:spacing w:before="84" w:line="183" w:lineRule="auto"/>
              <w:rPr/>
            </w:pPr>
            <w:r>
              <w:rPr>
                <w:spacing w:val="-1"/>
              </w:rPr>
              <w:t>33,876,192,968</w:t>
            </w:r>
          </w:p>
        </w:tc>
        <w:tc>
          <w:tcPr>
            <w:tcW w:w="2411" w:type="dxa"/>
            <w:vAlign w:val="top"/>
          </w:tcPr>
          <w:p>
            <w:pPr>
              <w:pStyle w:val="TableText"/>
              <w:ind w:left="1680"/>
              <w:spacing w:before="49" w:line="221" w:lineRule="auto"/>
              <w:rPr/>
            </w:pPr>
            <w:r>
              <w:rPr>
                <w:spacing w:val="-2"/>
              </w:rPr>
              <w:t>不适用</w:t>
            </w:r>
          </w:p>
        </w:tc>
        <w:tc>
          <w:tcPr>
            <w:tcW w:w="1701" w:type="dxa"/>
            <w:vAlign w:val="top"/>
          </w:tcPr>
          <w:p>
            <w:pPr>
              <w:pStyle w:val="TableText"/>
              <w:ind w:left="973"/>
              <w:spacing w:before="49" w:line="221" w:lineRule="auto"/>
              <w:rPr/>
            </w:pPr>
            <w:r>
              <w:rPr>
                <w:spacing w:val="-2"/>
              </w:rPr>
              <w:t>不适用</w:t>
            </w:r>
          </w:p>
        </w:tc>
      </w:tr>
      <w:tr>
        <w:trPr>
          <w:trHeight w:val="311" w:hRule="atLeast"/>
        </w:trPr>
        <w:tc>
          <w:tcPr>
            <w:tcW w:w="2641" w:type="dxa"/>
            <w:vAlign w:val="top"/>
          </w:tcPr>
          <w:p>
            <w:pPr>
              <w:pStyle w:val="TableText"/>
              <w:ind w:left="113"/>
              <w:spacing w:before="50" w:line="220" w:lineRule="auto"/>
              <w:rPr/>
            </w:pPr>
            <w:r>
              <w:rPr>
                <w:spacing w:val="-1"/>
              </w:rPr>
              <w:t>应付职工薪酬</w:t>
            </w:r>
          </w:p>
        </w:tc>
        <w:tc>
          <w:tcPr>
            <w:tcW w:w="2188" w:type="dxa"/>
            <w:vAlign w:val="top"/>
          </w:tcPr>
          <w:p>
            <w:pPr>
              <w:pStyle w:val="TableText"/>
              <w:ind w:left="630"/>
              <w:spacing w:before="84" w:line="183" w:lineRule="auto"/>
              <w:rPr/>
            </w:pPr>
            <w:r>
              <w:rPr>
                <w:spacing w:val="-2"/>
              </w:rPr>
              <w:t>14,298,288,649</w:t>
            </w:r>
          </w:p>
        </w:tc>
        <w:tc>
          <w:tcPr>
            <w:tcW w:w="2411" w:type="dxa"/>
            <w:vAlign w:val="top"/>
          </w:tcPr>
          <w:p>
            <w:pPr>
              <w:pStyle w:val="TableText"/>
              <w:ind w:left="943"/>
              <w:spacing w:before="84" w:line="183" w:lineRule="auto"/>
              <w:rPr/>
            </w:pPr>
            <w:r>
              <w:rPr>
                <w:spacing w:val="-1"/>
              </w:rPr>
              <w:t>8,263,357,851</w:t>
            </w:r>
          </w:p>
        </w:tc>
        <w:tc>
          <w:tcPr>
            <w:tcW w:w="1701" w:type="dxa"/>
            <w:vAlign w:val="top"/>
          </w:tcPr>
          <w:p>
            <w:pPr>
              <w:pStyle w:val="TableText"/>
              <w:ind w:left="1395"/>
              <w:spacing w:before="86" w:line="182" w:lineRule="auto"/>
              <w:rPr/>
            </w:pPr>
            <w:r>
              <w:rPr>
                <w:spacing w:val="-4"/>
              </w:rPr>
              <w:t>73</w:t>
            </w:r>
          </w:p>
        </w:tc>
      </w:tr>
      <w:tr>
        <w:trPr>
          <w:trHeight w:val="313" w:hRule="atLeast"/>
        </w:trPr>
        <w:tc>
          <w:tcPr>
            <w:tcW w:w="2641" w:type="dxa"/>
            <w:vAlign w:val="top"/>
          </w:tcPr>
          <w:p>
            <w:pPr>
              <w:pStyle w:val="TableText"/>
              <w:ind w:left="113"/>
              <w:spacing w:before="53" w:line="219" w:lineRule="auto"/>
              <w:rPr/>
            </w:pPr>
            <w:r>
              <w:rPr>
                <w:spacing w:val="-2"/>
              </w:rPr>
              <w:t>应付债券</w:t>
            </w:r>
          </w:p>
        </w:tc>
        <w:tc>
          <w:tcPr>
            <w:tcW w:w="2188" w:type="dxa"/>
            <w:vAlign w:val="top"/>
          </w:tcPr>
          <w:p>
            <w:pPr>
              <w:pStyle w:val="TableText"/>
              <w:ind w:left="722"/>
              <w:spacing w:before="88" w:line="183" w:lineRule="auto"/>
              <w:rPr/>
            </w:pPr>
            <w:r>
              <w:rPr>
                <w:spacing w:val="-1"/>
              </w:rPr>
              <w:t>2,996,551,656</w:t>
            </w:r>
          </w:p>
        </w:tc>
        <w:tc>
          <w:tcPr>
            <w:tcW w:w="2411" w:type="dxa"/>
            <w:vAlign w:val="top"/>
          </w:tcPr>
          <w:p>
            <w:pPr>
              <w:pStyle w:val="TableText"/>
              <w:ind w:left="1154"/>
              <w:spacing w:before="89" w:line="182" w:lineRule="auto"/>
              <w:rPr/>
            </w:pPr>
            <w:r>
              <w:rPr>
                <w:spacing w:val="-1"/>
              </w:rPr>
              <w:t>998,985,859</w:t>
            </w:r>
          </w:p>
        </w:tc>
        <w:tc>
          <w:tcPr>
            <w:tcW w:w="1701" w:type="dxa"/>
            <w:vAlign w:val="top"/>
          </w:tcPr>
          <w:p>
            <w:pPr>
              <w:pStyle w:val="TableText"/>
              <w:ind w:left="1289"/>
              <w:spacing w:before="89" w:line="182" w:lineRule="auto"/>
              <w:rPr/>
            </w:pPr>
            <w:r>
              <w:rPr>
                <w:spacing w:val="-2"/>
              </w:rPr>
              <w:t>200</w:t>
            </w:r>
          </w:p>
        </w:tc>
      </w:tr>
      <w:tr>
        <w:trPr>
          <w:trHeight w:val="313" w:hRule="atLeast"/>
        </w:trPr>
        <w:tc>
          <w:tcPr>
            <w:tcW w:w="2641" w:type="dxa"/>
            <w:vAlign w:val="top"/>
          </w:tcPr>
          <w:p>
            <w:pPr>
              <w:pStyle w:val="TableText"/>
              <w:ind w:left="115"/>
              <w:spacing w:before="52" w:line="220" w:lineRule="auto"/>
              <w:rPr/>
            </w:pPr>
            <w:r>
              <w:rPr>
                <w:spacing w:val="-2"/>
              </w:rPr>
              <w:t>租赁负债</w:t>
            </w:r>
          </w:p>
        </w:tc>
        <w:tc>
          <w:tcPr>
            <w:tcW w:w="2188" w:type="dxa"/>
            <w:vAlign w:val="top"/>
          </w:tcPr>
          <w:p>
            <w:pPr>
              <w:pStyle w:val="TableText"/>
              <w:ind w:left="617"/>
              <w:spacing w:before="86" w:line="183" w:lineRule="auto"/>
              <w:rPr/>
            </w:pPr>
            <w:r>
              <w:rPr>
                <w:spacing w:val="-1"/>
              </w:rPr>
              <w:t>22,574,451,556</w:t>
            </w:r>
          </w:p>
        </w:tc>
        <w:tc>
          <w:tcPr>
            <w:tcW w:w="2411" w:type="dxa"/>
            <w:vAlign w:val="top"/>
          </w:tcPr>
          <w:p>
            <w:pPr>
              <w:pStyle w:val="TableText"/>
              <w:ind w:left="1680"/>
              <w:spacing w:before="52" w:line="220" w:lineRule="auto"/>
              <w:rPr/>
            </w:pPr>
            <w:r>
              <w:rPr>
                <w:spacing w:val="-2"/>
              </w:rPr>
              <w:t>不适用</w:t>
            </w:r>
          </w:p>
        </w:tc>
        <w:tc>
          <w:tcPr>
            <w:tcW w:w="1701" w:type="dxa"/>
            <w:vAlign w:val="top"/>
          </w:tcPr>
          <w:p>
            <w:pPr>
              <w:pStyle w:val="TableText"/>
              <w:ind w:left="973"/>
              <w:spacing w:before="52" w:line="220" w:lineRule="auto"/>
              <w:rPr/>
            </w:pPr>
            <w:r>
              <w:rPr>
                <w:spacing w:val="-2"/>
              </w:rPr>
              <w:t>不适用</w:t>
            </w:r>
          </w:p>
        </w:tc>
      </w:tr>
    </w:tbl>
    <w:p>
      <w:pPr>
        <w:spacing w:line="97" w:lineRule="exact"/>
        <w:rPr>
          <w:rFonts w:ascii="Arial"/>
          <w:sz w:val="8"/>
        </w:rPr>
      </w:pPr>
      <w:r/>
    </w:p>
    <w:p>
      <w:pPr>
        <w:spacing w:line="97" w:lineRule="exact"/>
        <w:sectPr>
          <w:headerReference w:type="default" r:id="rId11"/>
          <w:footerReference w:type="default" r:id="rId12"/>
          <w:pgSz w:w="11907" w:h="16839"/>
          <w:pgMar w:top="1374" w:right="1178" w:bottom="1431" w:left="1723" w:header="835" w:footer="1212" w:gutter="0"/>
        </w:sectPr>
        <w:rPr>
          <w:rFonts w:ascii="Arial" w:hAnsi="Arial" w:eastAsia="Arial" w:cs="Arial"/>
          <w:sz w:val="8"/>
          <w:szCs w:val="8"/>
        </w:rPr>
      </w:pPr>
    </w:p>
    <w:p>
      <w:pPr>
        <w:pStyle w:val="BodyText"/>
        <w:ind w:left="37" w:right="131"/>
        <w:spacing w:before="200" w:line="261" w:lineRule="auto"/>
        <w:rPr/>
      </w:pPr>
      <w:r>
        <w:rPr>
          <w:spacing w:val="-3"/>
        </w:rPr>
        <w:t>使用权资产、租赁负债变动原因：因</w:t>
      </w:r>
      <w:r>
        <w:rPr>
          <w:spacing w:val="-42"/>
        </w:rPr>
        <w:t xml:space="preserve"> </w:t>
      </w:r>
      <w:r>
        <w:rPr>
          <w:spacing w:val="-3"/>
        </w:rPr>
        <w:t>2019</w:t>
      </w:r>
      <w:r>
        <w:rPr>
          <w:spacing w:val="-43"/>
        </w:rPr>
        <w:t xml:space="preserve"> </w:t>
      </w:r>
      <w:r>
        <w:rPr>
          <w:spacing w:val="-3"/>
        </w:rPr>
        <w:t>年</w:t>
      </w:r>
      <w:r>
        <w:rPr>
          <w:spacing w:val="-31"/>
        </w:rPr>
        <w:t xml:space="preserve"> </w:t>
      </w:r>
      <w:r>
        <w:rPr>
          <w:spacing w:val="-3"/>
        </w:rPr>
        <w:t>1</w:t>
      </w:r>
      <w:r>
        <w:rPr>
          <w:spacing w:val="-38"/>
        </w:rPr>
        <w:t xml:space="preserve"> </w:t>
      </w:r>
      <w:r>
        <w:rPr>
          <w:spacing w:val="-3"/>
        </w:rPr>
        <w:t>月</w:t>
      </w:r>
      <w:r>
        <w:rPr>
          <w:spacing w:val="-31"/>
        </w:rPr>
        <w:t xml:space="preserve"> </w:t>
      </w:r>
      <w:r>
        <w:rPr>
          <w:spacing w:val="-4"/>
        </w:rPr>
        <w:t>1 日起首次执行《企业会计准则第</w:t>
      </w:r>
      <w:r>
        <w:rPr>
          <w:spacing w:val="-41"/>
        </w:rPr>
        <w:t xml:space="preserve"> </w:t>
      </w:r>
      <w:r>
        <w:rPr>
          <w:spacing w:val="-4"/>
        </w:rPr>
        <w:t>21</w:t>
      </w:r>
      <w:r>
        <w:rPr>
          <w:spacing w:val="-41"/>
        </w:rPr>
        <w:t xml:space="preserve"> </w:t>
      </w:r>
      <w:r>
        <w:rPr>
          <w:spacing w:val="-4"/>
        </w:rPr>
        <w:t>号——租</w:t>
      </w:r>
      <w:r>
        <w:rPr/>
        <w:t xml:space="preserve"> </w:t>
      </w:r>
      <w:r>
        <w:rPr>
          <w:spacing w:val="-2"/>
        </w:rPr>
        <w:t>赁（修订）》，确认使用权资产和租赁负债；</w:t>
      </w:r>
    </w:p>
    <w:p>
      <w:pPr>
        <w:pStyle w:val="BodyText"/>
        <w:ind w:left="37"/>
        <w:spacing w:before="30" w:line="220" w:lineRule="auto"/>
        <w:rPr/>
      </w:pPr>
      <w:r>
        <w:rPr/>
        <w:t>应付职工薪酬变动原因：主要由于计提人工成本随利润增加而增加</w:t>
      </w:r>
      <w:r>
        <w:rPr>
          <w:spacing w:val="-1"/>
        </w:rPr>
        <w:t>所致；</w:t>
      </w:r>
    </w:p>
    <w:p>
      <w:pPr>
        <w:pStyle w:val="BodyText"/>
        <w:ind w:left="37"/>
        <w:spacing w:before="61" w:line="220" w:lineRule="auto"/>
        <w:rPr/>
      </w:pPr>
      <w:r>
        <w:rPr>
          <w:spacing w:val="-3"/>
        </w:rPr>
        <w:t>应付债券变动原因：主要由于</w:t>
      </w:r>
      <w:r>
        <w:rPr>
          <w:spacing w:val="-42"/>
        </w:rPr>
        <w:t xml:space="preserve"> </w:t>
      </w:r>
      <w:r>
        <w:rPr>
          <w:spacing w:val="-3"/>
        </w:rPr>
        <w:t>2019</w:t>
      </w:r>
      <w:r>
        <w:rPr>
          <w:spacing w:val="-46"/>
        </w:rPr>
        <w:t xml:space="preserve"> </w:t>
      </w:r>
      <w:r>
        <w:rPr>
          <w:spacing w:val="-3"/>
        </w:rPr>
        <w:t>年</w:t>
      </w:r>
      <w:r>
        <w:rPr>
          <w:spacing w:val="-42"/>
        </w:rPr>
        <w:t xml:space="preserve"> </w:t>
      </w:r>
      <w:r>
        <w:rPr>
          <w:spacing w:val="-3"/>
        </w:rPr>
        <w:t>6</w:t>
      </w:r>
      <w:r>
        <w:rPr>
          <w:spacing w:val="-41"/>
        </w:rPr>
        <w:t xml:space="preserve"> </w:t>
      </w:r>
      <w:r>
        <w:rPr>
          <w:spacing w:val="-3"/>
        </w:rPr>
        <w:t>月</w:t>
      </w:r>
      <w:r>
        <w:rPr>
          <w:spacing w:val="-29"/>
        </w:rPr>
        <w:t xml:space="preserve"> </w:t>
      </w:r>
      <w:r>
        <w:rPr>
          <w:spacing w:val="-3"/>
        </w:rPr>
        <w:t>19 日联通运营公司发行人民币</w:t>
      </w:r>
      <w:r>
        <w:rPr>
          <w:spacing w:val="-41"/>
        </w:rPr>
        <w:t xml:space="preserve"> </w:t>
      </w:r>
      <w:r>
        <w:rPr>
          <w:spacing w:val="-3"/>
        </w:rPr>
        <w:t>20</w:t>
      </w:r>
      <w:r>
        <w:rPr>
          <w:spacing w:val="-45"/>
        </w:rPr>
        <w:t xml:space="preserve"> </w:t>
      </w:r>
      <w:r>
        <w:rPr>
          <w:spacing w:val="-3"/>
        </w:rPr>
        <w:t>亿元公司债券所致。</w:t>
      </w:r>
    </w:p>
    <w:p>
      <w:pPr>
        <w:spacing w:line="256" w:lineRule="auto"/>
        <w:rPr>
          <w:rFonts w:ascii="Arial"/>
          <w:sz w:val="21"/>
        </w:rPr>
      </w:pPr>
      <w:r/>
    </w:p>
    <w:p>
      <w:pPr>
        <w:spacing w:line="256" w:lineRule="auto"/>
        <w:rPr>
          <w:rFonts w:ascii="Arial"/>
          <w:sz w:val="21"/>
        </w:rPr>
      </w:pPr>
      <w:r/>
    </w:p>
    <w:p>
      <w:pPr>
        <w:pStyle w:val="BodyText"/>
        <w:ind w:left="88" w:right="3972" w:hanging="52"/>
        <w:spacing w:before="68" w:line="314" w:lineRule="auto"/>
        <w:rPr/>
      </w:pPr>
      <w:r>
        <w:rPr>
          <w:spacing w:val="-1"/>
        </w:rPr>
        <w:t>4.2</w:t>
      </w:r>
      <w:r>
        <w:rPr>
          <w:spacing w:val="-38"/>
        </w:rPr>
        <w:t xml:space="preserve"> </w:t>
      </w:r>
      <w:r>
        <w:rPr>
          <w:spacing w:val="-1"/>
        </w:rPr>
        <w:t>重要事项进展情况及其影响和解决方案的分析说明</w:t>
      </w:r>
      <w:r>
        <w:rPr/>
        <w:t xml:space="preserve"> </w:t>
      </w:r>
      <w:r>
        <w:rPr>
          <w:spacing w:val="-13"/>
        </w:rPr>
        <w:t>√适用</w:t>
      </w:r>
      <w:r>
        <w:rPr>
          <w:spacing w:val="32"/>
        </w:rPr>
        <w:t xml:space="preserve"> </w:t>
      </w:r>
      <w:r>
        <w:rPr>
          <w:spacing w:val="-13"/>
        </w:rPr>
        <w:t>□不适用</w:t>
      </w:r>
    </w:p>
    <w:p>
      <w:pPr>
        <w:pStyle w:val="BodyText"/>
        <w:ind w:left="36" w:right="76" w:firstLine="321"/>
        <w:spacing w:before="273" w:line="297" w:lineRule="auto"/>
        <w:rPr/>
      </w:pPr>
      <w:r>
        <w:rPr/>
        <w:t>（1）报告期内</w:t>
      </w:r>
      <w:r>
        <w:rPr>
          <w:spacing w:val="-51"/>
        </w:rPr>
        <w:t xml:space="preserve"> </w:t>
      </w:r>
      <w:r>
        <w:rPr/>
        <w:t>，公司董事胡晓明先生因工作调动原因，辞去公司董事</w:t>
      </w:r>
      <w:r>
        <w:rPr>
          <w:spacing w:val="-1"/>
        </w:rPr>
        <w:t>、董事会发展战略委员</w:t>
      </w:r>
      <w:r>
        <w:rPr/>
        <w:t xml:space="preserve"> </w:t>
      </w:r>
      <w:r>
        <w:rPr>
          <w:spacing w:val="1"/>
        </w:rPr>
        <w:t>会委员及薪酬与考核委员会委员职务；熊晓鸽先生因个人原因，辞去公司董事、董事会发展战略</w:t>
      </w:r>
      <w:r>
        <w:rPr>
          <w:spacing w:val="10"/>
        </w:rPr>
        <w:t xml:space="preserve"> </w:t>
      </w:r>
      <w:r>
        <w:rPr>
          <w:spacing w:val="1"/>
        </w:rPr>
        <w:t>委员会委员职务；公司监事林旸川先生因已届退休，辞去公司监事会主席及监事职务。经公司临</w:t>
      </w:r>
      <w:r>
        <w:rPr>
          <w:spacing w:val="10"/>
        </w:rPr>
        <w:t xml:space="preserve"> </w:t>
      </w:r>
      <w:r>
        <w:rPr>
          <w:spacing w:val="1"/>
        </w:rPr>
        <w:t>时股东大会审议通过，阿里巴巴首席技术官兼阿里云智能事业群总裁张建锋先生获选举为公司董</w:t>
      </w:r>
      <w:r>
        <w:rPr>
          <w:spacing w:val="11"/>
        </w:rPr>
        <w:t xml:space="preserve"> </w:t>
      </w:r>
      <w:r>
        <w:rPr/>
        <w:t>事，招联消费金融有限公司董事、常务副总经理李翀先生获选举为公司监</w:t>
      </w:r>
      <w:r>
        <w:rPr>
          <w:spacing w:val="-1"/>
        </w:rPr>
        <w:t>事。</w:t>
      </w:r>
    </w:p>
    <w:p>
      <w:pPr>
        <w:pStyle w:val="BodyText"/>
        <w:ind w:left="45" w:right="79" w:firstLine="409"/>
        <w:spacing w:before="265" w:line="303" w:lineRule="auto"/>
        <w:rPr/>
      </w:pPr>
      <w:r>
        <w:rPr>
          <w:spacing w:val="1"/>
        </w:rPr>
        <w:t>报告期内，公司董事、总裁李国华先生因工作职责调整不再兼任公司总法律顾问职务，经公</w:t>
      </w:r>
      <w:r>
        <w:rPr>
          <w:spacing w:val="11"/>
        </w:rPr>
        <w:t xml:space="preserve"> </w:t>
      </w:r>
      <w:r>
        <w:rPr/>
        <w:t>司董事会审议通过，公司高级副总裁范云军</w:t>
      </w:r>
      <w:r>
        <w:rPr>
          <w:spacing w:val="-1"/>
        </w:rPr>
        <w:t>先生兼任公司总法律顾问。</w:t>
      </w:r>
    </w:p>
    <w:p>
      <w:pPr>
        <w:pStyle w:val="BodyText"/>
        <w:ind w:left="37" w:right="77" w:firstLine="417"/>
        <w:spacing w:before="188" w:line="307" w:lineRule="auto"/>
        <w:jc w:val="both"/>
        <w:rPr/>
      </w:pPr>
      <w:r>
        <w:rPr>
          <w:spacing w:val="1"/>
        </w:rPr>
        <w:t>报告期末至披露日期间，公司董事王路先生因工作变动原因，辞去公司董事、董事会发展战</w:t>
      </w:r>
      <w:r>
        <w:rPr>
          <w:spacing w:val="10"/>
        </w:rPr>
        <w:t xml:space="preserve"> </w:t>
      </w:r>
      <w:r>
        <w:rPr>
          <w:spacing w:val="1"/>
        </w:rPr>
        <w:t>略委员会委员职务，经董事会审议通过，增补百度首席技术官王海峰先生为公司董事，该议案将</w:t>
      </w:r>
      <w:r>
        <w:rPr>
          <w:spacing w:val="8"/>
        </w:rPr>
        <w:t xml:space="preserve"> </w:t>
      </w:r>
      <w:r>
        <w:rPr>
          <w:spacing w:val="-1"/>
        </w:rPr>
        <w:t>提交公司于适当时候召开的股东大会审议。</w:t>
      </w:r>
    </w:p>
    <w:p>
      <w:pPr>
        <w:pStyle w:val="BodyText"/>
        <w:ind w:left="37" w:firstLine="422"/>
        <w:spacing w:before="187" w:line="313" w:lineRule="auto"/>
        <w:rPr/>
      </w:pPr>
      <w:r>
        <w:rPr>
          <w:spacing w:val="1"/>
        </w:rPr>
        <w:t>详情请见公司在《中国证券报》《上海证券报》《证券时报》、上海证券交易所网站及公司</w:t>
      </w:r>
      <w:r>
        <w:rPr>
          <w:spacing w:val="4"/>
        </w:rPr>
        <w:t xml:space="preserve"> </w:t>
      </w:r>
      <w:r>
        <w:rPr>
          <w:spacing w:val="1"/>
        </w:rPr>
        <w:t>网站发布的《第六届董事会第十三次会议决议公告》（公告编号：2019-035）、《关于公司董事</w:t>
      </w:r>
      <w:r>
        <w:rPr>
          <w:spacing w:val="8"/>
        </w:rPr>
        <w:t xml:space="preserve"> </w:t>
      </w:r>
      <w:r>
        <w:rPr>
          <w:spacing w:val="-3"/>
        </w:rPr>
        <w:t>辞任和增补董事的公告》（公告编号：2019-036）、《第六届董</w:t>
      </w:r>
      <w:r>
        <w:rPr>
          <w:spacing w:val="-4"/>
        </w:rPr>
        <w:t>事会第十四次会议决议公告》（公</w:t>
      </w:r>
      <w:r>
        <w:rPr/>
        <w:t xml:space="preserve"> </w:t>
      </w:r>
      <w:r>
        <w:rPr>
          <w:spacing w:val="-5"/>
        </w:rPr>
        <w:t>告编号：2019-038）、《关于总法律顾</w:t>
      </w:r>
      <w:r>
        <w:rPr>
          <w:spacing w:val="-6"/>
        </w:rPr>
        <w:t>问辞任和聘任总法律顾问的公告》（公告编号：2019-042）、</w:t>
      </w:r>
      <w:r>
        <w:rPr/>
        <w:t xml:space="preserve"> </w:t>
      </w:r>
      <w:r>
        <w:rPr>
          <w:spacing w:val="1"/>
        </w:rPr>
        <w:t>《第六届监事会第十一次会议决议公告》（公告编号：2019-045）、《关于公司监事辞任和增补</w:t>
      </w:r>
      <w:r>
        <w:rPr>
          <w:spacing w:val="7"/>
        </w:rPr>
        <w:t xml:space="preserve"> </w:t>
      </w:r>
      <w:r>
        <w:rPr>
          <w:spacing w:val="1"/>
        </w:rPr>
        <w:t>监事的公告》（公告编号：2019-046）、《2019年第一次临时股东大会</w:t>
      </w:r>
      <w:r>
        <w:rPr/>
        <w:t>决议公告》（公告编号：  </w:t>
      </w:r>
      <w:r>
        <w:rPr>
          <w:spacing w:val="1"/>
        </w:rPr>
        <w:t>2019-049）、《第六届董事会第十六次会议决议公告》（公告编号：2019-053）、《关于公司董</w:t>
      </w:r>
      <w:r>
        <w:rPr>
          <w:spacing w:val="2"/>
        </w:rPr>
        <w:t xml:space="preserve"> </w:t>
      </w:r>
      <w:r>
        <w:rPr/>
        <w:t>事辞任和增补董事的公告》（公告编号：2019</w:t>
      </w:r>
      <w:r>
        <w:rPr>
          <w:spacing w:val="-1"/>
        </w:rPr>
        <w:t>-056）。</w:t>
      </w:r>
    </w:p>
    <w:p>
      <w:pPr>
        <w:pStyle w:val="BodyText"/>
        <w:ind w:left="43" w:right="76" w:firstLine="314"/>
        <w:spacing w:before="190" w:line="307" w:lineRule="auto"/>
        <w:jc w:val="both"/>
        <w:rPr/>
      </w:pPr>
      <w:r>
        <w:rPr/>
        <w:t>（2）报告期内</w:t>
      </w:r>
      <w:r>
        <w:rPr>
          <w:spacing w:val="-50"/>
        </w:rPr>
        <w:t xml:space="preserve"> </w:t>
      </w:r>
      <w:r>
        <w:rPr/>
        <w:t>，经董事会审议通过，公司控股子公司中国联合网络通</w:t>
      </w:r>
      <w:r>
        <w:rPr>
          <w:spacing w:val="-1"/>
        </w:rPr>
        <w:t>信（香港）股份有限公</w:t>
      </w:r>
      <w:r>
        <w:rPr/>
        <w:t xml:space="preserve"> </w:t>
      </w:r>
      <w:r>
        <w:rPr/>
        <w:t>司之全资附属子公司联通运营公司与中国电信签署《5G网络共建共享框架合作协议书》</w:t>
      </w:r>
      <w:r>
        <w:rPr>
          <w:spacing w:val="-60"/>
        </w:rPr>
        <w:t xml:space="preserve"> </w:t>
      </w:r>
      <w:r>
        <w:rPr/>
        <w:t>，联通运 </w:t>
      </w:r>
      <w:r>
        <w:rPr>
          <w:spacing w:val="-1"/>
        </w:rPr>
        <w:t>营公司将与中国电信在全国范围内合作共建一张5G接入网络。</w:t>
      </w:r>
    </w:p>
    <w:p>
      <w:pPr>
        <w:pStyle w:val="BodyText"/>
        <w:ind w:left="37" w:right="74" w:firstLine="422"/>
        <w:spacing w:before="188" w:line="307" w:lineRule="auto"/>
        <w:jc w:val="both"/>
        <w:rPr/>
      </w:pPr>
      <w:r>
        <w:rPr>
          <w:spacing w:val="1"/>
        </w:rPr>
        <w:t>详情请见公司在《中国证券报》《上海证券报》《证券时报》、上海证券交易所网站及公司</w:t>
      </w:r>
      <w:r>
        <w:rPr>
          <w:spacing w:val="4"/>
        </w:rPr>
        <w:t xml:space="preserve"> </w:t>
      </w:r>
      <w:r>
        <w:rPr>
          <w:spacing w:val="1"/>
        </w:rPr>
        <w:t>网站发布的《第六届董事会第十五次会议决议公告》（公告编号：2019-050）、《关于与中国电</w:t>
      </w:r>
      <w:r>
        <w:rPr>
          <w:spacing w:val="8"/>
        </w:rPr>
        <w:t xml:space="preserve"> </w:t>
      </w:r>
      <w:r>
        <w:rPr/>
        <w:t>信进行5G网络共建共享合作的公告》（公告编号：2019</w:t>
      </w:r>
      <w:r>
        <w:rPr>
          <w:spacing w:val="-1"/>
        </w:rPr>
        <w:t>-051）。</w:t>
      </w:r>
    </w:p>
    <w:p>
      <w:pPr>
        <w:pStyle w:val="BodyText"/>
        <w:ind w:left="36" w:right="77" w:firstLine="321"/>
        <w:spacing w:before="188" w:line="303" w:lineRule="auto"/>
        <w:rPr/>
      </w:pPr>
      <w:r>
        <w:rPr>
          <w:spacing w:val="1"/>
        </w:rPr>
        <w:t>（3）报告期内，经董事会、监事会审议通过，公司限制性股票激励计划首期授予方案第一个</w:t>
      </w:r>
      <w:r>
        <w:rPr>
          <w:spacing w:val="4"/>
        </w:rPr>
        <w:t xml:space="preserve"> </w:t>
      </w:r>
      <w:r>
        <w:rPr>
          <w:spacing w:val="-1"/>
        </w:rPr>
        <w:t>解锁期公司业绩条件达成。</w:t>
      </w:r>
    </w:p>
    <w:p>
      <w:pPr>
        <w:spacing w:line="303" w:lineRule="auto"/>
        <w:sectPr>
          <w:headerReference w:type="default" r:id="rId13"/>
          <w:footerReference w:type="default" r:id="rId14"/>
          <w:pgSz w:w="11907" w:h="16839"/>
          <w:pgMar w:top="1374" w:right="1195" w:bottom="1431" w:left="1723" w:header="835" w:footer="1212" w:gutter="0"/>
        </w:sectPr>
        <w:rPr/>
      </w:pPr>
    </w:p>
    <w:p>
      <w:pPr>
        <w:pStyle w:val="BodyText"/>
        <w:ind w:left="37" w:right="67" w:firstLine="422"/>
        <w:spacing w:before="258" w:line="309" w:lineRule="auto"/>
        <w:jc w:val="both"/>
        <w:rPr/>
      </w:pPr>
      <w:r>
        <w:rPr>
          <w:spacing w:val="1"/>
        </w:rPr>
        <w:t>详情请见公司在《中国证券报》《上海证券报》《证券时报》、上海证券交易所网站及公司</w:t>
      </w:r>
      <w:r>
        <w:rPr>
          <w:spacing w:val="4"/>
        </w:rPr>
        <w:t xml:space="preserve"> </w:t>
      </w:r>
      <w:r>
        <w:rPr>
          <w:spacing w:val="1"/>
        </w:rPr>
        <w:t>网站发布的《第六届董事会第十四次会议决议公告》（公告编号：2019-038）、《第六届监事会</w:t>
      </w:r>
      <w:r>
        <w:rPr>
          <w:spacing w:val="8"/>
        </w:rPr>
        <w:t xml:space="preserve"> </w:t>
      </w:r>
      <w:r>
        <w:rPr>
          <w:spacing w:val="1"/>
        </w:rPr>
        <w:t>第十次会议决议公告》（公告编号：2019-039）、《关于限制性股票激励计划首期授予方案第一</w:t>
      </w:r>
      <w:r>
        <w:rPr>
          <w:spacing w:val="7"/>
        </w:rPr>
        <w:t xml:space="preserve"> </w:t>
      </w:r>
      <w:r>
        <w:rPr/>
        <w:t>个解锁期公司业绩条件达成的公告》（公告编号：2019</w:t>
      </w:r>
      <w:r>
        <w:rPr>
          <w:spacing w:val="-1"/>
        </w:rPr>
        <w:t>-041）。</w:t>
      </w:r>
    </w:p>
    <w:p>
      <w:pPr>
        <w:spacing w:line="292" w:lineRule="auto"/>
        <w:rPr>
          <w:rFonts w:ascii="Arial"/>
          <w:sz w:val="21"/>
        </w:rPr>
      </w:pPr>
      <w:r/>
    </w:p>
    <w:p>
      <w:pPr>
        <w:spacing w:line="292" w:lineRule="auto"/>
        <w:rPr>
          <w:rFonts w:ascii="Arial"/>
          <w:sz w:val="21"/>
        </w:rPr>
      </w:pPr>
      <w:r/>
    </w:p>
    <w:p>
      <w:pPr>
        <w:pStyle w:val="BodyText"/>
        <w:ind w:left="36"/>
        <w:spacing w:before="68" w:line="219" w:lineRule="auto"/>
        <w:rPr/>
      </w:pPr>
      <w:r>
        <w:rPr>
          <w:spacing w:val="-1"/>
        </w:rPr>
        <w:t>4.3</w:t>
      </w:r>
      <w:r>
        <w:rPr>
          <w:spacing w:val="-45"/>
        </w:rPr>
        <w:t xml:space="preserve"> </w:t>
      </w:r>
      <w:r>
        <w:rPr>
          <w:spacing w:val="-1"/>
        </w:rPr>
        <w:t>报告期内超期未履行完毕的承诺事项</w:t>
      </w:r>
    </w:p>
    <w:p>
      <w:pPr>
        <w:pStyle w:val="BodyText"/>
        <w:ind w:left="58"/>
        <w:spacing w:before="211" w:line="222" w:lineRule="auto"/>
        <w:rPr/>
      </w:pPr>
      <w:r>
        <w:rPr>
          <w:spacing w:val="-13"/>
        </w:rPr>
        <w:t>□适用</w:t>
      </w:r>
      <w:r>
        <w:rPr>
          <w:spacing w:val="63"/>
        </w:rPr>
        <w:t xml:space="preserve"> </w:t>
      </w:r>
      <w:r>
        <w:rPr>
          <w:spacing w:val="-13"/>
        </w:rPr>
        <w:t>√不适用</w:t>
      </w:r>
    </w:p>
    <w:p>
      <w:pPr>
        <w:spacing w:line="255" w:lineRule="auto"/>
        <w:rPr>
          <w:rFonts w:ascii="Arial"/>
          <w:sz w:val="21"/>
        </w:rPr>
      </w:pPr>
      <w:r/>
    </w:p>
    <w:p>
      <w:pPr>
        <w:spacing w:line="255" w:lineRule="auto"/>
        <w:rPr>
          <w:rFonts w:ascii="Arial"/>
          <w:sz w:val="21"/>
        </w:rPr>
      </w:pPr>
      <w:r/>
    </w:p>
    <w:p>
      <w:pPr>
        <w:pStyle w:val="BodyText"/>
        <w:ind w:left="397" w:right="182" w:hanging="361"/>
        <w:spacing w:before="69" w:line="269" w:lineRule="auto"/>
        <w:rPr/>
      </w:pPr>
      <w:r>
        <w:rPr/>
        <w:t>4.4</w:t>
      </w:r>
      <w:r>
        <w:rPr>
          <w:spacing w:val="-52"/>
        </w:rPr>
        <w:t xml:space="preserve"> </w:t>
      </w:r>
      <w:r>
        <w:rPr/>
        <w:t>预测年初至下一报告期期末的累计净利润可能为亏损或者与上年同期相比</w:t>
      </w:r>
      <w:r>
        <w:rPr>
          <w:spacing w:val="-1"/>
        </w:rPr>
        <w:t>发生重大变动的警</w:t>
      </w:r>
      <w:r>
        <w:rPr/>
        <w:t xml:space="preserve"> </w:t>
      </w:r>
      <w:r>
        <w:rPr>
          <w:spacing w:val="-1"/>
        </w:rPr>
        <w:t>示及原因说明</w:t>
      </w:r>
    </w:p>
    <w:p>
      <w:pPr>
        <w:pStyle w:val="BodyText"/>
        <w:ind w:left="58"/>
        <w:spacing w:before="209" w:line="222" w:lineRule="auto"/>
        <w:rPr/>
      </w:pPr>
      <w:r>
        <w:rPr>
          <w:spacing w:val="-13"/>
        </w:rPr>
        <w:t>□适用</w:t>
      </w:r>
      <w:r>
        <w:rPr>
          <w:spacing w:val="63"/>
        </w:rPr>
        <w:t xml:space="preserve"> </w:t>
      </w:r>
      <w:r>
        <w:rPr>
          <w:spacing w:val="-13"/>
        </w:rPr>
        <w:t>√不适用</w:t>
      </w:r>
    </w:p>
    <w:p>
      <w:pPr>
        <w:spacing w:before="74"/>
        <w:rPr/>
      </w:pPr>
      <w:r/>
    </w:p>
    <w:p>
      <w:pPr>
        <w:spacing w:before="73"/>
        <w:rPr/>
      </w:pPr>
      <w:r/>
    </w:p>
    <w:p>
      <w:pPr>
        <w:spacing w:before="73"/>
        <w:rPr/>
      </w:pPr>
      <w:r/>
    </w:p>
    <w:tbl>
      <w:tblPr>
        <w:tblStyle w:val="TableNormal"/>
        <w:tblW w:w="4202" w:type="dxa"/>
        <w:tblInd w:w="4774"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527"/>
        <w:gridCol w:w="2675"/>
      </w:tblGrid>
      <w:tr>
        <w:trPr>
          <w:trHeight w:val="633" w:hRule="atLeast"/>
        </w:trPr>
        <w:tc>
          <w:tcPr>
            <w:tcW w:w="1527" w:type="dxa"/>
            <w:vAlign w:val="top"/>
          </w:tcPr>
          <w:p>
            <w:pPr>
              <w:pStyle w:val="TableText"/>
              <w:ind w:left="590"/>
              <w:spacing w:before="214" w:line="223" w:lineRule="auto"/>
              <w:rPr/>
            </w:pPr>
            <w:r>
              <w:rPr>
                <w:spacing w:val="-3"/>
              </w:rPr>
              <w:t>公司名称</w:t>
            </w:r>
          </w:p>
        </w:tc>
        <w:tc>
          <w:tcPr>
            <w:tcW w:w="2675" w:type="dxa"/>
            <w:vAlign w:val="top"/>
          </w:tcPr>
          <w:p>
            <w:pPr>
              <w:pStyle w:val="TableText"/>
              <w:ind w:left="127" w:right="251" w:firstLine="5"/>
              <w:spacing w:before="58" w:line="248" w:lineRule="auto"/>
              <w:rPr/>
            </w:pPr>
            <w:r>
              <w:rPr>
                <w:spacing w:val="-3"/>
              </w:rPr>
              <w:t>中国联合网络通信股份有</w:t>
            </w:r>
            <w:r>
              <w:rPr>
                <w:spacing w:val="7"/>
              </w:rPr>
              <w:t xml:space="preserve"> </w:t>
            </w:r>
            <w:r>
              <w:rPr>
                <w:spacing w:val="-5"/>
              </w:rPr>
              <w:t>限公司</w:t>
            </w:r>
          </w:p>
        </w:tc>
      </w:tr>
      <w:tr>
        <w:trPr>
          <w:trHeight w:val="315" w:hRule="atLeast"/>
        </w:trPr>
        <w:tc>
          <w:tcPr>
            <w:tcW w:w="1527" w:type="dxa"/>
            <w:vAlign w:val="top"/>
          </w:tcPr>
          <w:p>
            <w:pPr>
              <w:pStyle w:val="TableText"/>
              <w:ind w:left="373"/>
              <w:spacing w:before="53" w:line="221" w:lineRule="auto"/>
              <w:rPr/>
            </w:pPr>
            <w:r>
              <w:rPr>
                <w:spacing w:val="-2"/>
              </w:rPr>
              <w:t>法定代表人</w:t>
            </w:r>
          </w:p>
        </w:tc>
        <w:tc>
          <w:tcPr>
            <w:tcW w:w="2675" w:type="dxa"/>
            <w:vAlign w:val="top"/>
          </w:tcPr>
          <w:p>
            <w:pPr>
              <w:pStyle w:val="TableText"/>
              <w:ind w:left="114"/>
              <w:spacing w:before="53" w:line="221" w:lineRule="auto"/>
              <w:rPr/>
            </w:pPr>
            <w:r>
              <w:rPr>
                <w:spacing w:val="-2"/>
              </w:rPr>
              <w:t>王晓初</w:t>
            </w:r>
          </w:p>
        </w:tc>
      </w:tr>
      <w:tr>
        <w:trPr>
          <w:trHeight w:val="320" w:hRule="atLeast"/>
        </w:trPr>
        <w:tc>
          <w:tcPr>
            <w:tcW w:w="1527" w:type="dxa"/>
            <w:vAlign w:val="top"/>
          </w:tcPr>
          <w:p>
            <w:pPr>
              <w:pStyle w:val="TableText"/>
              <w:ind w:left="1040"/>
              <w:spacing w:before="55" w:line="221" w:lineRule="auto"/>
              <w:rPr/>
            </w:pPr>
            <w:r>
              <w:rPr>
                <w:spacing w:val="-11"/>
              </w:rPr>
              <w:t>日期</w:t>
            </w:r>
          </w:p>
        </w:tc>
        <w:tc>
          <w:tcPr>
            <w:tcW w:w="2675" w:type="dxa"/>
            <w:vAlign w:val="top"/>
          </w:tcPr>
          <w:p>
            <w:pPr>
              <w:pStyle w:val="TableText"/>
              <w:ind w:left="115"/>
              <w:spacing w:before="55" w:line="221" w:lineRule="auto"/>
              <w:rPr/>
            </w:pPr>
            <w:r>
              <w:rPr>
                <w:spacing w:val="-6"/>
              </w:rPr>
              <w:t>2019</w:t>
            </w:r>
            <w:r>
              <w:rPr>
                <w:spacing w:val="-45"/>
              </w:rPr>
              <w:t xml:space="preserve"> </w:t>
            </w:r>
            <w:r>
              <w:rPr>
                <w:spacing w:val="-6"/>
              </w:rPr>
              <w:t>年</w:t>
            </w:r>
            <w:r>
              <w:rPr>
                <w:spacing w:val="-28"/>
              </w:rPr>
              <w:t xml:space="preserve"> </w:t>
            </w:r>
            <w:r>
              <w:rPr>
                <w:spacing w:val="-6"/>
              </w:rPr>
              <w:t>10</w:t>
            </w:r>
            <w:r>
              <w:rPr>
                <w:spacing w:val="-42"/>
              </w:rPr>
              <w:t xml:space="preserve"> </w:t>
            </w:r>
            <w:r>
              <w:rPr>
                <w:spacing w:val="-6"/>
              </w:rPr>
              <w:t>月</w:t>
            </w:r>
            <w:r>
              <w:rPr>
                <w:spacing w:val="-41"/>
              </w:rPr>
              <w:t xml:space="preserve"> </w:t>
            </w:r>
            <w:r>
              <w:rPr>
                <w:spacing w:val="-6"/>
              </w:rPr>
              <w:t>21 日</w:t>
            </w:r>
          </w:p>
        </w:tc>
      </w:tr>
    </w:tbl>
    <w:p>
      <w:pPr>
        <w:rPr>
          <w:rFonts w:ascii="Arial"/>
          <w:sz w:val="21"/>
        </w:rPr>
      </w:pPr>
      <w:r/>
    </w:p>
    <w:sectPr>
      <w:headerReference w:type="default" r:id="rId15"/>
      <w:footerReference w:type="default" r:id="rId16"/>
      <w:pgSz w:w="11907" w:h="16839"/>
      <w:pgMar w:top="1374" w:right="1202" w:bottom="1431" w:left="1723" w:header="835" w:footer="121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61"/>
      <w:spacing w:line="214" w:lineRule="auto"/>
      <w:rPr>
        <w:rFonts w:ascii="SimSun" w:hAnsi="SimSun" w:eastAsia="SimSun" w:cs="SimSun"/>
        <w:sz w:val="18"/>
        <w:szCs w:val="18"/>
      </w:rPr>
    </w:pPr>
    <w:r>
      <w:rPr>
        <w:rFonts w:ascii="SimSun" w:hAnsi="SimSun" w:eastAsia="SimSun" w:cs="SimSun"/>
        <w:sz w:val="18"/>
        <w:szCs w:val="18"/>
        <w:b/>
        <w:bCs/>
        <w:spacing w:val="-11"/>
      </w:rPr>
      <w:t>1</w:t>
    </w:r>
    <w:r>
      <w:rPr>
        <w:rFonts w:ascii="SimSun" w:hAnsi="SimSun" w:eastAsia="SimSun" w:cs="SimSun"/>
        <w:sz w:val="18"/>
        <w:szCs w:val="18"/>
        <w:spacing w:val="10"/>
      </w:rPr>
      <w:t xml:space="preserve"> </w:t>
    </w:r>
    <w:r>
      <w:rPr>
        <w:rFonts w:ascii="SimSun" w:hAnsi="SimSun" w:eastAsia="SimSun" w:cs="SimSun"/>
        <w:sz w:val="18"/>
        <w:szCs w:val="18"/>
        <w:spacing w:val="-11"/>
      </w:rPr>
      <w:t>/</w:t>
    </w:r>
    <w:r>
      <w:rPr>
        <w:rFonts w:ascii="SimSun" w:hAnsi="SimSun" w:eastAsia="SimSun" w:cs="SimSun"/>
        <w:sz w:val="18"/>
        <w:szCs w:val="18"/>
        <w:spacing w:val="6"/>
      </w:rPr>
      <w:t xml:space="preserve"> </w:t>
    </w:r>
    <w:r>
      <w:rPr>
        <w:rFonts w:ascii="SimSun" w:hAnsi="SimSun" w:eastAsia="SimSun" w:cs="SimSun"/>
        <w:sz w:val="18"/>
        <w:szCs w:val="18"/>
        <w:b/>
        <w:bCs/>
        <w:spacing w:val="-11"/>
      </w:rPr>
      <w:t>8</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572"/>
      <w:spacing w:line="214" w:lineRule="auto"/>
      <w:rPr>
        <w:sz w:val="18"/>
        <w:szCs w:val="18"/>
      </w:rPr>
    </w:pPr>
    <w:r>
      <w:rPr>
        <w:sz w:val="18"/>
        <w:szCs w:val="18"/>
        <w:b/>
        <w:bCs/>
        <w:spacing w:val="-7"/>
      </w:rPr>
      <w:t>2</w:t>
    </w:r>
    <w:r>
      <w:rPr>
        <w:sz w:val="18"/>
        <w:szCs w:val="18"/>
        <w:spacing w:val="9"/>
      </w:rPr>
      <w:t xml:space="preserve"> </w:t>
    </w:r>
    <w:r>
      <w:rPr>
        <w:sz w:val="18"/>
        <w:szCs w:val="18"/>
        <w:spacing w:val="-7"/>
      </w:rPr>
      <w:t>/</w:t>
    </w:r>
    <w:r>
      <w:rPr>
        <w:sz w:val="18"/>
        <w:szCs w:val="18"/>
        <w:spacing w:val="6"/>
      </w:rPr>
      <w:t xml:space="preserve"> </w:t>
    </w:r>
    <w:r>
      <w:rPr>
        <w:sz w:val="18"/>
        <w:szCs w:val="18"/>
        <w:b/>
        <w:bCs/>
        <w:spacing w:val="-7"/>
      </w:rPr>
      <w:t>8</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5452"/>
      <w:spacing w:line="214" w:lineRule="auto"/>
      <w:rPr>
        <w:sz w:val="18"/>
        <w:szCs w:val="18"/>
      </w:rPr>
    </w:pPr>
    <w:r>
      <w:rPr>
        <w:sz w:val="18"/>
        <w:szCs w:val="18"/>
        <w:b/>
        <w:bCs/>
        <w:spacing w:val="-7"/>
      </w:rPr>
      <w:t>3</w:t>
    </w:r>
    <w:r>
      <w:rPr>
        <w:sz w:val="18"/>
        <w:szCs w:val="18"/>
        <w:spacing w:val="9"/>
      </w:rPr>
      <w:t xml:space="preserve"> </w:t>
    </w:r>
    <w:r>
      <w:rPr>
        <w:sz w:val="18"/>
        <w:szCs w:val="18"/>
        <w:spacing w:val="-7"/>
      </w:rPr>
      <w:t>/</w:t>
    </w:r>
    <w:r>
      <w:rPr>
        <w:sz w:val="18"/>
        <w:szCs w:val="18"/>
        <w:spacing w:val="5"/>
      </w:rPr>
      <w:t xml:space="preserve"> </w:t>
    </w:r>
    <w:r>
      <w:rPr>
        <w:sz w:val="18"/>
        <w:szCs w:val="18"/>
        <w:b/>
        <w:bCs/>
        <w:spacing w:val="-7"/>
      </w:rPr>
      <w:t>8</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5448"/>
      <w:spacing w:line="214" w:lineRule="auto"/>
      <w:rPr>
        <w:sz w:val="18"/>
        <w:szCs w:val="18"/>
      </w:rPr>
    </w:pPr>
    <w:r>
      <w:rPr>
        <w:sz w:val="18"/>
        <w:szCs w:val="18"/>
        <w:b/>
        <w:bCs/>
        <w:spacing w:val="-6"/>
      </w:rPr>
      <w:t>4</w:t>
    </w:r>
    <w:r>
      <w:rPr>
        <w:sz w:val="18"/>
        <w:szCs w:val="18"/>
        <w:spacing w:val="9"/>
      </w:rPr>
      <w:t xml:space="preserve"> </w:t>
    </w:r>
    <w:r>
      <w:rPr>
        <w:sz w:val="18"/>
        <w:szCs w:val="18"/>
        <w:spacing w:val="-6"/>
      </w:rPr>
      <w:t>/</w:t>
    </w:r>
    <w:r>
      <w:rPr>
        <w:sz w:val="18"/>
        <w:szCs w:val="18"/>
        <w:spacing w:val="6"/>
      </w:rPr>
      <w:t xml:space="preserve"> </w:t>
    </w:r>
    <w:r>
      <w:rPr>
        <w:sz w:val="18"/>
        <w:szCs w:val="18"/>
        <w:b/>
        <w:bCs/>
        <w:spacing w:val="-6"/>
      </w:rPr>
      <w:t>8</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335"/>
      <w:spacing w:line="214" w:lineRule="auto"/>
      <w:rPr>
        <w:sz w:val="18"/>
        <w:szCs w:val="18"/>
      </w:rPr>
    </w:pPr>
    <w:r>
      <w:rPr>
        <w:sz w:val="18"/>
        <w:szCs w:val="18"/>
        <w:b/>
        <w:bCs/>
        <w:spacing w:val="-7"/>
      </w:rPr>
      <w:t>5</w:t>
    </w:r>
    <w:r>
      <w:rPr>
        <w:sz w:val="18"/>
        <w:szCs w:val="18"/>
        <w:spacing w:val="9"/>
      </w:rPr>
      <w:t xml:space="preserve"> </w:t>
    </w:r>
    <w:r>
      <w:rPr>
        <w:sz w:val="18"/>
        <w:szCs w:val="18"/>
        <w:spacing w:val="-7"/>
      </w:rPr>
      <w:t>/</w:t>
    </w:r>
    <w:r>
      <w:rPr>
        <w:sz w:val="18"/>
        <w:szCs w:val="18"/>
        <w:spacing w:val="5"/>
      </w:rPr>
      <w:t xml:space="preserve"> </w:t>
    </w:r>
    <w:r>
      <w:rPr>
        <w:sz w:val="18"/>
        <w:szCs w:val="18"/>
        <w:b/>
        <w:bCs/>
        <w:spacing w:val="-7"/>
      </w:rPr>
      <w:t>8</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249"/>
      <w:spacing w:line="214" w:lineRule="auto"/>
      <w:rPr>
        <w:sz w:val="18"/>
        <w:szCs w:val="18"/>
      </w:rPr>
    </w:pPr>
    <w:r>
      <w:rPr>
        <w:sz w:val="18"/>
        <w:szCs w:val="18"/>
        <w:b/>
        <w:bCs/>
        <w:spacing w:val="-7"/>
      </w:rPr>
      <w:t>6</w:t>
    </w:r>
    <w:r>
      <w:rPr>
        <w:sz w:val="18"/>
        <w:szCs w:val="18"/>
        <w:spacing w:val="10"/>
      </w:rPr>
      <w:t xml:space="preserve"> </w:t>
    </w:r>
    <w:r>
      <w:rPr>
        <w:sz w:val="18"/>
        <w:szCs w:val="18"/>
        <w:spacing w:val="-7"/>
      </w:rPr>
      <w:t>/</w:t>
    </w:r>
    <w:r>
      <w:rPr>
        <w:sz w:val="18"/>
        <w:szCs w:val="18"/>
        <w:spacing w:val="5"/>
      </w:rPr>
      <w:t xml:space="preserve"> </w:t>
    </w:r>
    <w:r>
      <w:rPr>
        <w:sz w:val="18"/>
        <w:szCs w:val="18"/>
        <w:b/>
        <w:bCs/>
        <w:spacing w:val="-7"/>
      </w:rPr>
      <w:t>8</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252"/>
      <w:spacing w:line="214" w:lineRule="auto"/>
      <w:rPr>
        <w:sz w:val="18"/>
        <w:szCs w:val="18"/>
      </w:rPr>
    </w:pPr>
    <w:r>
      <w:rPr>
        <w:sz w:val="18"/>
        <w:szCs w:val="18"/>
        <w:b/>
        <w:bCs/>
        <w:spacing w:val="-8"/>
      </w:rPr>
      <w:t>7</w:t>
    </w:r>
    <w:r>
      <w:rPr>
        <w:sz w:val="18"/>
        <w:szCs w:val="18"/>
        <w:spacing w:val="10"/>
      </w:rPr>
      <w:t xml:space="preserve"> </w:t>
    </w:r>
    <w:r>
      <w:rPr>
        <w:sz w:val="18"/>
        <w:szCs w:val="18"/>
        <w:spacing w:val="-8"/>
      </w:rPr>
      <w:t>/</w:t>
    </w:r>
    <w:r>
      <w:rPr>
        <w:sz w:val="18"/>
        <w:szCs w:val="18"/>
        <w:spacing w:val="6"/>
      </w:rPr>
      <w:t xml:space="preserve"> </w:t>
    </w:r>
    <w:r>
      <w:rPr>
        <w:sz w:val="18"/>
        <w:szCs w:val="18"/>
        <w:b/>
        <w:bCs/>
        <w:spacing w:val="-8"/>
      </w:rPr>
      <w:t>8</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249"/>
      <w:spacing w:line="214" w:lineRule="auto"/>
      <w:rPr>
        <w:sz w:val="18"/>
        <w:szCs w:val="18"/>
      </w:rPr>
    </w:pPr>
    <w:r>
      <w:rPr>
        <w:sz w:val="18"/>
        <w:szCs w:val="18"/>
        <w:b/>
        <w:bCs/>
        <w:spacing w:val="-6"/>
      </w:rPr>
      <w:t>8</w:t>
    </w:r>
    <w:r>
      <w:rPr>
        <w:sz w:val="18"/>
        <w:szCs w:val="18"/>
        <w:spacing w:val="9"/>
      </w:rPr>
      <w:t xml:space="preserve"> </w:t>
    </w:r>
    <w:r>
      <w:rPr>
        <w:sz w:val="18"/>
        <w:szCs w:val="18"/>
        <w:spacing w:val="-6"/>
      </w:rPr>
      <w:t>/</w:t>
    </w:r>
    <w:r>
      <w:rPr>
        <w:sz w:val="18"/>
        <w:szCs w:val="18"/>
        <w:spacing w:val="5"/>
      </w:rPr>
      <w:t xml:space="preserve"> </w:t>
    </w:r>
    <w:r>
      <w:rPr>
        <w:sz w:val="18"/>
        <w:szCs w:val="18"/>
        <w:b/>
        <w:bCs/>
        <w:spacing w:val="-6"/>
      </w:rPr>
      <w:t>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11"/>
      <w:spacing w:before="281" w:line="220" w:lineRule="auto"/>
      <w:rPr>
        <w:rFonts w:ascii="SimSun" w:hAnsi="SimSun" w:eastAsia="SimSun" w:cs="SimSun"/>
        <w:sz w:val="18"/>
        <w:szCs w:val="18"/>
      </w:rPr>
    </w:pPr>
    <w:r>
      <w:pict>
        <v:shape id="_x0000_s2" style="position:absolute;margin-left:86.184pt;margin-top:67.2001pt;mso-position-vertical-relative:page;mso-position-horizontal-relative:page;width:445.8pt;height:0.75pt;z-index:251660288;" o:allowincell="f" fillcolor="#000000" filled="true" stroked="false" coordsize="8915,15" coordorigin="0,0" path="m0,14l8915,14l8915,0l0,0l0,14xe"/>
      </w:pict>
    </w:r>
    <w:r>
      <w:pict>
        <v:shape id="_x0000_s4" style="position:absolute;margin-left:353.412pt;margin-top:13.0555pt;mso-position-vertical-relative:text;mso-position-horizontal-relative:text;width:86.05pt;height:12.65pt;z-index:251658240;" filled="false" stroked="false" type="#_x0000_t202">
          <v:fill on="false"/>
          <v:stroke on="false"/>
          <v:path/>
          <v:imagedata o:title=""/>
          <o:lock v:ext="edit" aspectratio="false"/>
          <v:textbox inset="0mm,0mm,0mm,0mm">
            <w:txbxContent>
              <w:p>
                <w:pPr>
                  <w:ind w:left="20"/>
                  <w:spacing w:before="20" w:line="218" w:lineRule="auto"/>
                  <w:rPr>
                    <w:rFonts w:ascii="SimSun" w:hAnsi="SimSun" w:eastAsia="SimSun" w:cs="SimSun"/>
                    <w:sz w:val="18"/>
                    <w:szCs w:val="18"/>
                  </w:rPr>
                </w:pPr>
                <w:r>
                  <w:rPr>
                    <w:rFonts w:ascii="Times New Roman" w:hAnsi="Times New Roman" w:eastAsia="Times New Roman" w:cs="Times New Roman"/>
                    <w:sz w:val="18"/>
                    <w:szCs w:val="18"/>
                    <w:b/>
                    <w:bCs/>
                  </w:rPr>
                  <w:t>2019 </w:t>
                </w:r>
                <w:r>
                  <w:rPr>
                    <w:rFonts w:ascii="SimSun" w:hAnsi="SimSun" w:eastAsia="SimSun" w:cs="SimSun"/>
                    <w:sz w:val="18"/>
                    <w:szCs w:val="18"/>
                    <w:b/>
                    <w:bCs/>
                  </w:rPr>
                  <w:t>年第三季度报告</w:t>
                </w:r>
              </w:p>
            </w:txbxContent>
          </v:textbox>
        </v:shape>
      </w:pict>
    </w:r>
    <w:r>
      <w:drawing>
        <wp:anchor distT="0" distB="0" distL="0" distR="0" simplePos="0" relativeHeight="251659264" behindDoc="0" locked="0" layoutInCell="0" allowOverlap="1">
          <wp:simplePos x="0" y="0"/>
          <wp:positionH relativeFrom="page">
            <wp:posOffset>1185545</wp:posOffset>
          </wp:positionH>
          <wp:positionV relativeFrom="page">
            <wp:posOffset>541020</wp:posOffset>
          </wp:positionV>
          <wp:extent cx="350519" cy="266700"/>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350519" cy="266700"/>
                  </a:xfrm>
                  <a:prstGeom prst="rect">
                    <a:avLst/>
                  </a:prstGeom>
                </pic:spPr>
              </pic:pic>
            </a:graphicData>
          </a:graphic>
        </wp:anchor>
      </w:drawing>
    </w:r>
    <w:r>
      <w:rPr>
        <w:rFonts w:ascii="SimSun" w:hAnsi="SimSun" w:eastAsia="SimSun" w:cs="SimSun"/>
        <w:sz w:val="18"/>
        <w:szCs w:val="18"/>
        <w:b/>
        <w:bCs/>
        <w:spacing w:val="-2"/>
      </w:rPr>
      <w:t>中国联合网络通信股份有限公司</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2"/>
      <w:spacing w:before="281" w:line="220" w:lineRule="auto"/>
      <w:rPr>
        <w:sz w:val="18"/>
        <w:szCs w:val="18"/>
      </w:rPr>
    </w:pPr>
    <w:r>
      <w:pict>
        <v:shape id="_x0000_s6" style="position:absolute;margin-left:86.184pt;margin-top:67.2001pt;mso-position-vertical-relative:page;mso-position-horizontal-relative:page;width:445.8pt;height:0.75pt;z-index:251663360;" o:allowincell="f" fillcolor="#000000" filled="true" stroked="false" coordsize="8915,15" coordorigin="0,0" path="m0,14l8915,14l8915,0l0,0l0,14xe"/>
      </w:pict>
    </w:r>
    <w:r>
      <w:pict>
        <v:shape id="_x0000_s8" style="position:absolute;margin-left:369.492pt;margin-top:13.0555pt;mso-position-vertical-relative:text;mso-position-horizontal-relative:text;width:86.05pt;height:12.65pt;z-index:251661312;"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Times New Roman" w:hAnsi="Times New Roman" w:eastAsia="Times New Roman" w:cs="Times New Roman"/>
                    <w:sz w:val="18"/>
                    <w:szCs w:val="18"/>
                    <w:b/>
                    <w:bCs/>
                  </w:rPr>
                  <w:t>2019 </w:t>
                </w:r>
                <w:r>
                  <w:rPr>
                    <w:sz w:val="18"/>
                    <w:szCs w:val="18"/>
                    <w:b/>
                    <w:bCs/>
                  </w:rPr>
                  <w:t>年第三季度报告</w:t>
                </w:r>
              </w:p>
            </w:txbxContent>
          </v:textbox>
        </v:shape>
      </w:pict>
    </w:r>
    <w:r>
      <w:drawing>
        <wp:anchor distT="0" distB="0" distL="0" distR="0" simplePos="0" relativeHeight="251662336" behindDoc="0" locked="0" layoutInCell="0" allowOverlap="1">
          <wp:simplePos x="0" y="0"/>
          <wp:positionH relativeFrom="page">
            <wp:posOffset>1185545</wp:posOffset>
          </wp:positionH>
          <wp:positionV relativeFrom="page">
            <wp:posOffset>541020</wp:posOffset>
          </wp:positionV>
          <wp:extent cx="350519" cy="266700"/>
          <wp:effectExtent l="0" t="0" r="0" b="0"/>
          <wp:wrapNone/>
          <wp:docPr id="6" name="IM 6"/>
          <wp:cNvGraphicFramePr/>
          <a:graphic>
            <a:graphicData uri="http://schemas.openxmlformats.org/drawingml/2006/picture">
              <pic:pic>
                <pic:nvPicPr>
                  <pic:cNvPr id="6" name="IM 6"/>
                  <pic:cNvPicPr/>
                </pic:nvPicPr>
                <pic:blipFill>
                  <a:blip r:embed="rId1"/>
                  <a:stretch>
                    <a:fillRect/>
                  </a:stretch>
                </pic:blipFill>
                <pic:spPr>
                  <a:xfrm rot="0">
                    <a:off x="0" y="0"/>
                    <a:ext cx="350519" cy="266700"/>
                  </a:xfrm>
                  <a:prstGeom prst="rect">
                    <a:avLst/>
                  </a:prstGeom>
                </pic:spPr>
              </pic:pic>
            </a:graphicData>
          </a:graphic>
        </wp:anchor>
      </w:drawing>
    </w:r>
    <w:r>
      <w:rPr>
        <w:sz w:val="18"/>
        <w:szCs w:val="18"/>
        <w:b/>
        <w:bCs/>
        <w:spacing w:val="-2"/>
      </w:rPr>
      <w:t>中国联合网络通信股份有限公司</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011"/>
      <w:spacing w:before="281" w:line="220" w:lineRule="auto"/>
      <w:rPr>
        <w:sz w:val="18"/>
        <w:szCs w:val="18"/>
      </w:rPr>
    </w:pPr>
    <w:r>
      <w:pict>
        <v:shape id="_x0000_s10" style="position:absolute;margin-left:86.184pt;margin-top:67.2001pt;mso-position-vertical-relative:page;mso-position-horizontal-relative:page;width:445.8pt;height:0.75pt;z-index:251666432;" o:allowincell="f" fillcolor="#000000" filled="true" stroked="false" coordsize="8915,15" coordorigin="0,0" path="m0,14l8915,14l8915,0l0,0l0,14xe"/>
      </w:pict>
    </w:r>
    <w:r>
      <w:pict>
        <v:shape id="_x0000_s12" style="position:absolute;margin-left:413.436pt;margin-top:13.0555pt;mso-position-vertical-relative:text;mso-position-horizontal-relative:text;width:86.05pt;height:12.65pt;z-index:251664384;"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Times New Roman" w:hAnsi="Times New Roman" w:eastAsia="Times New Roman" w:cs="Times New Roman"/>
                    <w:sz w:val="18"/>
                    <w:szCs w:val="18"/>
                    <w:b/>
                    <w:bCs/>
                  </w:rPr>
                  <w:t>2019 </w:t>
                </w:r>
                <w:r>
                  <w:rPr>
                    <w:sz w:val="18"/>
                    <w:szCs w:val="18"/>
                    <w:b/>
                    <w:bCs/>
                  </w:rPr>
                  <w:t>年第三季度报告</w:t>
                </w:r>
              </w:p>
            </w:txbxContent>
          </v:textbox>
        </v:shape>
      </w:pict>
    </w:r>
    <w:r>
      <w:drawing>
        <wp:anchor distT="0" distB="0" distL="0" distR="0" simplePos="0" relativeHeight="251665408" behindDoc="0" locked="0" layoutInCell="0" allowOverlap="1">
          <wp:simplePos x="0" y="0"/>
          <wp:positionH relativeFrom="page">
            <wp:posOffset>1185545</wp:posOffset>
          </wp:positionH>
          <wp:positionV relativeFrom="page">
            <wp:posOffset>541020</wp:posOffset>
          </wp:positionV>
          <wp:extent cx="350519" cy="266700"/>
          <wp:effectExtent l="0" t="0" r="0" b="0"/>
          <wp:wrapNone/>
          <wp:docPr id="8" name="IM 8"/>
          <wp:cNvGraphicFramePr/>
          <a:graphic>
            <a:graphicData uri="http://schemas.openxmlformats.org/drawingml/2006/picture">
              <pic:pic>
                <pic:nvPicPr>
                  <pic:cNvPr id="8" name="IM 8"/>
                  <pic:cNvPicPr/>
                </pic:nvPicPr>
                <pic:blipFill>
                  <a:blip r:embed="rId1"/>
                  <a:stretch>
                    <a:fillRect/>
                  </a:stretch>
                </pic:blipFill>
                <pic:spPr>
                  <a:xfrm rot="0">
                    <a:off x="0" y="0"/>
                    <a:ext cx="350519" cy="266700"/>
                  </a:xfrm>
                  <a:prstGeom prst="rect">
                    <a:avLst/>
                  </a:prstGeom>
                </pic:spPr>
              </pic:pic>
            </a:graphicData>
          </a:graphic>
        </wp:anchor>
      </w:drawing>
    </w:r>
    <w:r>
      <w:rPr>
        <w:sz w:val="18"/>
        <w:szCs w:val="18"/>
        <w:b/>
        <w:bCs/>
        <w:spacing w:val="-2"/>
      </w:rPr>
      <w:t>中国联合网络通信股份有限公司</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5"/>
      <w:spacing w:before="281" w:line="220" w:lineRule="auto"/>
      <w:rPr>
        <w:sz w:val="18"/>
        <w:szCs w:val="18"/>
      </w:rPr>
    </w:pPr>
    <w:r>
      <w:pict>
        <v:shape id="_x0000_s14" style="position:absolute;margin-left:86.184pt;margin-top:67.2001pt;mso-position-vertical-relative:page;mso-position-horizontal-relative:page;width:445.8pt;height:0.75pt;z-index:251672576;" o:allowincell="f" fillcolor="#000000" filled="true" stroked="false" coordsize="8915,15" coordorigin="0,0" path="m0,14l8915,14l8915,0l0,0l0,14xe"/>
      </w:pict>
    </w:r>
    <w:r>
      <w:pict>
        <v:shape id="_x0000_s16" style="position:absolute;margin-left:357.612pt;margin-top:13.0555pt;mso-position-vertical-relative:text;mso-position-horizontal-relative:text;width:86.05pt;height:12.65pt;z-index:251670528;"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Times New Roman" w:hAnsi="Times New Roman" w:eastAsia="Times New Roman" w:cs="Times New Roman"/>
                    <w:sz w:val="18"/>
                    <w:szCs w:val="18"/>
                    <w:b/>
                    <w:bCs/>
                  </w:rPr>
                  <w:t>2019 </w:t>
                </w:r>
                <w:r>
                  <w:rPr>
                    <w:sz w:val="18"/>
                    <w:szCs w:val="18"/>
                    <w:b/>
                    <w:bCs/>
                  </w:rPr>
                  <w:t>年第三季度报告</w:t>
                </w:r>
              </w:p>
            </w:txbxContent>
          </v:textbox>
        </v:shape>
      </w:pict>
    </w:r>
    <w:r>
      <w:drawing>
        <wp:anchor distT="0" distB="0" distL="0" distR="0" simplePos="0" relativeHeight="251671552" behindDoc="0" locked="0" layoutInCell="0" allowOverlap="1">
          <wp:simplePos x="0" y="0"/>
          <wp:positionH relativeFrom="page">
            <wp:posOffset>1185545</wp:posOffset>
          </wp:positionH>
          <wp:positionV relativeFrom="page">
            <wp:posOffset>541020</wp:posOffset>
          </wp:positionV>
          <wp:extent cx="350519" cy="266700"/>
          <wp:effectExtent l="0" t="0" r="0" b="0"/>
          <wp:wrapNone/>
          <wp:docPr id="10" name="IM 10"/>
          <wp:cNvGraphicFramePr/>
          <a:graphic>
            <a:graphicData uri="http://schemas.openxmlformats.org/drawingml/2006/picture">
              <pic:pic>
                <pic:nvPicPr>
                  <pic:cNvPr id="10" name="IM 10"/>
                  <pic:cNvPicPr/>
                </pic:nvPicPr>
                <pic:blipFill>
                  <a:blip r:embed="rId1"/>
                  <a:stretch>
                    <a:fillRect/>
                  </a:stretch>
                </pic:blipFill>
                <pic:spPr>
                  <a:xfrm rot="0">
                    <a:off x="0" y="0"/>
                    <a:ext cx="350519" cy="266700"/>
                  </a:xfrm>
                  <a:prstGeom prst="rect">
                    <a:avLst/>
                  </a:prstGeom>
                </pic:spPr>
              </pic:pic>
            </a:graphicData>
          </a:graphic>
        </wp:anchor>
      </w:drawing>
    </w:r>
    <w:r>
      <w:rPr>
        <w:sz w:val="18"/>
        <w:szCs w:val="18"/>
        <w:b/>
        <w:bCs/>
        <w:spacing w:val="-2"/>
      </w:rPr>
      <w:t>中国联合网络通信股份有限公司</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11"/>
      <w:spacing w:before="281" w:line="220" w:lineRule="auto"/>
      <w:rPr>
        <w:sz w:val="18"/>
        <w:szCs w:val="18"/>
      </w:rPr>
    </w:pPr>
    <w:r>
      <w:pict>
        <v:shape id="_x0000_s18" style="position:absolute;margin-left:86.184pt;margin-top:67.2001pt;mso-position-vertical-relative:page;mso-position-horizontal-relative:page;width:445.8pt;height:0.75pt;z-index:251675648;" o:allowincell="f" fillcolor="#000000" filled="true" stroked="false" coordsize="8915,15" coordorigin="0,0" path="m0,14l8915,14l8915,0l0,0l0,14xe"/>
      </w:pict>
    </w:r>
    <w:r>
      <w:pict>
        <v:shape id="_x0000_s20" style="position:absolute;margin-left:353.412pt;margin-top:13.0555pt;mso-position-vertical-relative:text;mso-position-horizontal-relative:text;width:86.05pt;height:12.65pt;z-index:251673600;"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Times New Roman" w:hAnsi="Times New Roman" w:eastAsia="Times New Roman" w:cs="Times New Roman"/>
                    <w:sz w:val="18"/>
                    <w:szCs w:val="18"/>
                    <w:b/>
                    <w:bCs/>
                  </w:rPr>
                  <w:t>2019 </w:t>
                </w:r>
                <w:r>
                  <w:rPr>
                    <w:sz w:val="18"/>
                    <w:szCs w:val="18"/>
                    <w:b/>
                    <w:bCs/>
                  </w:rPr>
                  <w:t>年第三季度报告</w:t>
                </w:r>
              </w:p>
            </w:txbxContent>
          </v:textbox>
        </v:shape>
      </w:pict>
    </w:r>
    <w:r>
      <w:drawing>
        <wp:anchor distT="0" distB="0" distL="0" distR="0" simplePos="0" relativeHeight="251674624" behindDoc="0" locked="0" layoutInCell="0" allowOverlap="1">
          <wp:simplePos x="0" y="0"/>
          <wp:positionH relativeFrom="page">
            <wp:posOffset>1185545</wp:posOffset>
          </wp:positionH>
          <wp:positionV relativeFrom="page">
            <wp:posOffset>541020</wp:posOffset>
          </wp:positionV>
          <wp:extent cx="350519" cy="266700"/>
          <wp:effectExtent l="0" t="0" r="0" b="0"/>
          <wp:wrapNone/>
          <wp:docPr id="12" name="IM 12"/>
          <wp:cNvGraphicFramePr/>
          <a:graphic>
            <a:graphicData uri="http://schemas.openxmlformats.org/drawingml/2006/picture">
              <pic:pic>
                <pic:nvPicPr>
                  <pic:cNvPr id="12" name="IM 12"/>
                  <pic:cNvPicPr/>
                </pic:nvPicPr>
                <pic:blipFill>
                  <a:blip r:embed="rId1"/>
                  <a:stretch>
                    <a:fillRect/>
                  </a:stretch>
                </pic:blipFill>
                <pic:spPr>
                  <a:xfrm rot="0">
                    <a:off x="0" y="0"/>
                    <a:ext cx="350519" cy="266700"/>
                  </a:xfrm>
                  <a:prstGeom prst="rect">
                    <a:avLst/>
                  </a:prstGeom>
                </pic:spPr>
              </pic:pic>
            </a:graphicData>
          </a:graphic>
        </wp:anchor>
      </w:drawing>
    </w:r>
    <w:r>
      <w:rPr>
        <w:sz w:val="18"/>
        <w:szCs w:val="18"/>
        <w:b/>
        <w:bCs/>
        <w:spacing w:val="-2"/>
      </w:rPr>
      <w:t>中国联合网络通信股份有限公司</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11"/>
      <w:spacing w:before="281" w:line="220" w:lineRule="auto"/>
      <w:rPr>
        <w:sz w:val="18"/>
        <w:szCs w:val="18"/>
      </w:rPr>
    </w:pPr>
    <w:r>
      <w:pict>
        <v:shape id="_x0000_s22" style="position:absolute;margin-left:86.184pt;margin-top:67.2001pt;mso-position-vertical-relative:page;mso-position-horizontal-relative:page;width:445.8pt;height:0.75pt;z-index:251678720;" o:allowincell="f" fillcolor="#000000" filled="true" stroked="false" coordsize="8915,15" coordorigin="0,0" path="m0,14l8915,14l8915,0l0,0l0,14xe"/>
      </w:pict>
    </w:r>
    <w:r>
      <w:pict>
        <v:shape id="_x0000_s24" style="position:absolute;margin-left:353.412pt;margin-top:13.0555pt;mso-position-vertical-relative:text;mso-position-horizontal-relative:text;width:86.05pt;height:12.65pt;z-index:251676672;"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Times New Roman" w:hAnsi="Times New Roman" w:eastAsia="Times New Roman" w:cs="Times New Roman"/>
                    <w:sz w:val="18"/>
                    <w:szCs w:val="18"/>
                    <w:b/>
                    <w:bCs/>
                  </w:rPr>
                  <w:t>2019 </w:t>
                </w:r>
                <w:r>
                  <w:rPr>
                    <w:sz w:val="18"/>
                    <w:szCs w:val="18"/>
                    <w:b/>
                    <w:bCs/>
                  </w:rPr>
                  <w:t>年第三季度报告</w:t>
                </w:r>
              </w:p>
            </w:txbxContent>
          </v:textbox>
        </v:shape>
      </w:pict>
    </w:r>
    <w:r>
      <w:drawing>
        <wp:anchor distT="0" distB="0" distL="0" distR="0" simplePos="0" relativeHeight="251677696" behindDoc="0" locked="0" layoutInCell="0" allowOverlap="1">
          <wp:simplePos x="0" y="0"/>
          <wp:positionH relativeFrom="page">
            <wp:posOffset>1185545</wp:posOffset>
          </wp:positionH>
          <wp:positionV relativeFrom="page">
            <wp:posOffset>541020</wp:posOffset>
          </wp:positionV>
          <wp:extent cx="350519" cy="266700"/>
          <wp:effectExtent l="0" t="0" r="0" b="0"/>
          <wp:wrapNone/>
          <wp:docPr id="14" name="IM 14"/>
          <wp:cNvGraphicFramePr/>
          <a:graphic>
            <a:graphicData uri="http://schemas.openxmlformats.org/drawingml/2006/picture">
              <pic:pic>
                <pic:nvPicPr>
                  <pic:cNvPr id="14" name="IM 14"/>
                  <pic:cNvPicPr/>
                </pic:nvPicPr>
                <pic:blipFill>
                  <a:blip r:embed="rId1"/>
                  <a:stretch>
                    <a:fillRect/>
                  </a:stretch>
                </pic:blipFill>
                <pic:spPr>
                  <a:xfrm rot="0">
                    <a:off x="0" y="0"/>
                    <a:ext cx="350519" cy="266700"/>
                  </a:xfrm>
                  <a:prstGeom prst="rect">
                    <a:avLst/>
                  </a:prstGeom>
                </pic:spPr>
              </pic:pic>
            </a:graphicData>
          </a:graphic>
        </wp:anchor>
      </w:drawing>
    </w:r>
    <w:r>
      <w:rPr>
        <w:sz w:val="18"/>
        <w:szCs w:val="18"/>
        <w:b/>
        <w:bCs/>
        <w:spacing w:val="-2"/>
      </w:rPr>
      <w:t>中国联合网络通信股份有限公司</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11"/>
      <w:spacing w:before="281" w:line="220" w:lineRule="auto"/>
      <w:rPr>
        <w:sz w:val="18"/>
        <w:szCs w:val="18"/>
      </w:rPr>
    </w:pPr>
    <w:r>
      <w:pict>
        <v:shape id="_x0000_s26" style="position:absolute;margin-left:86.184pt;margin-top:67.2001pt;mso-position-vertical-relative:page;mso-position-horizontal-relative:page;width:445.8pt;height:0.75pt;z-index:251681792;" o:allowincell="f" fillcolor="#000000" filled="true" stroked="false" coordsize="8915,15" coordorigin="0,0" path="m0,14l8915,14l8915,0l0,0l0,14xe"/>
      </w:pict>
    </w:r>
    <w:r>
      <w:pict>
        <v:shape id="_x0000_s28" style="position:absolute;margin-left:353.412pt;margin-top:13.0555pt;mso-position-vertical-relative:text;mso-position-horizontal-relative:text;width:86.05pt;height:12.65pt;z-index:251679744;"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Times New Roman" w:hAnsi="Times New Roman" w:eastAsia="Times New Roman" w:cs="Times New Roman"/>
                    <w:sz w:val="18"/>
                    <w:szCs w:val="18"/>
                    <w:b/>
                    <w:bCs/>
                  </w:rPr>
                  <w:t>2019 </w:t>
                </w:r>
                <w:r>
                  <w:rPr>
                    <w:sz w:val="18"/>
                    <w:szCs w:val="18"/>
                    <w:b/>
                    <w:bCs/>
                  </w:rPr>
                  <w:t>年第三季度报告</w:t>
                </w:r>
              </w:p>
            </w:txbxContent>
          </v:textbox>
        </v:shape>
      </w:pict>
    </w:r>
    <w:r>
      <w:drawing>
        <wp:anchor distT="0" distB="0" distL="0" distR="0" simplePos="0" relativeHeight="251680768" behindDoc="0" locked="0" layoutInCell="0" allowOverlap="1">
          <wp:simplePos x="0" y="0"/>
          <wp:positionH relativeFrom="page">
            <wp:posOffset>1185545</wp:posOffset>
          </wp:positionH>
          <wp:positionV relativeFrom="page">
            <wp:posOffset>541020</wp:posOffset>
          </wp:positionV>
          <wp:extent cx="350519" cy="266700"/>
          <wp:effectExtent l="0" t="0" r="0" b="0"/>
          <wp:wrapNone/>
          <wp:docPr id="16" name="IM 16"/>
          <wp:cNvGraphicFramePr/>
          <a:graphic>
            <a:graphicData uri="http://schemas.openxmlformats.org/drawingml/2006/picture">
              <pic:pic>
                <pic:nvPicPr>
                  <pic:cNvPr id="16" name="IM 16"/>
                  <pic:cNvPicPr/>
                </pic:nvPicPr>
                <pic:blipFill>
                  <a:blip r:embed="rId1"/>
                  <a:stretch>
                    <a:fillRect/>
                  </a:stretch>
                </pic:blipFill>
                <pic:spPr>
                  <a:xfrm rot="0">
                    <a:off x="0" y="0"/>
                    <a:ext cx="350519" cy="266700"/>
                  </a:xfrm>
                  <a:prstGeom prst="rect">
                    <a:avLst/>
                  </a:prstGeom>
                </pic:spPr>
              </pic:pic>
            </a:graphicData>
          </a:graphic>
        </wp:anchor>
      </w:drawing>
    </w:r>
    <w:r>
      <w:rPr>
        <w:sz w:val="18"/>
        <w:szCs w:val="18"/>
        <w:b/>
        <w:bCs/>
        <w:spacing w:val="-2"/>
      </w:rPr>
      <w:t>中国联合网络通信股份有限公司</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1"/>
      <w:szCs w:val="21"/>
      <w:lang w:val="en-US" w:eastAsia="en-US" w:bidi="ar-SA"/>
    </w:rPr>
  </w:style>
  <w:style w:type="paragraph" w:styleId="TableText">
    <w:name w:val="Table Text"/>
    <w:basedOn w:val="Normal"/>
    <w:semiHidden/>
    <w:qFormat/>
    <w:pPr/>
    <w:rPr>
      <w:rFonts w:ascii="SimSun" w:hAnsi="SimSun" w:eastAsia="SimSun" w:cs="SimSun"/>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3.xml"/><Relationship Id="rId5" Type="http://schemas.openxmlformats.org/officeDocument/2006/relationships/footer" Target="footer2.xml"/><Relationship Id="rId4" Type="http://schemas.openxmlformats.org/officeDocument/2006/relationships/header" Target="header2.xml"/><Relationship Id="rId3" Type="http://schemas.openxmlformats.org/officeDocument/2006/relationships/image" Target="media/image2.jpeg"/><Relationship Id="rId2" Type="http://schemas.openxmlformats.org/officeDocument/2006/relationships/footer" Target="footer1.xml"/><Relationship Id="rId19" Type="http://schemas.openxmlformats.org/officeDocument/2006/relationships/fontTable" Target="fontTable.xml"/><Relationship Id="rId18" Type="http://schemas.openxmlformats.org/officeDocument/2006/relationships/styles" Target="styles.xml"/><Relationship Id="rId17" Type="http://schemas.openxmlformats.org/officeDocument/2006/relationships/settings" Target="settings.xml"/><Relationship Id="rId16" Type="http://schemas.openxmlformats.org/officeDocument/2006/relationships/footer" Target="footer8.xml"/><Relationship Id="rId15" Type="http://schemas.openxmlformats.org/officeDocument/2006/relationships/header" Target="header7.xml"/><Relationship Id="rId14" Type="http://schemas.openxmlformats.org/officeDocument/2006/relationships/footer" Target="footer7.xml"/><Relationship Id="rId13" Type="http://schemas.openxmlformats.org/officeDocument/2006/relationships/header" Target="header6.xml"/><Relationship Id="rId12" Type="http://schemas.openxmlformats.org/officeDocument/2006/relationships/footer" Target="footer6.xml"/><Relationship Id="rId11" Type="http://schemas.openxmlformats.org/officeDocument/2006/relationships/header" Target="header5.xml"/><Relationship Id="rId10" Type="http://schemas.openxmlformats.org/officeDocument/2006/relationships/footer" Target="footer5.xml"/><Relationship Id="rId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docProps/app.xml><?xml version="1.0" encoding="utf-8"?>
<ap:Properties xmlns:vt="http://schemas.openxmlformats.org/officeDocument/2006/docPropsVTypes" xmlns:ap="http://schemas.openxmlformats.org/officeDocument/2006/extended-properties">
  <ap:Application>Microsoft® Word 2016</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.XBRL.</dc:creator>
  <dcterms:created xsi:type="dcterms:W3CDTF">2019-10-21T19:57:53Z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2024-09-26T15:51:25</vt:filetime>
  </property>
</Properties>
</file>