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319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2593847</wp:posOffset>
            </wp:positionH>
            <wp:positionV relativeFrom="paragraph">
              <wp:posOffset>301540</wp:posOffset>
            </wp:positionV>
            <wp:extent cx="1571244" cy="252983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1244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4477511</wp:posOffset>
            </wp:positionH>
            <wp:positionV relativeFrom="paragraph">
              <wp:posOffset>257343</wp:posOffset>
            </wp:positionV>
            <wp:extent cx="1508759" cy="288035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8759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751"/>
        <w:spacing w:before="155" w:line="353" w:lineRule="exact"/>
        <w:rPr>
          <w:rFonts w:ascii="Microsoft YaHei" w:hAnsi="Microsoft YaHei" w:eastAsia="Microsoft YaHei" w:cs="Microsoft YaHei"/>
          <w:sz w:val="36"/>
          <w:szCs w:val="36"/>
        </w:rPr>
      </w:pPr>
      <w:r>
        <w:rPr>
          <w:rFonts w:ascii="Microsoft YaHei" w:hAnsi="Microsoft YaHei" w:eastAsia="Microsoft YaHei" w:cs="Microsoft YaHei"/>
          <w:sz w:val="36"/>
          <w:szCs w:val="36"/>
          <w:color w:val="050100"/>
          <w:spacing w:val="46"/>
          <w:w w:val="125"/>
          <w:position w:val="-2"/>
        </w:rPr>
        <w:t>工中国信通院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ind w:left="9097"/>
        <w:spacing w:before="81" w:line="201" w:lineRule="auto"/>
        <w:rPr>
          <w:sz w:val="28"/>
          <w:szCs w:val="28"/>
        </w:rPr>
      </w:pPr>
      <w:r>
        <w:rPr>
          <w:sz w:val="28"/>
          <w:szCs w:val="28"/>
          <w:color w:val="1E3264"/>
          <w:spacing w:val="-8"/>
        </w:rPr>
        <w:t>No .2</w:t>
      </w:r>
      <w:r>
        <w:rPr>
          <w:sz w:val="28"/>
          <w:szCs w:val="28"/>
          <w:color w:val="1E3264"/>
          <w:spacing w:val="-36"/>
        </w:rPr>
        <w:t xml:space="preserve"> </w:t>
      </w:r>
      <w:r>
        <w:rPr>
          <w:sz w:val="28"/>
          <w:szCs w:val="28"/>
          <w:color w:val="1E3264"/>
          <w:spacing w:val="-8"/>
        </w:rPr>
        <w:t>0</w:t>
      </w:r>
      <w:r>
        <w:rPr>
          <w:sz w:val="28"/>
          <w:szCs w:val="28"/>
          <w:color w:val="1E3264"/>
          <w:spacing w:val="-43"/>
        </w:rPr>
        <w:t xml:space="preserve"> </w:t>
      </w:r>
      <w:r>
        <w:rPr>
          <w:sz w:val="28"/>
          <w:szCs w:val="28"/>
          <w:color w:val="1E3264"/>
          <w:spacing w:val="-8"/>
        </w:rPr>
        <w:t>2</w:t>
      </w:r>
      <w:r>
        <w:rPr>
          <w:sz w:val="28"/>
          <w:szCs w:val="28"/>
          <w:color w:val="1E3264"/>
          <w:spacing w:val="-44"/>
        </w:rPr>
        <w:t xml:space="preserve"> </w:t>
      </w:r>
      <w:r>
        <w:rPr>
          <w:sz w:val="28"/>
          <w:szCs w:val="28"/>
          <w:color w:val="1E3264"/>
          <w:spacing w:val="-8"/>
        </w:rPr>
        <w:t>3</w:t>
      </w:r>
      <w:r>
        <w:rPr>
          <w:sz w:val="28"/>
          <w:szCs w:val="28"/>
          <w:color w:val="1E3264"/>
          <w:spacing w:val="-27"/>
        </w:rPr>
        <w:t xml:space="preserve"> </w:t>
      </w:r>
      <w:r>
        <w:rPr>
          <w:sz w:val="28"/>
          <w:szCs w:val="28"/>
          <w:color w:val="1E3264"/>
          <w:spacing w:val="-8"/>
        </w:rPr>
        <w:t>10</w:t>
      </w:r>
    </w:p>
    <w:p>
      <w:pPr>
        <w:pStyle w:val="BodyText"/>
        <w:spacing w:line="315" w:lineRule="auto"/>
        <w:rPr/>
      </w:pPr>
      <w:r/>
    </w:p>
    <w:p>
      <w:pPr>
        <w:pStyle w:val="BodyText"/>
        <w:spacing w:line="316" w:lineRule="auto"/>
        <w:rPr/>
      </w:pPr>
      <w:r/>
    </w:p>
    <w:p>
      <w:pPr>
        <w:ind w:left="1599"/>
        <w:spacing w:before="231" w:line="224" w:lineRule="auto"/>
        <w:rPr>
          <w:rFonts w:ascii="SimHei" w:hAnsi="SimHei" w:eastAsia="SimHei" w:cs="SimHei"/>
          <w:sz w:val="71"/>
          <w:szCs w:val="71"/>
        </w:rPr>
      </w:pPr>
      <w:r>
        <w:rPr>
          <w:rFonts w:ascii="SimHei" w:hAnsi="SimHei" w:eastAsia="SimHei" w:cs="SimHei"/>
          <w:sz w:val="71"/>
          <w:szCs w:val="71"/>
          <w:b/>
          <w:bCs/>
          <w:spacing w:val="2"/>
        </w:rPr>
        <w:t>互联网行业可持续信息披露</w:t>
      </w:r>
    </w:p>
    <w:p>
      <w:pPr>
        <w:ind w:left="4488"/>
        <w:spacing w:before="75" w:line="223" w:lineRule="auto"/>
        <w:rPr>
          <w:rFonts w:ascii="SimHei" w:hAnsi="SimHei" w:eastAsia="SimHei" w:cs="SimHei"/>
          <w:sz w:val="71"/>
          <w:szCs w:val="71"/>
        </w:rPr>
      </w:pPr>
      <w:r>
        <w:rPr>
          <w:rFonts w:ascii="SimHei" w:hAnsi="SimHei" w:eastAsia="SimHei" w:cs="SimHei"/>
          <w:sz w:val="71"/>
          <w:szCs w:val="71"/>
          <w:b/>
          <w:bCs/>
          <w:spacing w:val="-4"/>
        </w:rPr>
        <w:t>发展报告</w:t>
      </w:r>
    </w:p>
    <w:p>
      <w:pPr>
        <w:ind w:left="4985"/>
        <w:spacing w:before="301" w:line="223" w:lineRule="auto"/>
        <w:rPr>
          <w:rFonts w:ascii="SimHei" w:hAnsi="SimHei" w:eastAsia="SimHei" w:cs="SimHei"/>
          <w:sz w:val="52"/>
          <w:szCs w:val="52"/>
        </w:rPr>
      </w:pPr>
      <w:r>
        <w:rPr>
          <w:rFonts w:ascii="SimHei" w:hAnsi="SimHei" w:eastAsia="SimHei" w:cs="SimHei"/>
          <w:sz w:val="52"/>
          <w:szCs w:val="52"/>
          <w:b/>
          <w:bCs/>
          <w:spacing w:val="-24"/>
        </w:rPr>
        <w:t>(2023</w:t>
      </w:r>
      <w:r>
        <w:rPr>
          <w:rFonts w:ascii="SimHei" w:hAnsi="SimHei" w:eastAsia="SimHei" w:cs="SimHei"/>
          <w:sz w:val="52"/>
          <w:szCs w:val="52"/>
          <w:spacing w:val="-106"/>
        </w:rPr>
        <w:t xml:space="preserve"> </w:t>
      </w:r>
      <w:r>
        <w:rPr>
          <w:rFonts w:ascii="SimHei" w:hAnsi="SimHei" w:eastAsia="SimHei" w:cs="SimHei"/>
          <w:sz w:val="52"/>
          <w:szCs w:val="52"/>
          <w:b/>
          <w:bCs/>
          <w:spacing w:val="-24"/>
        </w:rPr>
        <w:t>年)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4191"/>
        <w:spacing w:before="150" w:line="201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27"/>
        </w:rPr>
        <w:t>中国</w:t>
      </w:r>
      <w:r>
        <w:rPr>
          <w:rFonts w:ascii="Microsoft YaHei" w:hAnsi="Microsoft YaHei" w:eastAsia="Microsoft YaHei" w:cs="Microsoft YaHei"/>
          <w:sz w:val="35"/>
          <w:szCs w:val="35"/>
          <w:spacing w:val="-52"/>
        </w:rPr>
        <w:t xml:space="preserve"> </w:t>
      </w:r>
      <w:r>
        <w:rPr>
          <w:rFonts w:ascii="Microsoft YaHei" w:hAnsi="Microsoft YaHei" w:eastAsia="Microsoft YaHei" w:cs="Microsoft YaHei"/>
          <w:sz w:val="35"/>
          <w:szCs w:val="35"/>
          <w:spacing w:val="27"/>
        </w:rPr>
        <w:t>信息通</w:t>
      </w:r>
      <w:r>
        <w:rPr>
          <w:rFonts w:ascii="Microsoft YaHei" w:hAnsi="Microsoft YaHei" w:eastAsia="Microsoft YaHei" w:cs="Microsoft YaHei"/>
          <w:sz w:val="35"/>
          <w:szCs w:val="35"/>
          <w:spacing w:val="-52"/>
        </w:rPr>
        <w:t xml:space="preserve"> </w:t>
      </w:r>
      <w:r>
        <w:rPr>
          <w:rFonts w:ascii="Microsoft YaHei" w:hAnsi="Microsoft YaHei" w:eastAsia="Microsoft YaHei" w:cs="Microsoft YaHei"/>
          <w:sz w:val="35"/>
          <w:szCs w:val="35"/>
          <w:spacing w:val="27"/>
        </w:rPr>
        <w:t>信研究</w:t>
      </w:r>
      <w:r>
        <w:rPr>
          <w:rFonts w:ascii="Microsoft YaHei" w:hAnsi="Microsoft YaHei" w:eastAsia="Microsoft YaHei" w:cs="Microsoft YaHei"/>
          <w:sz w:val="35"/>
          <w:szCs w:val="35"/>
          <w:spacing w:val="-38"/>
        </w:rPr>
        <w:t xml:space="preserve"> </w:t>
      </w:r>
      <w:r>
        <w:rPr>
          <w:rFonts w:ascii="Microsoft YaHei" w:hAnsi="Microsoft YaHei" w:eastAsia="Microsoft YaHei" w:cs="Microsoft YaHei"/>
          <w:sz w:val="35"/>
          <w:szCs w:val="35"/>
          <w:spacing w:val="27"/>
        </w:rPr>
        <w:t>院</w:t>
      </w:r>
    </w:p>
    <w:p>
      <w:pPr>
        <w:ind w:left="4702"/>
        <w:spacing w:before="119" w:line="201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11"/>
        </w:rPr>
        <w:t>中国互联网协会</w:t>
      </w:r>
    </w:p>
    <w:p>
      <w:pPr>
        <w:ind w:left="4551"/>
        <w:spacing w:before="121" w:line="201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5"/>
        </w:rPr>
        <w:t>中国通信企业协会</w:t>
      </w:r>
    </w:p>
    <w:p>
      <w:pPr>
        <w:ind w:left="5070"/>
        <w:spacing w:before="121" w:line="201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-19"/>
        </w:rPr>
        <w:t>2023年11月</w:t>
      </w:r>
    </w:p>
    <w:p>
      <w:pPr>
        <w:spacing w:line="201" w:lineRule="auto"/>
        <w:sectPr>
          <w:headerReference w:type="default" r:id="rId1"/>
          <w:pgSz w:w="11906" w:h="16839"/>
          <w:pgMar w:top="400" w:right="0" w:bottom="0" w:left="0" w:header="0" w:footer="0" w:gutter="0"/>
        </w:sectPr>
        <w:rPr>
          <w:rFonts w:ascii="Microsoft YaHei" w:hAnsi="Microsoft YaHei" w:eastAsia="Microsoft YaHei" w:cs="Microsoft YaHei"/>
          <w:sz w:val="35"/>
          <w:szCs w:val="35"/>
        </w:rPr>
      </w:pPr>
    </w:p>
    <w:p>
      <w:pPr>
        <w:ind w:left="2918"/>
        <w:spacing w:before="249" w:line="222" w:lineRule="auto"/>
        <w:outlineLvl w:val="0"/>
        <w:rPr>
          <w:rFonts w:ascii="KaiTi" w:hAnsi="KaiTi" w:eastAsia="KaiTi" w:cs="KaiTi"/>
          <w:sz w:val="35"/>
          <w:szCs w:val="3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49829</wp:posOffset>
            </wp:positionH>
            <wp:positionV relativeFrom="paragraph">
              <wp:posOffset>37441</wp:posOffset>
            </wp:positionV>
            <wp:extent cx="5193015" cy="7978010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3015" cy="797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hAnsi="KaiTi" w:eastAsia="KaiTi" w:cs="KaiTi"/>
          <w:sz w:val="35"/>
          <w:szCs w:val="35"/>
          <w:b/>
          <w:bCs/>
          <w:spacing w:val="58"/>
          <w:w w:val="145"/>
        </w:rPr>
        <w:t>版权声明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>
        <w:pict>
          <v:shape id="_x0000_s4" style="position:absolute;margin-left:0.547508pt;margin-top:1.72925pt;mso-position-vertical-relative:text;mso-position-horizontal-relative:text;width:406.05pt;height:0.75pt;z-index:251660288;" fillcolor="#808080" filled="true" stroked="false" coordsize="8120,15" coordorigin="0,0" path="m,l8120,0l8120,14l0,14l0,0xe"/>
        </w:pict>
      </w: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3" w:right="295" w:firstLine="638"/>
        <w:spacing w:before="100" w:line="366" w:lineRule="auto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z w:val="31"/>
          <w:szCs w:val="31"/>
          <w:b/>
          <w:bCs/>
          <w:spacing w:val="7"/>
        </w:rPr>
        <w:t>本报告版权属于中国信息通信研究院、中国互联网协</w:t>
      </w:r>
      <w:r>
        <w:rPr>
          <w:rFonts w:ascii="FangSong" w:hAnsi="FangSong" w:eastAsia="FangSong" w:cs="FangSong"/>
          <w:sz w:val="31"/>
          <w:szCs w:val="31"/>
          <w:spacing w:val="7"/>
        </w:rPr>
        <w:t xml:space="preserve"> </w:t>
      </w:r>
      <w:r>
        <w:rPr>
          <w:rFonts w:ascii="FangSong" w:hAnsi="FangSong" w:eastAsia="FangSong" w:cs="FangSong"/>
          <w:sz w:val="31"/>
          <w:szCs w:val="31"/>
          <w:b/>
          <w:bCs/>
          <w:spacing w:val="7"/>
        </w:rPr>
        <w:t>会和中国通信企业协会，并受法律保护。转载、摘编或利</w:t>
      </w:r>
      <w:r>
        <w:rPr>
          <w:rFonts w:ascii="FangSong" w:hAnsi="FangSong" w:eastAsia="FangSong" w:cs="FangSong"/>
          <w:sz w:val="31"/>
          <w:szCs w:val="31"/>
          <w:spacing w:val="7"/>
        </w:rPr>
        <w:t xml:space="preserve"> </w:t>
      </w:r>
      <w:r>
        <w:rPr>
          <w:rFonts w:ascii="FangSong" w:hAnsi="FangSong" w:eastAsia="FangSong" w:cs="FangSong"/>
          <w:sz w:val="31"/>
          <w:szCs w:val="31"/>
          <w:b/>
          <w:bCs/>
          <w:spacing w:val="4"/>
        </w:rPr>
        <w:t>用其它方式使用本报告文字或者观点的，应注明</w:t>
      </w:r>
      <w:r>
        <w:rPr>
          <w:rFonts w:ascii="FangSong" w:hAnsi="FangSong" w:eastAsia="FangSong" w:cs="FangSong"/>
          <w:sz w:val="31"/>
          <w:szCs w:val="31"/>
          <w:spacing w:val="-84"/>
        </w:rPr>
        <w:t xml:space="preserve"> </w:t>
      </w:r>
      <w:r>
        <w:rPr>
          <w:rFonts w:ascii="FangSong" w:hAnsi="FangSong" w:eastAsia="FangSong" w:cs="FangSong"/>
          <w:sz w:val="31"/>
          <w:szCs w:val="31"/>
          <w:b/>
          <w:bCs/>
          <w:spacing w:val="4"/>
        </w:rPr>
        <w:t>“来源：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z w:val="31"/>
          <w:szCs w:val="31"/>
          <w:b/>
          <w:bCs/>
          <w:spacing w:val="7"/>
        </w:rPr>
        <w:t>中国信息通信研究院、中国互联网协会和中国通信企业协</w:t>
      </w:r>
      <w:r>
        <w:rPr>
          <w:rFonts w:ascii="FangSong" w:hAnsi="FangSong" w:eastAsia="FangSong" w:cs="FangSong"/>
          <w:sz w:val="31"/>
          <w:szCs w:val="31"/>
          <w:spacing w:val="7"/>
        </w:rPr>
        <w:t xml:space="preserve"> </w:t>
      </w:r>
      <w:r>
        <w:rPr>
          <w:rFonts w:ascii="FangSong" w:hAnsi="FangSong" w:eastAsia="FangSong" w:cs="FangSong"/>
          <w:sz w:val="31"/>
          <w:szCs w:val="31"/>
          <w:b/>
          <w:bCs/>
          <w:spacing w:val="7"/>
        </w:rPr>
        <w:t>会”。违反上述声明者，编者将追究其相关法律</w:t>
      </w:r>
      <w:r>
        <w:rPr>
          <w:rFonts w:ascii="FangSong" w:hAnsi="FangSong" w:eastAsia="FangSong" w:cs="FangSong"/>
          <w:sz w:val="31"/>
          <w:szCs w:val="31"/>
          <w:b/>
          <w:bCs/>
          <w:spacing w:val="6"/>
        </w:rPr>
        <w:t>责任。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firstLine="3453"/>
        <w:spacing w:line="1764" w:lineRule="exact"/>
        <w:rPr/>
      </w:pPr>
      <w:r>
        <w:rPr>
          <w:position w:val="-35"/>
        </w:rPr>
        <w:drawing>
          <wp:inline distT="0" distB="0" distL="0" distR="0">
            <wp:extent cx="1120139" cy="112013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0139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764" w:lineRule="exact"/>
        <w:sectPr>
          <w:headerReference w:type="default" r:id="rId4"/>
          <w:pgSz w:w="11907" w:h="16840"/>
          <w:pgMar w:top="2078" w:right="1786" w:bottom="0" w:left="1786" w:header="2064" w:footer="0" w:gutter="0"/>
        </w:sectPr>
        <w:rPr/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3602"/>
        <w:spacing w:before="101" w:line="228" w:lineRule="auto"/>
        <w:outlineLvl w:val="0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spacing w:val="-5"/>
        </w:rPr>
        <w:t>前</w:t>
      </w:r>
      <w:r>
        <w:rPr>
          <w:rFonts w:ascii="SimHei" w:hAnsi="SimHei" w:eastAsia="SimHei" w:cs="SimHei"/>
          <w:sz w:val="31"/>
          <w:szCs w:val="31"/>
          <w:spacing w:val="18"/>
        </w:rPr>
        <w:t xml:space="preserve">  </w:t>
      </w:r>
      <w:r>
        <w:rPr>
          <w:rFonts w:ascii="SimHei" w:hAnsi="SimHei" w:eastAsia="SimHei" w:cs="SimHei"/>
          <w:sz w:val="31"/>
          <w:szCs w:val="31"/>
          <w:b/>
          <w:bCs/>
          <w:spacing w:val="-5"/>
        </w:rPr>
        <w:t>言</w:t>
      </w:r>
    </w:p>
    <w:p>
      <w:pPr>
        <w:ind w:left="20" w:right="201" w:firstLine="645"/>
        <w:spacing w:before="265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4"/>
        </w:rPr>
        <w:t>党的二十大报告擘画了全面建设社会主义现代化国家、以中国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式现代化全面推进中华民族伟大复兴的宏伟蓝</w:t>
      </w:r>
      <w:r>
        <w:rPr>
          <w:rFonts w:ascii="FangSong" w:hAnsi="FangSong" w:eastAsia="FangSong" w:cs="FangSong"/>
          <w:sz w:val="28"/>
          <w:szCs w:val="28"/>
          <w:spacing w:val="-1"/>
        </w:rPr>
        <w:t>图，并明确指出加快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建设网络强国的战略部署。当前，我国网民规模已超</w:t>
      </w:r>
      <w:r>
        <w:rPr>
          <w:rFonts w:ascii="FangSong" w:hAnsi="FangSong" w:eastAsia="FangSong" w:cs="FangSong"/>
          <w:sz w:val="28"/>
          <w:szCs w:val="28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10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亿人，互联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网普及率达到</w:t>
      </w:r>
      <w:r>
        <w:rPr>
          <w:rFonts w:ascii="FangSong" w:hAnsi="FangSong" w:eastAsia="FangSong" w:cs="FangSong"/>
          <w:sz w:val="28"/>
          <w:szCs w:val="28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75%</w:t>
      </w:r>
      <w:r>
        <w:rPr>
          <w:rFonts w:ascii="FangSong" w:hAnsi="FangSong" w:eastAsia="FangSong" w:cs="FangSong"/>
          <w:sz w:val="28"/>
          <w:szCs w:val="28"/>
          <w:spacing w:val="-2"/>
        </w:rPr>
        <w:t>以上，互联网行业正在更广范围、更深程度上影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响着国家社会发展和人民群众生产生活的方方</w:t>
      </w:r>
      <w:r>
        <w:rPr>
          <w:rFonts w:ascii="FangSong" w:hAnsi="FangSong" w:eastAsia="FangSong" w:cs="FangSong"/>
          <w:sz w:val="28"/>
          <w:szCs w:val="28"/>
          <w:spacing w:val="-1"/>
        </w:rPr>
        <w:t>面面。互联网行业深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化践行可持续发展理念，持续加强社会责任及</w:t>
      </w:r>
      <w:r>
        <w:rPr>
          <w:rFonts w:ascii="FangSong" w:hAnsi="FangSong" w:eastAsia="FangSong" w:cs="FangSong"/>
          <w:sz w:val="28"/>
          <w:szCs w:val="28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ESG </w:t>
      </w:r>
      <w:r>
        <w:rPr>
          <w:rFonts w:ascii="FangSong" w:hAnsi="FangSong" w:eastAsia="FangSong" w:cs="FangSong"/>
          <w:sz w:val="28"/>
          <w:szCs w:val="28"/>
          <w:spacing w:val="-4"/>
        </w:rPr>
        <w:t>管理，不仅是健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全网络综合治理体系，推动形成良好网络生态</w:t>
      </w:r>
      <w:r>
        <w:rPr>
          <w:rFonts w:ascii="FangSong" w:hAnsi="FangSong" w:eastAsia="FangSong" w:cs="FangSong"/>
          <w:sz w:val="28"/>
          <w:szCs w:val="28"/>
          <w:spacing w:val="-1"/>
        </w:rPr>
        <w:t>的有效途径，也是接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轨国际规则、开展国际化竞争的实际需要，更</w:t>
      </w:r>
      <w:r>
        <w:rPr>
          <w:rFonts w:ascii="FangSong" w:hAnsi="FangSong" w:eastAsia="FangSong" w:cs="FangSong"/>
          <w:sz w:val="28"/>
          <w:szCs w:val="28"/>
          <w:spacing w:val="-1"/>
        </w:rPr>
        <w:t>是贯彻落实党的二十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大精神，实现高质量发展的必然要求。</w:t>
      </w:r>
    </w:p>
    <w:p>
      <w:pPr>
        <w:ind w:left="19" w:right="201" w:firstLine="562"/>
        <w:spacing w:before="48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本报告以可持续信息披露为切入点，以社会公众为观察视角，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在国内外信息披露相关要求逐步明确、关注重点进</w:t>
      </w:r>
      <w:r>
        <w:rPr>
          <w:rFonts w:ascii="FangSong" w:hAnsi="FangSong" w:eastAsia="FangSong" w:cs="FangSong"/>
          <w:sz w:val="28"/>
          <w:szCs w:val="28"/>
          <w:spacing w:val="-1"/>
        </w:rPr>
        <w:t>一步聚焦、行业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特性渐进发展的背景下，系统研究了互联网行业可</w:t>
      </w:r>
      <w:r>
        <w:rPr>
          <w:rFonts w:ascii="FangSong" w:hAnsi="FangSong" w:eastAsia="FangSong" w:cs="FangSong"/>
          <w:sz w:val="28"/>
          <w:szCs w:val="28"/>
          <w:spacing w:val="-1"/>
        </w:rPr>
        <w:t>持续信息披露的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整体实践情况。当前行业已构建出可持续发展报告</w:t>
      </w:r>
      <w:r>
        <w:rPr>
          <w:rFonts w:ascii="FangSong" w:hAnsi="FangSong" w:eastAsia="FangSong" w:cs="FangSong"/>
          <w:sz w:val="28"/>
          <w:szCs w:val="28"/>
          <w:spacing w:val="-1"/>
        </w:rPr>
        <w:t>、官方网站和移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动互联网应用程序为载体的</w:t>
      </w:r>
      <w:r>
        <w:rPr>
          <w:rFonts w:ascii="FangSong" w:hAnsi="FangSong" w:eastAsia="FangSong" w:cs="FangSong"/>
          <w:sz w:val="28"/>
          <w:szCs w:val="28"/>
          <w:spacing w:val="-8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“一体两翼”信息披露渠道，披露语言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均以中文简体为主；随着资本市场对行业的推动</w:t>
      </w:r>
      <w:r>
        <w:rPr>
          <w:rFonts w:ascii="FangSong" w:hAnsi="FangSong" w:eastAsia="FangSong" w:cs="FangSong"/>
          <w:sz w:val="28"/>
          <w:szCs w:val="28"/>
          <w:spacing w:val="-9"/>
        </w:rPr>
        <w:t>影响越发显著，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ESG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专项报告强势增长；整体看行业信息披露数量和质</w:t>
      </w:r>
      <w:r>
        <w:rPr>
          <w:rFonts w:ascii="FangSong" w:hAnsi="FangSong" w:eastAsia="FangSong" w:cs="FangSong"/>
          <w:sz w:val="28"/>
          <w:szCs w:val="28"/>
          <w:spacing w:val="-1"/>
        </w:rPr>
        <w:t>量平稳发展，虽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管理制度信息披露有待进一步提升，但行业特色主</w:t>
      </w:r>
      <w:r>
        <w:rPr>
          <w:rFonts w:ascii="FangSong" w:hAnsi="FangSong" w:eastAsia="FangSong" w:cs="FangSong"/>
          <w:sz w:val="28"/>
          <w:szCs w:val="28"/>
          <w:spacing w:val="-1"/>
        </w:rPr>
        <w:t>题信息披露明显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增强，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内容实质性提升显著，互联网行业正逐步从实</w:t>
      </w:r>
      <w:r>
        <w:rPr>
          <w:rFonts w:ascii="FangSong" w:hAnsi="FangSong" w:eastAsia="FangSong" w:cs="FangSong"/>
          <w:sz w:val="28"/>
          <w:szCs w:val="28"/>
          <w:spacing w:val="-3"/>
        </w:rPr>
        <w:t>践中走出具备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行业特色的可持续信息披露之路。</w:t>
      </w:r>
    </w:p>
    <w:p>
      <w:pPr>
        <w:ind w:left="42" w:right="201" w:firstLine="539"/>
        <w:spacing w:before="44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本报告进一步聚焦个人信息及用户隐私保护、透明规则和碳信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息三个备受社会关注、极具行业特色、体现产业实践的可持续发展</w:t>
      </w:r>
    </w:p>
    <w:p>
      <w:pPr>
        <w:spacing w:line="397" w:lineRule="auto"/>
        <w:sectPr>
          <w:headerReference w:type="default" r:id="rId7"/>
          <w:pgSz w:w="11907" w:h="16840"/>
          <w:pgMar w:top="400" w:right="1786" w:bottom="0" w:left="1786" w:header="0" w:footer="0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23" w:right="114" w:hanging="2"/>
        <w:spacing w:before="9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核心主题的信息披露情况。在个人信息及用</w:t>
      </w:r>
      <w:r>
        <w:rPr>
          <w:rFonts w:ascii="FangSong" w:hAnsi="FangSong" w:eastAsia="FangSong" w:cs="FangSong"/>
          <w:sz w:val="28"/>
          <w:szCs w:val="28"/>
          <w:spacing w:val="-1"/>
        </w:rPr>
        <w:t>户隐私保护法规政策明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确要求之下，互联网行业共识较高，但在组织管理、用户服务提升、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责任链管理等方面仍有一定提升空间；在透明规则法律法规细化聚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焦之下，互联网细分领域从时效性、可及性、自主性、参与性等多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方面积极探索，彰显行业担当；在碳信息披露法规政策持续加严之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下，互联网行业实践有序推进，定量数据披露向好。</w:t>
      </w:r>
    </w:p>
    <w:p>
      <w:pPr>
        <w:ind w:left="19" w:right="201" w:firstLine="595"/>
        <w:spacing w:before="4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6"/>
        </w:rPr>
        <w:t>中国信息通信研究院于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2022 </w:t>
      </w:r>
      <w:r>
        <w:rPr>
          <w:rFonts w:ascii="FangSong" w:hAnsi="FangSong" w:eastAsia="FangSong" w:cs="FangSong"/>
          <w:sz w:val="28"/>
          <w:szCs w:val="28"/>
          <w:spacing w:val="-6"/>
        </w:rPr>
        <w:t>年发布首</w:t>
      </w:r>
      <w:r>
        <w:rPr>
          <w:rFonts w:ascii="FangSong" w:hAnsi="FangSong" w:eastAsia="FangSong" w:cs="FangSong"/>
          <w:sz w:val="28"/>
          <w:szCs w:val="28"/>
          <w:spacing w:val="-7"/>
        </w:rPr>
        <w:t>份《互联网行业社会责任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及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ESG </w:t>
      </w:r>
      <w:r>
        <w:rPr>
          <w:rFonts w:ascii="FangSong" w:hAnsi="FangSong" w:eastAsia="FangSong" w:cs="FangSong"/>
          <w:sz w:val="28"/>
          <w:szCs w:val="28"/>
          <w:spacing w:val="-4"/>
        </w:rPr>
        <w:t>信息披露观察报告》，本年度在进一步系统性深挖行业可持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续信息披露情况的基础上，首次分析了官方</w:t>
      </w:r>
      <w:r>
        <w:rPr>
          <w:rFonts w:ascii="FangSong" w:hAnsi="FangSong" w:eastAsia="FangSong" w:cs="FangSong"/>
          <w:sz w:val="28"/>
          <w:szCs w:val="28"/>
          <w:spacing w:val="-1"/>
        </w:rPr>
        <w:t>网站及移动互联网应用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程序等行业特色信息披露渠道，并首次纳入了部分</w:t>
      </w:r>
      <w:r>
        <w:rPr>
          <w:rFonts w:ascii="FangSong" w:hAnsi="FangSong" w:eastAsia="FangSong" w:cs="FangSong"/>
          <w:sz w:val="28"/>
          <w:szCs w:val="28"/>
          <w:spacing w:val="-1"/>
        </w:rPr>
        <w:t>核心主题的信息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披露研究，希望该报告能为社会各界了解互联网行</w:t>
      </w:r>
      <w:r>
        <w:rPr>
          <w:rFonts w:ascii="FangSong" w:hAnsi="FangSong" w:eastAsia="FangSong" w:cs="FangSong"/>
          <w:sz w:val="28"/>
          <w:szCs w:val="28"/>
          <w:spacing w:val="-1"/>
        </w:rPr>
        <w:t>业及特色主题的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可持续信息披露的发展及实践提供有价值的参考。</w:t>
      </w:r>
    </w:p>
    <w:p>
      <w:pPr>
        <w:spacing w:line="407" w:lineRule="auto"/>
        <w:sectPr>
          <w:pgSz w:w="11907" w:h="16840"/>
          <w:pgMar w:top="400" w:right="1786" w:bottom="0" w:left="1786" w:header="0" w:footer="0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sdt>
      <w:sdtPr>
        <w:rPr>
          <w:rFonts w:ascii="SimHei" w:hAnsi="SimHei" w:eastAsia="SimHei" w:cs="SimHei"/>
          <w:sz w:val="31"/>
          <w:szCs w:val="3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3925"/>
            <w:spacing w:before="101" w:line="227" w:lineRule="auto"/>
            <w:rPr>
              <w:rFonts w:ascii="SimHei" w:hAnsi="SimHei" w:eastAsia="SimHei" w:cs="SimHei"/>
              <w:sz w:val="31"/>
              <w:szCs w:val="31"/>
            </w:rPr>
          </w:pPr>
          <w:r>
            <w:rPr>
              <w:rFonts w:ascii="SimHei" w:hAnsi="SimHei" w:eastAsia="SimHei" w:cs="SimHei"/>
              <w:sz w:val="31"/>
              <w:szCs w:val="31"/>
              <w:b/>
              <w:bCs/>
              <w:spacing w:val="-25"/>
            </w:rPr>
            <w:t>目</w:t>
          </w:r>
          <w:r>
            <w:rPr>
              <w:rFonts w:ascii="SimHei" w:hAnsi="SimHei" w:eastAsia="SimHei" w:cs="SimHei"/>
              <w:sz w:val="31"/>
              <w:szCs w:val="31"/>
              <w:spacing w:val="13"/>
            </w:rPr>
            <w:t xml:space="preserve">  </w:t>
          </w:r>
          <w:r>
            <w:rPr>
              <w:rFonts w:ascii="SimHei" w:hAnsi="SimHei" w:eastAsia="SimHei" w:cs="SimHei"/>
              <w:sz w:val="31"/>
              <w:szCs w:val="31"/>
              <w:b/>
              <w:bCs/>
              <w:spacing w:val="-25"/>
            </w:rPr>
            <w:t>录</w:t>
          </w:r>
        </w:p>
        <w:p>
          <w:pPr>
            <w:ind w:left="36"/>
            <w:spacing w:before="203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" w:id="1"/>
          <w:bookmarkEnd w:id="1"/>
          <w:hyperlink w:history="true" w:anchor="bookmark2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一、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可持续信息披露作用及意义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9"/>
              </w:rPr>
              <w:t>1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" w:id="2"/>
          <w:bookmarkEnd w:id="2"/>
          <w:hyperlink w:history="true" w:anchor="bookmark4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社会责任及</w:t>
            </w:r>
            <w:r>
              <w:rPr>
                <w:rFonts w:ascii="FangSong" w:hAnsi="FangSong" w:eastAsia="FangSong" w:cs="FangSong"/>
                <w:sz w:val="24"/>
                <w:szCs w:val="24"/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ESG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是推动可持续发展重要方式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hyperlink>
        </w:p>
        <w:p>
          <w:pPr>
            <w:ind w:left="575"/>
            <w:spacing w:before="226" w:line="186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5" w:id="3"/>
          <w:bookmarkEnd w:id="3"/>
          <w:hyperlink w:history="true" w:anchor="bookmark6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信息披露对推动可持续发展具有重要意义</w:t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hyperlink>
        </w:p>
        <w:p>
          <w:pPr>
            <w:ind w:left="34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7" w:id="4"/>
          <w:bookmarkEnd w:id="4"/>
          <w:hyperlink w:history="true" w:anchor="bookmark8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二、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可持续信息披露要求发展态势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9" w:id="5"/>
          <w:bookmarkEnd w:id="5"/>
          <w:hyperlink w:history="true" w:anchor="bookmark1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多元驱动，生态系统提速构建</w:t>
            </w:r>
            <w:r>
              <w:rPr>
                <w:rFonts w:ascii="FangSong" w:hAnsi="FangSong" w:eastAsia="FangSong" w:cs="FangSong"/>
                <w:sz w:val="24"/>
                <w:szCs w:val="24"/>
                <w:spacing w:val="-6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1" w:id="6"/>
          <w:bookmarkEnd w:id="6"/>
          <w:hyperlink w:history="true" w:anchor="bookmark12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融合互通，关注重点逐步聚焦</w:t>
            </w:r>
            <w:r>
              <w:rPr>
                <w:rFonts w:ascii="FangSong" w:hAnsi="FangSong" w:eastAsia="FangSong" w:cs="FangSong"/>
                <w:sz w:val="24"/>
                <w:szCs w:val="24"/>
                <w:spacing w:val="-6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3" w:id="7"/>
          <w:bookmarkEnd w:id="7"/>
          <w:hyperlink w:history="true" w:anchor="bookmark14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（三）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实践为基，行业属性渐进发展</w:t>
            </w:r>
            <w:r>
              <w:rPr>
                <w:rFonts w:ascii="FangSong" w:hAnsi="FangSong" w:eastAsia="FangSong" w:cs="FangSong"/>
                <w:sz w:val="24"/>
                <w:szCs w:val="24"/>
                <w:spacing w:val="-6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hyperlink>
        </w:p>
        <w:p>
          <w:pPr>
            <w:ind w:left="3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5" w:id="8"/>
          <w:bookmarkEnd w:id="8"/>
          <w:hyperlink w:history="true" w:anchor="bookmark16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三、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可持续信息披露实践稳中有进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8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7" w:id="9"/>
          <w:bookmarkEnd w:id="9"/>
          <w:hyperlink w:history="true" w:anchor="bookmark18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一体两翼基本形成，各司其职协同信披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8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9" w:id="10"/>
          <w:bookmarkEnd w:id="10"/>
          <w:hyperlink w:history="true" w:anchor="bookmark2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报告数质平稳发展，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ESG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专项势头强劲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10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21" w:id="11"/>
          <w:bookmarkEnd w:id="11"/>
          <w:hyperlink w:history="true" w:anchor="bookmark22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（三）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披露语言中文为主，管理信息有待提升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15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23" w:id="12"/>
          <w:bookmarkEnd w:id="12"/>
          <w:hyperlink w:history="true" w:anchor="bookmark24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（四）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披露验证综合实力，资本市场传导明显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16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25" w:id="13"/>
          <w:bookmarkEnd w:id="13"/>
          <w:hyperlink w:history="true" w:anchor="bookmark26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（五）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主题披露偏重特色，可持续趋向系统全面</w:t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20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27" w:id="14"/>
          <w:bookmarkEnd w:id="14"/>
          <w:hyperlink w:history="true" w:anchor="bookmark28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四、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主题实践之个人信息保护信息披露逐步发展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25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29" w:id="15"/>
          <w:bookmarkEnd w:id="15"/>
          <w:hyperlink w:history="true" w:anchor="bookmark3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主题报告法规明确，行业实践共识较高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25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1" w:id="16"/>
          <w:bookmarkEnd w:id="16"/>
          <w:hyperlink w:history="true" w:anchor="bookmark32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信息点披露仍需提升，组织治理差异较大</w:t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26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3" w:id="17"/>
          <w:bookmarkEnd w:id="17"/>
          <w:hyperlink w:history="true" w:anchor="bookmark34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（三）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管理欠缺制度数据，行业实践亟需转化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30</w:t>
            </w:r>
          </w:hyperlink>
        </w:p>
        <w:p>
          <w:pPr>
            <w:ind w:left="575"/>
            <w:spacing w:before="227" w:line="186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5" w:id="18"/>
          <w:bookmarkEnd w:id="18"/>
          <w:hyperlink w:history="true" w:anchor="bookmark36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（四）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责任链支持优于监督，技术研发亮点涌现</w:t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37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7" w:id="19"/>
          <w:bookmarkEnd w:id="19"/>
          <w:hyperlink w:history="true" w:anchor="bookmark38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（五）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展望披露融入业务，全面展现行业发展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40</w:t>
            </w:r>
          </w:hyperlink>
        </w:p>
        <w:p>
          <w:pPr>
            <w:ind w:left="29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9" w:id="20"/>
          <w:bookmarkEnd w:id="20"/>
          <w:hyperlink w:history="true" w:anchor="bookmark4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五、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主题实践之规则信息披露行业特色细分先行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41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41" w:id="21"/>
          <w:bookmarkEnd w:id="21"/>
          <w:hyperlink w:history="true" w:anchor="bookmark42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透明规则意义重大，法规聚焦细分领域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41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43" w:id="22"/>
          <w:bookmarkEnd w:id="22"/>
          <w:hyperlink w:history="true" w:anchor="bookmark44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披露方式双管齐下，时效保障较为完备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42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45" w:id="23"/>
          <w:bookmarkEnd w:id="23"/>
          <w:hyperlink w:history="true" w:anchor="bookmark46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（三）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透明可及参差不齐，规则展示丰富多元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43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47" w:id="24"/>
          <w:bookmarkEnd w:id="24"/>
          <w:hyperlink w:history="true" w:anchor="bookmark48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（四）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规范规则透明原则，畅通规则参与渠道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45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49" w:id="25"/>
          <w:bookmarkEnd w:id="25"/>
          <w:hyperlink w:history="true" w:anchor="bookmark5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（五）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展望拓宽细分领域，着力提升相关方认知</w:t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48</w:t>
            </w:r>
          </w:hyperlink>
        </w:p>
        <w:p>
          <w:pPr>
            <w:ind w:left="31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51" w:id="26"/>
          <w:bookmarkEnd w:id="26"/>
          <w:hyperlink w:history="true" w:anchor="bookmark52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六、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主题实践之碳信息披露重要性凸显发展迅速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49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53" w:id="27"/>
          <w:bookmarkEnd w:id="27"/>
          <w:hyperlink w:history="true" w:anchor="bookmark54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政策加严趋势显著，披露意识全面提升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49</w:t>
            </w:r>
          </w:hyperlink>
        </w:p>
        <w:p>
          <w:pPr>
            <w:ind w:left="575"/>
            <w:spacing w:before="229" w:line="217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55" w:id="28"/>
          <w:bookmarkEnd w:id="28"/>
          <w:hyperlink w:history="true" w:anchor="bookmark56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披露实践逐步提升，组织治理初具规模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50</w:t>
            </w:r>
          </w:hyperlink>
        </w:p>
      </w:sdtContent>
    </w:sdt>
    <w:p>
      <w:pPr>
        <w:spacing w:line="217" w:lineRule="auto"/>
        <w:sectPr>
          <w:pgSz w:w="11907" w:h="16840"/>
          <w:pgMar w:top="400" w:right="1786" w:bottom="0" w:left="1786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sdt>
      <w:sdtPr>
        <w:rPr>
          <w:rFonts w:ascii="FangSong" w:hAnsi="FangSong" w:eastAsia="FangSong" w:cs="FangSong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575"/>
            <w:spacing w:before="7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57" w:id="29"/>
          <w:bookmarkEnd w:id="29"/>
          <w:hyperlink w:history="true" w:anchor="bookmark58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（三）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组织管理取得突破，减碳实践有序推进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54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59" w:id="30"/>
          <w:bookmarkEnd w:id="30"/>
          <w:hyperlink w:history="true" w:anchor="bookmark6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（四）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产业协同监督为主，减碳赋能步伐加快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57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61" w:id="31"/>
          <w:bookmarkEnd w:id="31"/>
          <w:hyperlink w:history="true" w:anchor="bookmark62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（五）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展望夯实数据基础，强化价值传导能力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59</w:t>
            </w:r>
          </w:hyperlink>
        </w:p>
        <w:p>
          <w:pPr>
            <w:ind w:left="26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63" w:id="32"/>
          <w:bookmarkEnd w:id="32"/>
          <w:hyperlink w:history="true" w:anchor="bookmark64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七、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可持续信息披露发展展望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60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65" w:id="33"/>
          <w:bookmarkEnd w:id="33"/>
          <w:hyperlink w:history="true" w:anchor="bookmark66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（一）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着眼长远，加强企业信息披露能力建设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60</w:t>
            </w:r>
          </w:hyperlink>
        </w:p>
        <w:p>
          <w:pPr>
            <w:ind w:left="575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67" w:id="34"/>
          <w:bookmarkEnd w:id="34"/>
          <w:hyperlink w:history="true" w:anchor="bookmark68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（二）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直面挑战，推动行业披露标准落地实施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62</w:t>
            </w:r>
          </w:hyperlink>
        </w:p>
        <w:p>
          <w:pPr>
            <w:ind w:left="575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69" w:id="35"/>
          <w:bookmarkEnd w:id="35"/>
          <w:hyperlink w:history="true" w:anchor="bookmark70"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（三）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1"/>
              </w:rPr>
              <w:t>群策群力，共建信息披露多元共治体系</w:t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62</w:t>
            </w:r>
          </w:hyperlink>
        </w:p>
        <w:p>
          <w:pPr>
            <w:ind w:left="38"/>
            <w:spacing w:before="230" w:line="216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71" w:id="36"/>
          <w:bookmarkEnd w:id="36"/>
          <w:hyperlink w:history="true" w:anchor="bookmark72">
            <w:r>
              <w:rPr>
                <w:rFonts w:ascii="FangSong" w:hAnsi="FangSong" w:eastAsia="FangSong" w:cs="FangSong"/>
                <w:sz w:val="24"/>
                <w:szCs w:val="24"/>
                <w:spacing w:val="-5"/>
              </w:rPr>
              <w:t>附件：缩略语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64</w:t>
            </w:r>
          </w:hyperlink>
        </w:p>
      </w:sdtContent>
    </w:sdt>
    <w:p>
      <w:pPr>
        <w:spacing w:line="216" w:lineRule="auto"/>
        <w:sectPr>
          <w:pgSz w:w="11907" w:h="16840"/>
          <w:pgMar w:top="400" w:right="1786" w:bottom="0" w:left="1786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sdt>
      <w:sdtPr>
        <w:rPr>
          <w:rFonts w:ascii="SimHei" w:hAnsi="SimHei" w:eastAsia="SimHei" w:cs="SimHei"/>
          <w:sz w:val="31"/>
          <w:szCs w:val="3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3556"/>
            <w:spacing w:before="101" w:line="227" w:lineRule="auto"/>
            <w:rPr>
              <w:rFonts w:ascii="SimHei" w:hAnsi="SimHei" w:eastAsia="SimHei" w:cs="SimHei"/>
              <w:sz w:val="31"/>
              <w:szCs w:val="31"/>
            </w:rPr>
          </w:pPr>
          <w:r>
            <w:rPr>
              <w:rFonts w:ascii="SimHei" w:hAnsi="SimHei" w:eastAsia="SimHei" w:cs="SimHei"/>
              <w:sz w:val="31"/>
              <w:szCs w:val="31"/>
              <w:b/>
              <w:bCs/>
              <w:spacing w:val="-26"/>
            </w:rPr>
            <w:t>图</w:t>
          </w:r>
          <w:r>
            <w:rPr>
              <w:rFonts w:ascii="SimHei" w:hAnsi="SimHei" w:eastAsia="SimHei" w:cs="SimHei"/>
              <w:sz w:val="31"/>
              <w:szCs w:val="31"/>
              <w:spacing w:val="59"/>
            </w:rPr>
            <w:t xml:space="preserve"> </w:t>
          </w:r>
          <w:r>
            <w:rPr>
              <w:rFonts w:ascii="SimHei" w:hAnsi="SimHei" w:eastAsia="SimHei" w:cs="SimHei"/>
              <w:sz w:val="31"/>
              <w:szCs w:val="31"/>
              <w:b/>
              <w:bCs/>
              <w:spacing w:val="-26"/>
            </w:rPr>
            <w:t>目</w:t>
          </w:r>
          <w:r>
            <w:rPr>
              <w:rFonts w:ascii="SimHei" w:hAnsi="SimHei" w:eastAsia="SimHei" w:cs="SimHei"/>
              <w:sz w:val="31"/>
              <w:szCs w:val="31"/>
              <w:spacing w:val="24"/>
            </w:rPr>
            <w:t xml:space="preserve"> </w:t>
          </w:r>
          <w:r>
            <w:rPr>
              <w:rFonts w:ascii="SimHei" w:hAnsi="SimHei" w:eastAsia="SimHei" w:cs="SimHei"/>
              <w:sz w:val="31"/>
              <w:szCs w:val="31"/>
              <w:b/>
              <w:bCs/>
              <w:spacing w:val="-26"/>
            </w:rPr>
            <w:t>录</w:t>
          </w:r>
        </w:p>
        <w:p>
          <w:pPr>
            <w:ind w:left="48"/>
            <w:spacing w:before="203" w:line="184" w:lineRule="auto"/>
            <w:tabs>
              <w:tab w:val="right" w:leader="dot" w:pos="8317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73" w:id="37"/>
          <w:bookmarkEnd w:id="37"/>
          <w:hyperlink w:history="true" w:anchor="bookmark74">
            <w:r>
              <w:rPr>
                <w:rFonts w:ascii="FangSong" w:hAnsi="FangSong" w:eastAsia="FangSong" w:cs="FangSong"/>
                <w:sz w:val="24"/>
                <w:szCs w:val="24"/>
                <w:spacing w:val="-10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1 2010-2022 </w:t>
            </w:r>
            <w:r>
              <w:rPr>
                <w:rFonts w:ascii="FangSong" w:hAnsi="FangSong" w:eastAsia="FangSong" w:cs="FangSong"/>
                <w:sz w:val="24"/>
                <w:szCs w:val="24"/>
                <w:spacing w:val="-10"/>
              </w:rPr>
              <w:t>年互联网企业可持续发展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/</w:t>
            </w:r>
            <w:r>
              <w:rPr>
                <w:rFonts w:ascii="FangSong" w:hAnsi="FangSong" w:eastAsia="FangSong" w:cs="FangSong"/>
                <w:sz w:val="24"/>
                <w:szCs w:val="24"/>
                <w:spacing w:val="-10"/>
              </w:rPr>
              <w:t>社会责任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/ESG </w:t>
            </w:r>
            <w:r>
              <w:rPr>
                <w:rFonts w:ascii="FangSong" w:hAnsi="FangSong" w:eastAsia="FangSong" w:cs="FangSong"/>
                <w:sz w:val="24"/>
                <w:szCs w:val="24"/>
                <w:spacing w:val="-10"/>
              </w:rPr>
              <w:t>报告发布</w:t>
            </w:r>
            <w:r>
              <w:rPr>
                <w:rFonts w:ascii="FangSong" w:hAnsi="FangSong" w:eastAsia="FangSong" w:cs="FangSong"/>
                <w:sz w:val="24"/>
                <w:szCs w:val="24"/>
                <w:spacing w:val="-11"/>
              </w:rPr>
              <w:t>数量变化趋势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>11</w:t>
            </w:r>
          </w:hyperlink>
        </w:p>
        <w:p>
          <w:pPr>
            <w:ind w:left="48"/>
            <w:spacing w:before="229" w:line="216" w:lineRule="auto"/>
            <w:rPr>
              <w:rFonts w:ascii="FangSong" w:hAnsi="FangSong" w:eastAsia="FangSong" w:cs="FangSong"/>
              <w:sz w:val="24"/>
              <w:szCs w:val="24"/>
            </w:rPr>
          </w:pPr>
          <w:bookmarkStart w:name="bookmark75" w:id="38"/>
          <w:bookmarkEnd w:id="38"/>
          <w:hyperlink w:history="true" w:anchor="bookmark76">
            <w:r>
              <w:rPr>
                <w:rFonts w:ascii="FangSong" w:hAnsi="FangSong" w:eastAsia="FangSong" w:cs="FangSong"/>
                <w:sz w:val="24"/>
                <w:szCs w:val="24"/>
                <w:spacing w:val="1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2 2019-2022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9"/>
                <w:w w:val="10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1"/>
              </w:rPr>
              <w:t>年互联网企业可持续发展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/</w:t>
            </w:r>
            <w:r>
              <w:rPr>
                <w:rFonts w:ascii="FangSong" w:hAnsi="FangSong" w:eastAsia="FangSong" w:cs="FangSong"/>
                <w:sz w:val="24"/>
                <w:szCs w:val="24"/>
                <w:spacing w:val="1"/>
              </w:rPr>
              <w:t>社会责任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/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ESG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1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1"/>
              </w:rPr>
              <w:t>报告利益相关方沟通</w:t>
            </w:r>
          </w:hyperlink>
        </w:p>
        <w:p>
          <w:pPr>
            <w:ind w:left="26"/>
            <w:spacing w:before="186" w:line="215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75" w:id="39"/>
          <w:bookmarkEnd w:id="39"/>
          <w:hyperlink w:history="true" w:anchor="bookmark75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和实质性议题分析披露占比</w:t>
            </w:r>
            <w:r>
              <w:rPr>
                <w:rFonts w:ascii="FangSong" w:hAnsi="FangSong" w:eastAsia="FangSong" w:cs="FangSong"/>
                <w:sz w:val="24"/>
                <w:szCs w:val="24"/>
                <w:spacing w:val="-6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13</w:t>
            </w:r>
          </w:hyperlink>
        </w:p>
        <w:p>
          <w:pPr>
            <w:ind w:left="48"/>
            <w:spacing w:before="185" w:line="186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77" w:id="40"/>
          <w:bookmarkEnd w:id="40"/>
          <w:hyperlink w:history="true" w:anchor="bookmark78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互联网企业可持续发展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/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社会责任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/ESG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报告类别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14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79" w:id="41"/>
          <w:bookmarkEnd w:id="41"/>
          <w:hyperlink w:history="true" w:anchor="bookmark80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4 2010-2022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年互联网企业发布</w:t>
            </w:r>
            <w:r>
              <w:rPr>
                <w:rFonts w:ascii="FangSong" w:hAnsi="FangSong" w:eastAsia="FangSong" w:cs="FangSong"/>
                <w:sz w:val="24"/>
                <w:szCs w:val="24"/>
                <w:spacing w:val="-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ESG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报告数量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及占比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14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81" w:id="42"/>
          <w:bookmarkEnd w:id="42"/>
          <w:hyperlink w:history="true" w:anchor="bookmark82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 2010-2022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年互联网企业发布专项报告数量及占比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15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83" w:id="43"/>
          <w:bookmarkEnd w:id="43"/>
          <w:hyperlink w:history="true" w:anchor="bookmark84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6 2022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年中国互联网综合实力与报告数量分布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17</w:t>
            </w:r>
          </w:hyperlink>
        </w:p>
        <w:p>
          <w:pPr>
            <w:ind w:left="48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85" w:id="44"/>
          <w:bookmarkEnd w:id="44"/>
          <w:hyperlink w:history="true" w:anchor="bookmark86"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 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互联网企业累计发布可持续发展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/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社会责任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/ESG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</w:rPr>
              <w:t xml:space="preserve"> </w:t>
            </w:r>
            <w:r>
              <w:rPr>
                <w:rFonts w:ascii="FangSong" w:hAnsi="FangSong" w:eastAsia="FangSong" w:cs="FangSong"/>
                <w:sz w:val="24"/>
                <w:szCs w:val="24"/>
                <w:spacing w:val="-2"/>
              </w:rPr>
              <w:t>报告（非专项）数量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18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87" w:id="45"/>
          <w:bookmarkEnd w:id="45"/>
          <w:hyperlink w:history="true" w:anchor="bookmark88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简单罗列式信息披露参照依据及披露占比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19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89" w:id="46"/>
          <w:bookmarkEnd w:id="46"/>
          <w:hyperlink w:history="true" w:anchor="bookmark90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指标索引式信息披露参照依据及披露占比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20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91" w:id="47"/>
          <w:bookmarkEnd w:id="47"/>
          <w:hyperlink w:history="true" w:anchor="bookmark92">
            <w:r>
              <w:rPr>
                <w:rFonts w:ascii="FangSong" w:hAnsi="FangSong" w:eastAsia="FangSong" w:cs="FangSong"/>
                <w:sz w:val="24"/>
                <w:szCs w:val="24"/>
                <w:spacing w:val="-4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10  </w:t>
            </w:r>
            <w:r>
              <w:rPr>
                <w:rFonts w:ascii="FangSong" w:hAnsi="FangSong" w:eastAsia="FangSong" w:cs="FangSong"/>
                <w:sz w:val="24"/>
                <w:szCs w:val="24"/>
                <w:spacing w:val="-4"/>
              </w:rPr>
              <w:t>可持续发展核心主题披露率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21</w:t>
            </w:r>
          </w:hyperlink>
        </w:p>
        <w:p>
          <w:pPr>
            <w:ind w:left="48"/>
            <w:spacing w:before="226" w:line="186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93" w:id="48"/>
          <w:bookmarkEnd w:id="48"/>
          <w:hyperlink w:history="true" w:anchor="bookmark94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11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互联网行业环境议题各核心主题信息披露程度占比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22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95" w:id="49"/>
          <w:bookmarkEnd w:id="49"/>
          <w:hyperlink w:history="true" w:anchor="bookmark96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12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互联网行业治理议题各核心主题信息披露程度占比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23</w:t>
            </w:r>
          </w:hyperlink>
        </w:p>
        <w:p>
          <w:pPr>
            <w:ind w:left="48"/>
            <w:spacing w:before="22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97" w:id="50"/>
          <w:bookmarkEnd w:id="50"/>
          <w:hyperlink w:history="true" w:anchor="bookmark98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13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互联网行业社会议题各核心主题信息披露程度占比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24</w:t>
            </w:r>
          </w:hyperlink>
        </w:p>
        <w:p>
          <w:pPr>
            <w:ind w:left="48"/>
            <w:spacing w:before="22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99" w:id="51"/>
          <w:bookmarkEnd w:id="51"/>
          <w:hyperlink w:history="true" w:anchor="bookmark100"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14  </w:t>
            </w:r>
            <w:r>
              <w:rPr>
                <w:rFonts w:ascii="FangSong" w:hAnsi="FangSong" w:eastAsia="FangSong" w:cs="FangSong"/>
                <w:sz w:val="24"/>
                <w:szCs w:val="24"/>
                <w:spacing w:val="-3"/>
              </w:rPr>
              <w:t>个人信息及用户隐私保护各信息点披露占比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27</w:t>
            </w:r>
          </w:hyperlink>
        </w:p>
        <w:p>
          <w:pPr>
            <w:ind w:left="48"/>
            <w:spacing w:before="230" w:line="216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101" w:id="52"/>
          <w:bookmarkEnd w:id="52"/>
          <w:hyperlink w:history="true" w:anchor="bookmark102">
            <w:r>
              <w:rPr>
                <w:rFonts w:ascii="FangSong" w:hAnsi="FangSong" w:eastAsia="FangSong" w:cs="FangSong"/>
                <w:sz w:val="24"/>
                <w:szCs w:val="24"/>
                <w:spacing w:val="-5"/>
              </w:rPr>
              <w:t>图</w:t>
            </w:r>
            <w:r>
              <w:rPr>
                <w:rFonts w:ascii="FangSong" w:hAnsi="FangSong" w:eastAsia="FangSong" w:cs="FangSong"/>
                <w:sz w:val="24"/>
                <w:szCs w:val="24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15  </w:t>
            </w:r>
            <w:r>
              <w:rPr>
                <w:rFonts w:ascii="FangSong" w:hAnsi="FangSong" w:eastAsia="FangSong" w:cs="FangSong"/>
                <w:sz w:val="24"/>
                <w:szCs w:val="24"/>
                <w:spacing w:val="-5"/>
              </w:rPr>
              <w:t>碳信息各信息点披露占比</w:t>
            </w:r>
            <w:r>
              <w:rPr>
                <w:rFonts w:ascii="FangSong" w:hAnsi="FangSong" w:eastAsia="FangSong" w:cs="FangSong"/>
                <w:sz w:val="24"/>
                <w:szCs w:val="24"/>
              </w:rPr>
              <w:tab/>
            </w:r>
            <w:r>
              <w:rPr>
                <w:rFonts w:ascii="FangSong" w:hAnsi="FangSong" w:eastAsia="FangSong" w:cs="FangSong"/>
                <w:sz w:val="24"/>
                <w:szCs w:val="24"/>
                <w:spacing w:val="-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51</w:t>
            </w:r>
          </w:hyperlink>
        </w:p>
      </w:sdtContent>
    </w:sdt>
    <w:p>
      <w:pPr>
        <w:spacing w:line="216" w:lineRule="auto"/>
        <w:sectPr>
          <w:pgSz w:w="11907" w:h="16840"/>
          <w:pgMar w:top="400" w:right="1786" w:bottom="0" w:left="1786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BodyText"/>
        <w:spacing w:line="356" w:lineRule="auto"/>
        <w:rPr/>
      </w:pPr>
      <w:r/>
    </w:p>
    <w:p>
      <w:pPr>
        <w:ind w:left="1092"/>
        <w:spacing w:before="101" w:line="227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1" w:id="53"/>
      <w:bookmarkEnd w:id="53"/>
      <w:r>
        <w:rPr>
          <w:rFonts w:ascii="SimHei" w:hAnsi="SimHei" w:eastAsia="SimHei" w:cs="SimHei"/>
          <w:sz w:val="31"/>
          <w:szCs w:val="31"/>
          <w:spacing w:val="8"/>
        </w:rPr>
        <w:t>一、可持续信息披露作用及意义</w:t>
      </w:r>
    </w:p>
    <w:p>
      <w:pPr>
        <w:ind w:left="1112"/>
        <w:spacing w:before="243" w:line="229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2" w:id="54"/>
      <w:bookmarkEnd w:id="54"/>
      <w:bookmarkStart w:name="bookmark4" w:id="55"/>
      <w:bookmarkEnd w:id="55"/>
      <w:bookmarkStart w:name="bookmark3" w:id="56"/>
      <w:bookmarkEnd w:id="56"/>
      <w:r>
        <w:rPr>
          <w:rFonts w:ascii="KaiTi" w:hAnsi="KaiTi" w:eastAsia="KaiTi" w:cs="KaiTi"/>
          <w:sz w:val="31"/>
          <w:szCs w:val="31"/>
          <w:b/>
          <w:bCs/>
          <w:spacing w:val="6"/>
        </w:rPr>
        <w:t>（一）社会责任及</w:t>
      </w:r>
      <w:r>
        <w:rPr>
          <w:rFonts w:ascii="KaiTi" w:hAnsi="KaiTi" w:eastAsia="KaiTi" w:cs="KaiTi"/>
          <w:sz w:val="31"/>
          <w:szCs w:val="31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31"/>
          <w:szCs w:val="31"/>
          <w:b/>
          <w:bCs/>
        </w:rPr>
        <w:t>ESG</w:t>
      </w:r>
      <w:r>
        <w:rPr>
          <w:rFonts w:ascii="Times New Roman" w:hAnsi="Times New Roman" w:eastAsia="Times New Roman" w:cs="Times New Roman"/>
          <w:sz w:val="31"/>
          <w:szCs w:val="31"/>
          <w:b/>
          <w:bCs/>
          <w:spacing w:val="6"/>
        </w:rPr>
        <w:t xml:space="preserve"> </w:t>
      </w:r>
      <w:r>
        <w:rPr>
          <w:rFonts w:ascii="KaiTi" w:hAnsi="KaiTi" w:eastAsia="KaiTi" w:cs="KaiTi"/>
          <w:sz w:val="31"/>
          <w:szCs w:val="31"/>
          <w:b/>
          <w:bCs/>
          <w:spacing w:val="6"/>
        </w:rPr>
        <w:t>是推动可持续发展重要方式</w:t>
      </w:r>
    </w:p>
    <w:p>
      <w:pPr>
        <w:ind w:left="1008"/>
        <w:spacing w:before="144" w:line="624" w:lineRule="exact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5"/>
          <w:position w:val="9"/>
        </w:rPr>
        <w:t>可持续发展</w:t>
      </w:r>
      <w:r>
        <w:rPr>
          <w:rFonts w:ascii="FangSong" w:hAnsi="FangSong" w:eastAsia="FangSong" w:cs="FangSong"/>
          <w:sz w:val="28"/>
          <w:szCs w:val="28"/>
          <w:spacing w:val="-5"/>
          <w:position w:val="9"/>
        </w:rPr>
        <w:t>，最早出现于</w:t>
      </w:r>
      <w:r>
        <w:rPr>
          <w:rFonts w:ascii="FangSong" w:hAnsi="FangSong" w:eastAsia="FangSong" w:cs="FangSong"/>
          <w:sz w:val="28"/>
          <w:szCs w:val="28"/>
          <w:spacing w:val="-35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  <w:position w:val="9"/>
        </w:rPr>
        <w:t>1980 </w:t>
      </w:r>
      <w:r>
        <w:rPr>
          <w:rFonts w:ascii="FangSong" w:hAnsi="FangSong" w:eastAsia="FangSong" w:cs="FangSong"/>
          <w:sz w:val="28"/>
          <w:szCs w:val="28"/>
          <w:spacing w:val="-5"/>
          <w:position w:val="9"/>
        </w:rPr>
        <w:t>年国际自然保护同盟的《</w:t>
      </w:r>
      <w:hyperlink w:history="true" r:id="rId10">
        <w:r>
          <w:rPr>
            <w:rFonts w:ascii="FangSong" w:hAnsi="FangSong" w:eastAsia="FangSong" w:cs="FangSong"/>
            <w:sz w:val="28"/>
            <w:szCs w:val="28"/>
            <w:spacing w:val="-5"/>
            <w:position w:val="9"/>
          </w:rPr>
          <w:t>世界</w:t>
        </w:r>
      </w:hyperlink>
    </w:p>
    <w:p>
      <w:pPr>
        <w:ind w:left="442" w:firstLine="52"/>
        <w:spacing w:before="170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自然资源保护大纲》。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1987 </w:t>
      </w:r>
      <w:r>
        <w:rPr>
          <w:rFonts w:ascii="FangSong" w:hAnsi="FangSong" w:eastAsia="FangSong" w:cs="FangSong"/>
          <w:sz w:val="28"/>
          <w:szCs w:val="28"/>
          <w:spacing w:val="-3"/>
        </w:rPr>
        <w:t>年世界环境与发展委员会出版《我们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共同的未来》报告，首次将可持续发展定义为：</w:t>
      </w:r>
      <w:r>
        <w:rPr>
          <w:rFonts w:ascii="FangSong" w:hAnsi="FangSong" w:eastAsia="FangSong" w:cs="FangSong"/>
          <w:sz w:val="28"/>
          <w:szCs w:val="28"/>
          <w:spacing w:val="-8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</w:t>
      </w:r>
      <w:r>
        <w:rPr>
          <w:rFonts w:ascii="FangSong" w:hAnsi="FangSong" w:eastAsia="FangSong" w:cs="FangSong"/>
          <w:sz w:val="28"/>
          <w:szCs w:val="28"/>
          <w:spacing w:val="-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既能满足当代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5"/>
        </w:rPr>
        <w:t>人的需要，又不对后代人满足其需要的能力构成危害的发展</w:t>
      </w:r>
      <w:r>
        <w:rPr>
          <w:rFonts w:ascii="FangSong" w:hAnsi="FangSong" w:eastAsia="FangSong" w:cs="FangSong"/>
          <w:sz w:val="28"/>
          <w:szCs w:val="28"/>
          <w:spacing w:val="4"/>
        </w:rPr>
        <w:t>。</w:t>
      </w:r>
      <w:r>
        <w:rPr>
          <w:rFonts w:ascii="FangSong" w:hAnsi="FangSong" w:eastAsia="FangSong" w:cs="FangSong"/>
          <w:sz w:val="28"/>
          <w:szCs w:val="28"/>
          <w:spacing w:val="-10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”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1994 </w:t>
      </w:r>
      <w:r>
        <w:rPr>
          <w:rFonts w:ascii="FangSong" w:hAnsi="FangSong" w:eastAsia="FangSong" w:cs="FangSong"/>
          <w:sz w:val="28"/>
          <w:szCs w:val="28"/>
          <w:spacing w:val="1"/>
        </w:rPr>
        <w:t>年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月，我国政府编制《中国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21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世纪人口、环境与发展白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皮书》首次把可持续发展战略纳入中国经济和社会发展的长远规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4"/>
        </w:rPr>
        <w:t>划。</w:t>
      </w:r>
    </w:p>
    <w:p>
      <w:pPr>
        <w:ind w:left="441" w:right="76" w:firstLine="561"/>
        <w:spacing w:before="42" w:line="40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"/>
        </w:rPr>
        <w:t>社会责任</w:t>
      </w:r>
      <w:r>
        <w:rPr>
          <w:rFonts w:ascii="FangSong" w:hAnsi="FangSong" w:eastAsia="FangSong" w:cs="FangSong"/>
          <w:sz w:val="28"/>
          <w:szCs w:val="28"/>
          <w:spacing w:val="-1"/>
        </w:rPr>
        <w:t>（企业社会责任</w:t>
      </w:r>
      <w:r>
        <w:rPr>
          <w:rFonts w:ascii="FangSong" w:hAnsi="FangSong" w:eastAsia="FangSong" w:cs="FangSong"/>
          <w:sz w:val="28"/>
          <w:szCs w:val="28"/>
          <w:spacing w:val="7"/>
        </w:rPr>
        <w:t>）：</w:t>
      </w:r>
      <w:r>
        <w:rPr>
          <w:rFonts w:ascii="FangSong" w:hAnsi="FangSong" w:eastAsia="FangSong" w:cs="FangSong"/>
          <w:sz w:val="28"/>
          <w:szCs w:val="28"/>
          <w:spacing w:val="-1"/>
        </w:rPr>
        <w:t>是指企业通过透明和合乎道德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的行为为其决策和活动对社会和环境的影响而担当的责任。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6"/>
        </w:rPr>
        <w:t>ESG</w:t>
      </w:r>
      <w:r>
        <w:rPr>
          <w:rFonts w:ascii="FangSong" w:hAnsi="FangSong" w:eastAsia="FangSong" w:cs="FangSong"/>
          <w:sz w:val="28"/>
          <w:szCs w:val="28"/>
          <w:spacing w:val="-6"/>
        </w:rPr>
        <w:t>：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环境（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Environmental</w:t>
      </w:r>
      <w:r>
        <w:rPr>
          <w:rFonts w:ascii="FangSong" w:hAnsi="FangSong" w:eastAsia="FangSong" w:cs="FangSong"/>
          <w:sz w:val="28"/>
          <w:szCs w:val="28"/>
          <w:spacing w:val="-1"/>
        </w:rPr>
        <w:t>）、社会（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Social</w:t>
      </w:r>
      <w:r>
        <w:rPr>
          <w:rFonts w:ascii="FangSong" w:hAnsi="FangSong" w:eastAsia="FangSong" w:cs="FangSong"/>
          <w:sz w:val="28"/>
          <w:szCs w:val="28"/>
          <w:spacing w:val="-1"/>
        </w:rPr>
        <w:t>）、治理（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Governance</w:t>
      </w:r>
      <w:r>
        <w:rPr>
          <w:rFonts w:ascii="FangSong" w:hAnsi="FangSong" w:eastAsia="FangSong" w:cs="FangSong"/>
          <w:sz w:val="28"/>
          <w:szCs w:val="28"/>
          <w:spacing w:val="-1"/>
        </w:rPr>
        <w:t>）三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个英文单词的首字母缩写，一是强调企业践行</w:t>
      </w:r>
      <w:r>
        <w:rPr>
          <w:rFonts w:ascii="FangSong" w:hAnsi="FangSong" w:eastAsia="FangSong" w:cs="FangSong"/>
          <w:sz w:val="28"/>
          <w:szCs w:val="28"/>
          <w:spacing w:val="-1"/>
        </w:rPr>
        <w:t>环境责任，在生产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及运营过程中对环境所采取的保护措施以及保</w:t>
      </w:r>
      <w:r>
        <w:rPr>
          <w:rFonts w:ascii="FangSong" w:hAnsi="FangSong" w:eastAsia="FangSong" w:cs="FangSong"/>
          <w:sz w:val="28"/>
          <w:szCs w:val="28"/>
          <w:spacing w:val="-1"/>
        </w:rPr>
        <w:t>护效果；二是强调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企业的生产及运营过程遵循合规要求，重视与</w:t>
      </w:r>
      <w:r>
        <w:rPr>
          <w:rFonts w:ascii="FangSong" w:hAnsi="FangSong" w:eastAsia="FangSong" w:cs="FangSong"/>
          <w:sz w:val="28"/>
          <w:szCs w:val="28"/>
          <w:spacing w:val="-1"/>
        </w:rPr>
        <w:t>社会及各利益相关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方的内在联系和互相影响；三是强调企业所有</w:t>
      </w:r>
      <w:r>
        <w:rPr>
          <w:rFonts w:ascii="FangSong" w:hAnsi="FangSong" w:eastAsia="FangSong" w:cs="FangSong"/>
          <w:sz w:val="28"/>
          <w:szCs w:val="28"/>
          <w:spacing w:val="-1"/>
        </w:rPr>
        <w:t>者在企业经营管理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过程中，完善科学合理的企业管理制度体系，</w:t>
      </w:r>
      <w:r>
        <w:rPr>
          <w:rFonts w:ascii="FangSong" w:hAnsi="FangSong" w:eastAsia="FangSong" w:cs="FangSong"/>
          <w:sz w:val="28"/>
          <w:szCs w:val="28"/>
          <w:spacing w:val="-1"/>
        </w:rPr>
        <w:t>以实现公司的经济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收益和社会效益最大化。社会责任与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在概念内涵、核心主题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上具有明显相似之处，同时，也存在一些差异</w:t>
      </w:r>
      <w:r>
        <w:rPr>
          <w:rFonts w:ascii="FangSong" w:hAnsi="FangSong" w:eastAsia="FangSong" w:cs="FangSong"/>
          <w:sz w:val="28"/>
          <w:szCs w:val="28"/>
          <w:spacing w:val="-1"/>
        </w:rPr>
        <w:t>之处，如社会责任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又更重</w:t>
      </w:r>
      <w:r>
        <w:rPr>
          <w:rFonts w:ascii="FangSong" w:hAnsi="FangSong" w:eastAsia="FangSong" w:cs="FangSong"/>
          <w:sz w:val="28"/>
          <w:szCs w:val="28"/>
          <w:spacing w:val="-9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“性质”体现，多用来体现企业发展理念或价值导向，更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注重口碑建立及品牌推广，而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更重“量</w:t>
      </w:r>
      <w:r>
        <w:rPr>
          <w:rFonts w:ascii="FangSong" w:hAnsi="FangSong" w:eastAsia="FangSong" w:cs="FangSong"/>
          <w:sz w:val="28"/>
          <w:szCs w:val="28"/>
          <w:spacing w:val="-4"/>
        </w:rPr>
        <w:t>值”体现，多用来反</w:t>
      </w:r>
    </w:p>
    <w:p>
      <w:pPr>
        <w:spacing w:line="409" w:lineRule="auto"/>
        <w:sectPr>
          <w:headerReference w:type="default" r:id="rId8"/>
          <w:footerReference w:type="default" r:id="rId9"/>
          <w:pgSz w:w="11906" w:h="16839"/>
          <w:pgMar w:top="1134" w:right="1659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53" w:right="100" w:firstLine="5"/>
        <w:spacing w:before="91" w:line="39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映企业在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方面所做的具体实效，也与金融、投融</w:t>
      </w:r>
      <w:r>
        <w:rPr>
          <w:rFonts w:ascii="FangSong" w:hAnsi="FangSong" w:eastAsia="FangSong" w:cs="FangSong"/>
          <w:sz w:val="28"/>
          <w:szCs w:val="28"/>
          <w:spacing w:val="-4"/>
        </w:rPr>
        <w:t>资等关系更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为密切。</w:t>
      </w:r>
    </w:p>
    <w:p>
      <w:pPr>
        <w:ind w:left="449" w:right="13" w:firstLine="552"/>
        <w:spacing w:before="40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3"/>
        </w:rPr>
        <w:t>践行社会责任和</w:t>
      </w:r>
      <w:r>
        <w:rPr>
          <w:rFonts w:ascii="SimHei" w:hAnsi="SimHei" w:eastAsia="SimHei" w:cs="SimHei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SimHei" w:hAnsi="SimHei" w:eastAsia="SimHei" w:cs="SimHei"/>
          <w:sz w:val="28"/>
          <w:szCs w:val="28"/>
          <w:spacing w:val="-3"/>
        </w:rPr>
        <w:t>理念是实现可持续发展的重要维度</w:t>
      </w:r>
      <w:r>
        <w:rPr>
          <w:rFonts w:ascii="FangSong" w:hAnsi="FangSong" w:eastAsia="FangSong" w:cs="FangSong"/>
          <w:sz w:val="28"/>
          <w:szCs w:val="28"/>
          <w:spacing w:val="-3"/>
        </w:rPr>
        <w:t>。企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业在生产经营过程中，关注自身影响，积极履行其对环境、社会、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治理所承担的责任，尝试将经济效益、社会效益和环境效益有机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"/>
        </w:rPr>
        <w:t>结合，实现自身可持续发展。同时通过投资机构引导资本流向社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3"/>
        </w:rPr>
        <w:t>会责任及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表现良好的企业、通过引导消费者及公众购买社会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责任及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表现良好企业的产品及服务，从而推动整个行业及经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济体系的可持续发展。</w:t>
      </w:r>
    </w:p>
    <w:p>
      <w:pPr>
        <w:ind w:left="1112"/>
        <w:spacing w:before="87" w:line="229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6" w:id="57"/>
      <w:bookmarkEnd w:id="57"/>
      <w:bookmarkStart w:name="bookmark5" w:id="58"/>
      <w:bookmarkEnd w:id="58"/>
      <w:r>
        <w:rPr>
          <w:rFonts w:ascii="KaiTi" w:hAnsi="KaiTi" w:eastAsia="KaiTi" w:cs="KaiTi"/>
          <w:sz w:val="31"/>
          <w:szCs w:val="31"/>
          <w:b/>
          <w:bCs/>
          <w:spacing w:val="6"/>
        </w:rPr>
        <w:t>（二）信息披露对推动可持续发展具有重要意义</w:t>
      </w:r>
    </w:p>
    <w:p>
      <w:pPr>
        <w:ind w:left="440" w:firstLine="564"/>
        <w:spacing w:before="312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"/>
        </w:rPr>
        <w:t>信息披露作为实现可持续发展的重要着眼点</w:t>
      </w:r>
      <w:r>
        <w:rPr>
          <w:rFonts w:ascii="FangSong" w:hAnsi="FangSong" w:eastAsia="FangSong" w:cs="FangSong"/>
          <w:sz w:val="28"/>
          <w:szCs w:val="28"/>
          <w:spacing w:val="-1"/>
        </w:rPr>
        <w:t>，主要关注企业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 </w:t>
      </w:r>
      <w:r>
        <w:rPr>
          <w:rFonts w:ascii="FangSong" w:hAnsi="FangSong" w:eastAsia="FangSong" w:cs="FangSong"/>
          <w:sz w:val="28"/>
          <w:szCs w:val="28"/>
        </w:rPr>
        <w:t>根据不同利益相关方的期望和诉求，披露其对可</w:t>
      </w:r>
      <w:r>
        <w:rPr>
          <w:rFonts w:ascii="FangSong" w:hAnsi="FangSong" w:eastAsia="FangSong" w:cs="FangSong"/>
          <w:sz w:val="28"/>
          <w:szCs w:val="28"/>
          <w:spacing w:val="-1"/>
        </w:rPr>
        <w:t>持续发展的理念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</w:rPr>
        <w:t>认知、管理能力以及绩效表现等信息的情况。鉴</w:t>
      </w:r>
      <w:r>
        <w:rPr>
          <w:rFonts w:ascii="FangSong" w:hAnsi="FangSong" w:eastAsia="FangSong" w:cs="FangSong"/>
          <w:sz w:val="28"/>
          <w:szCs w:val="28"/>
          <w:spacing w:val="-1"/>
        </w:rPr>
        <w:t>于可持续发展与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6"/>
        </w:rPr>
        <w:t>社会责任、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ESG </w:t>
      </w:r>
      <w:r>
        <w:rPr>
          <w:rFonts w:ascii="FangSong" w:hAnsi="FangSong" w:eastAsia="FangSong" w:cs="FangSong"/>
          <w:sz w:val="28"/>
          <w:szCs w:val="28"/>
          <w:spacing w:val="-6"/>
        </w:rPr>
        <w:t>概念之间的关联，</w:t>
      </w:r>
      <w:r>
        <w:rPr>
          <w:rFonts w:ascii="SimHei" w:hAnsi="SimHei" w:eastAsia="SimHei" w:cs="SimHei"/>
          <w:sz w:val="28"/>
          <w:szCs w:val="28"/>
          <w:spacing w:val="-6"/>
        </w:rPr>
        <w:t>可持续信息包括社会责任信息、</w:t>
      </w:r>
      <w:r>
        <w:rPr>
          <w:rFonts w:ascii="SimHei" w:hAnsi="SimHei" w:eastAsia="SimHei" w:cs="SimHei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ESG </w:t>
      </w:r>
      <w:r>
        <w:rPr>
          <w:rFonts w:ascii="SimHei" w:hAnsi="SimHei" w:eastAsia="SimHei" w:cs="SimHei"/>
          <w:sz w:val="28"/>
          <w:szCs w:val="28"/>
        </w:rPr>
        <w:t>信息等</w:t>
      </w:r>
      <w:r>
        <w:rPr>
          <w:rFonts w:ascii="FangSong" w:hAnsi="FangSong" w:eastAsia="FangSong" w:cs="FangSong"/>
          <w:sz w:val="28"/>
          <w:szCs w:val="28"/>
        </w:rPr>
        <w:t>，而可持续信息披露（以下简称：</w:t>
      </w:r>
      <w:r>
        <w:rPr>
          <w:rFonts w:ascii="FangSong" w:hAnsi="FangSong" w:eastAsia="FangSong" w:cs="FangSong"/>
          <w:sz w:val="28"/>
          <w:szCs w:val="28"/>
          <w:spacing w:val="-1"/>
        </w:rPr>
        <w:t>信息披露、信披）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需要企业在内部构建完善相关信息披露管理机制</w:t>
      </w:r>
      <w:r>
        <w:rPr>
          <w:rFonts w:ascii="FangSong" w:hAnsi="FangSong" w:eastAsia="FangSong" w:cs="FangSong"/>
          <w:sz w:val="28"/>
          <w:szCs w:val="28"/>
          <w:spacing w:val="-1"/>
        </w:rPr>
        <w:t>，主动或被动开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</w:rPr>
        <w:t>展披露工作，从而持续提升政府、投资机构、社</w:t>
      </w:r>
      <w:r>
        <w:rPr>
          <w:rFonts w:ascii="FangSong" w:hAnsi="FangSong" w:eastAsia="FangSong" w:cs="FangSong"/>
          <w:sz w:val="28"/>
          <w:szCs w:val="28"/>
          <w:spacing w:val="-1"/>
        </w:rPr>
        <w:t>会公众等各利益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"/>
        </w:rPr>
        <w:t>相关方满意度，促进企业业务发展。</w:t>
      </w:r>
    </w:p>
    <w:p>
      <w:pPr>
        <w:ind w:left="442" w:right="100" w:firstLine="567"/>
        <w:spacing w:before="47" w:line="404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鉴于上述概念及意义，</w:t>
      </w:r>
      <w:r>
        <w:rPr>
          <w:rFonts w:ascii="SimHei" w:hAnsi="SimHei" w:eastAsia="SimHei" w:cs="SimHei"/>
          <w:sz w:val="28"/>
          <w:szCs w:val="28"/>
          <w:spacing w:val="1"/>
        </w:rPr>
        <w:t>本报告以可持续信息披露为切入点，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以互联网行业为研究对象，以社会公众为观察视角，从法律法规</w:t>
      </w:r>
      <w:r>
        <w:rPr>
          <w:rFonts w:ascii="SimHei" w:hAnsi="SimHei" w:eastAsia="SimHei" w:cs="SimHei"/>
          <w:sz w:val="28"/>
          <w:szCs w:val="28"/>
          <w:spacing w:val="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政策标准要求、行业整体实践情况、特色主题实践情况维度，系</w:t>
      </w:r>
      <w:r>
        <w:rPr>
          <w:rFonts w:ascii="SimHei" w:hAnsi="SimHei" w:eastAsia="SimHei" w:cs="SimHei"/>
          <w:sz w:val="28"/>
          <w:szCs w:val="28"/>
          <w:spacing w:val="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统研究互联网行业可持续信息披露的发展态势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</w:p>
    <w:p>
      <w:pPr>
        <w:spacing w:line="404" w:lineRule="auto"/>
        <w:sectPr>
          <w:headerReference w:type="default" r:id="rId11"/>
          <w:footerReference w:type="default" r:id="rId12"/>
          <w:pgSz w:w="11906" w:h="16839"/>
          <w:pgMar w:top="1134" w:right="1699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57" w:lineRule="auto"/>
        <w:rPr/>
      </w:pPr>
      <w:r/>
    </w:p>
    <w:p>
      <w:pPr>
        <w:ind w:left="1092"/>
        <w:spacing w:before="100" w:line="226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7" w:id="59"/>
      <w:bookmarkEnd w:id="59"/>
      <w:r>
        <w:rPr>
          <w:rFonts w:ascii="SimHei" w:hAnsi="SimHei" w:eastAsia="SimHei" w:cs="SimHei"/>
          <w:sz w:val="31"/>
          <w:szCs w:val="31"/>
          <w:spacing w:val="8"/>
        </w:rPr>
        <w:t>二、可持续信息披露要求发展态势</w:t>
      </w:r>
    </w:p>
    <w:p>
      <w:pPr>
        <w:ind w:left="1112"/>
        <w:spacing w:before="243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8" w:id="60"/>
      <w:bookmarkEnd w:id="60"/>
      <w:bookmarkStart w:name="bookmark10" w:id="61"/>
      <w:bookmarkEnd w:id="61"/>
      <w:bookmarkStart w:name="bookmark9" w:id="62"/>
      <w:bookmarkEnd w:id="62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（一）多元驱动，生态系统提速构建</w:t>
      </w:r>
    </w:p>
    <w:p>
      <w:pPr>
        <w:ind w:left="999"/>
        <w:spacing w:before="150" w:line="624" w:lineRule="exact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4"/>
          <w:position w:val="9"/>
        </w:rPr>
        <w:t>2023 </w:t>
      </w:r>
      <w:r>
        <w:rPr>
          <w:rFonts w:ascii="FangSong" w:hAnsi="FangSong" w:eastAsia="FangSong" w:cs="FangSong"/>
          <w:sz w:val="28"/>
          <w:szCs w:val="28"/>
          <w:spacing w:val="-4"/>
          <w:position w:val="9"/>
        </w:rPr>
        <w:t>年，政府监管、资本驱动、</w:t>
      </w:r>
      <w:hyperlink w:history="true" w:anchor="bookmark103">
        <w:r>
          <w:rPr>
            <w:rFonts w:ascii="FangSong" w:hAnsi="FangSong" w:eastAsia="FangSong" w:cs="FangSong"/>
            <w:sz w:val="28"/>
            <w:szCs w:val="28"/>
            <w:spacing w:val="-4"/>
            <w:position w:val="9"/>
          </w:rPr>
          <w:t>利益相关方</w:t>
        </w:r>
        <w:r>
          <w:rPr>
            <w:rFonts w:ascii="Times New Roman" w:hAnsi="Times New Roman" w:eastAsia="Times New Roman" w:cs="Times New Roman"/>
            <w:sz w:val="18"/>
            <w:szCs w:val="18"/>
            <w:spacing w:val="-4"/>
            <w:position w:val="9"/>
          </w:rPr>
          <w:t>1</w:t>
        </w:r>
      </w:hyperlink>
      <w:r>
        <w:rPr>
          <w:rFonts w:ascii="FangSong" w:hAnsi="FangSong" w:eastAsia="FangSong" w:cs="FangSong"/>
          <w:sz w:val="28"/>
          <w:szCs w:val="28"/>
          <w:spacing w:val="-4"/>
          <w:position w:val="9"/>
        </w:rPr>
        <w:t>参与等作为可持</w:t>
      </w:r>
    </w:p>
    <w:p>
      <w:pPr>
        <w:ind w:left="448" w:right="175" w:firstLine="5"/>
        <w:spacing w:before="173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续信息披露发展的重要推动力量，继续发挥着巨大作用，</w:t>
      </w:r>
      <w:r>
        <w:rPr>
          <w:rFonts w:ascii="FangSong" w:hAnsi="FangSong" w:eastAsia="FangSong" w:cs="FangSong"/>
          <w:sz w:val="28"/>
          <w:szCs w:val="28"/>
        </w:rPr>
        <w:t>全球可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持续信息披露生态系统正处于快速建设周期。</w:t>
      </w:r>
    </w:p>
    <w:p>
      <w:pPr>
        <w:ind w:left="438" w:firstLine="581"/>
        <w:spacing w:before="49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"/>
        </w:rPr>
        <w:t>国际层面，</w:t>
      </w:r>
      <w:r>
        <w:rPr>
          <w:rFonts w:ascii="FangSong" w:hAnsi="FangSong" w:eastAsia="FangSong" w:cs="FangSong"/>
          <w:sz w:val="28"/>
          <w:szCs w:val="28"/>
          <w:spacing w:val="-1"/>
        </w:rPr>
        <w:t>欧洲延续</w:t>
      </w:r>
      <w:r>
        <w:rPr>
          <w:rFonts w:ascii="FangSong" w:hAnsi="FangSong" w:eastAsia="FangSong" w:cs="FangSong"/>
          <w:sz w:val="28"/>
          <w:szCs w:val="28"/>
          <w:spacing w:val="-9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“政策法规先行”路线，进一步强化对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3"/>
        </w:rPr>
        <w:t>企业可持续发展、社会责任及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信息披露相关要求。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3 </w:t>
      </w:r>
      <w:r>
        <w:rPr>
          <w:rFonts w:ascii="FangSong" w:hAnsi="FangSong" w:eastAsia="FangSong" w:cs="FangSong"/>
          <w:sz w:val="28"/>
          <w:szCs w:val="28"/>
          <w:spacing w:val="-4"/>
        </w:rPr>
        <w:t>年</w:t>
      </w:r>
      <w:r>
        <w:rPr>
          <w:rFonts w:ascii="FangSong" w:hAnsi="FangSong" w:eastAsia="FangSong" w:cs="FangSong"/>
          <w:sz w:val="28"/>
          <w:szCs w:val="28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-2"/>
        </w:rPr>
        <w:t>月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spacing w:val="6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日欧盟《企业可持续发展报告指令》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(Corporate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Sustainability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>Reporting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Directive</w:t>
      </w:r>
      <w:r>
        <w:rPr>
          <w:rFonts w:ascii="FangSong" w:hAnsi="FangSong" w:eastAsia="FangSong" w:cs="FangSong"/>
          <w:sz w:val="28"/>
          <w:szCs w:val="28"/>
          <w:spacing w:val="2"/>
        </w:rPr>
        <w:t>，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以下简称：</w:t>
      </w:r>
      <w:r>
        <w:rPr>
          <w:rFonts w:ascii="Times New Roman" w:hAnsi="Times New Roman" w:eastAsia="Times New Roman" w:cs="Times New Roman"/>
          <w:sz w:val="28"/>
          <w:szCs w:val="28"/>
        </w:rPr>
        <w:t>CSRD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)</w:t>
      </w:r>
      <w:r>
        <w:rPr>
          <w:rFonts w:ascii="FangSong" w:hAnsi="FangSong" w:eastAsia="FangSong" w:cs="FangSong"/>
          <w:sz w:val="28"/>
          <w:szCs w:val="28"/>
          <w:spacing w:val="2"/>
        </w:rPr>
        <w:t>正式生效，</w:t>
      </w:r>
      <w:r>
        <w:rPr>
          <w:rFonts w:ascii="Times New Roman" w:hAnsi="Times New Roman" w:eastAsia="Times New Roman" w:cs="Times New Roman"/>
          <w:sz w:val="28"/>
          <w:szCs w:val="28"/>
        </w:rPr>
        <w:t>CSRD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覆盖范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2"/>
        </w:rPr>
        <w:t>围扩大至除微型企业以外的所有上市公司及在欧盟营</w:t>
      </w:r>
      <w:r>
        <w:rPr>
          <w:rFonts w:ascii="FangSong" w:hAnsi="FangSong" w:eastAsia="FangSong" w:cs="FangSong"/>
          <w:sz w:val="28"/>
          <w:szCs w:val="28"/>
          <w:spacing w:val="11"/>
        </w:rPr>
        <w:t>业额超过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1.5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亿欧元的非欧盟公司；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7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月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31</w:t>
      </w:r>
      <w:r>
        <w:rPr>
          <w:rFonts w:ascii="Times New Roman" w:hAnsi="Times New Roman" w:eastAsia="Times New Roman" w:cs="Times New Roman"/>
          <w:sz w:val="28"/>
          <w:szCs w:val="28"/>
          <w:spacing w:val="6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日欧盟委员会通过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CSRD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配套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准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则《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欧</w:t>
      </w:r>
      <w:r>
        <w:rPr>
          <w:rFonts w:ascii="FangSong" w:hAnsi="FangSong" w:eastAsia="FangSong" w:cs="FangSong"/>
          <w:sz w:val="28"/>
          <w:szCs w:val="28"/>
          <w:spacing w:val="-7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洲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可持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续发展</w:t>
      </w:r>
      <w:r>
        <w:rPr>
          <w:rFonts w:ascii="FangSong" w:hAnsi="FangSong" w:eastAsia="FangSong" w:cs="FangSong"/>
          <w:sz w:val="28"/>
          <w:szCs w:val="28"/>
          <w:spacing w:val="-7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报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告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准</w:t>
      </w:r>
      <w:r>
        <w:rPr>
          <w:rFonts w:ascii="FangSong" w:hAnsi="FangSong" w:eastAsia="FangSong" w:cs="FangSong"/>
          <w:sz w:val="28"/>
          <w:szCs w:val="28"/>
          <w:spacing w:val="-8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则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》（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European</w:t>
      </w:r>
      <w:r>
        <w:rPr>
          <w:rFonts w:ascii="Times New Roman" w:hAnsi="Times New Roman" w:eastAsia="Times New Roman" w:cs="Times New Roman"/>
          <w:sz w:val="28"/>
          <w:szCs w:val="28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Sustainability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Reporting Standards</w:t>
      </w:r>
      <w:r>
        <w:rPr>
          <w:rFonts w:ascii="FangSong" w:hAnsi="FangSong" w:eastAsia="FangSong" w:cs="FangSong"/>
          <w:sz w:val="28"/>
          <w:szCs w:val="28"/>
          <w:spacing w:val="-2"/>
        </w:rPr>
        <w:t>，以下简称：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ESRS</w:t>
      </w:r>
      <w:r>
        <w:rPr>
          <w:rFonts w:ascii="FangSong" w:hAnsi="FangSong" w:eastAsia="FangSong" w:cs="FangSong"/>
          <w:sz w:val="28"/>
          <w:szCs w:val="28"/>
          <w:spacing w:val="-23"/>
        </w:rPr>
        <w:t>），</w:t>
      </w:r>
      <w:r>
        <w:rPr>
          <w:rFonts w:ascii="FangSong" w:hAnsi="FangSong" w:eastAsia="FangSong" w:cs="FangSong"/>
          <w:sz w:val="28"/>
          <w:szCs w:val="28"/>
          <w:spacing w:val="-2"/>
        </w:rPr>
        <w:t>表明欧盟范围内的可持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续性信息披露工作细则正逐渐明确。美国虽然在联邦政府层面缺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"/>
        </w:rPr>
        <w:t>乏统一声音，但作为气候政策积极倡导者的加</w:t>
      </w:r>
      <w:r>
        <w:rPr>
          <w:rFonts w:ascii="FangSong" w:hAnsi="FangSong" w:eastAsia="FangSong" w:cs="FangSong"/>
          <w:sz w:val="28"/>
          <w:szCs w:val="28"/>
          <w:spacing w:val="-2"/>
        </w:rPr>
        <w:t>州，已于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2023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1"/>
        </w:rPr>
        <w:t>月通过了一项具有里程碑意义的法案，要求在加州开展业务的年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收入超过</w:t>
      </w:r>
      <w:r>
        <w:rPr>
          <w:rFonts w:ascii="FangSong" w:hAnsi="FangSong" w:eastAsia="FangSong" w:cs="FangSong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10  </w:t>
      </w:r>
      <w:r>
        <w:rPr>
          <w:rFonts w:ascii="FangSong" w:hAnsi="FangSong" w:eastAsia="FangSong" w:cs="FangSong"/>
          <w:sz w:val="28"/>
          <w:szCs w:val="28"/>
          <w:spacing w:val="-2"/>
        </w:rPr>
        <w:t>亿美元的公司每年披露其全价值链温室气体排放量。</w:t>
      </w:r>
    </w:p>
    <w:p>
      <w:pPr>
        <w:ind w:left="448" w:right="175" w:firstLine="572"/>
        <w:spacing w:before="57" w:line="40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4"/>
        </w:rPr>
        <w:t>国内层面</w:t>
      </w:r>
      <w:r>
        <w:rPr>
          <w:rFonts w:ascii="FangSong" w:hAnsi="FangSong" w:eastAsia="FangSong" w:cs="FangSong"/>
          <w:sz w:val="28"/>
          <w:szCs w:val="28"/>
          <w:spacing w:val="-4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2023 </w:t>
      </w:r>
      <w:r>
        <w:rPr>
          <w:rFonts w:ascii="FangSong" w:hAnsi="FangSong" w:eastAsia="FangSong" w:cs="FangSong"/>
          <w:sz w:val="28"/>
          <w:szCs w:val="28"/>
          <w:spacing w:val="-4"/>
        </w:rPr>
        <w:t>年我国加快中国特色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生态体系建设，可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持续信息披露方面发展迅猛。一方面，国央企作为</w:t>
      </w:r>
      <w:r>
        <w:rPr>
          <w:rFonts w:ascii="FangSong" w:hAnsi="FangSong" w:eastAsia="FangSong" w:cs="FangSong"/>
          <w:sz w:val="28"/>
          <w:szCs w:val="28"/>
          <w:spacing w:val="-8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“排头兵”，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bookmarkStart w:name="bookmark103" w:id="63"/>
      <w:bookmarkEnd w:id="63"/>
      <w:r>
        <w:rPr>
          <w:rFonts w:ascii="FangSong" w:hAnsi="FangSong" w:eastAsia="FangSong" w:cs="FangSong"/>
          <w:sz w:val="28"/>
          <w:szCs w:val="28"/>
          <w:spacing w:val="-3"/>
        </w:rPr>
        <w:t>正在积极探索建立健全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体系。国务院国有资产监督管理委员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>
        <w:pict>
          <v:shape id="_x0000_s20" style="position:absolute;margin-left:21.705pt;margin-top:9.59056pt;mso-position-vertical-relative:text;mso-position-horizontal-relative:text;width:144pt;height:0pt;z-index:251676672;" filled="false" strokecolor="#000000" strokeweight="0.00pt" coordsize="2880,0" coordorigin="0,0" path="m,l2880,0e">
            <v:stroke endcap="square" joinstyle="bevel" miterlimit="0"/>
          </v:shape>
        </w:pict>
      </w:r>
      <w:r/>
    </w:p>
    <w:p>
      <w:pPr>
        <w:ind w:left="443" w:right="117" w:firstLine="3"/>
        <w:spacing w:before="60" w:line="232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spacing w:val="-3"/>
          <w:position w:val="6"/>
        </w:rPr>
        <w:t>1   </w:t>
      </w:r>
      <w:r>
        <w:rPr>
          <w:rFonts w:ascii="SimSun" w:hAnsi="SimSun" w:eastAsia="SimSun" w:cs="SimSun"/>
          <w:sz w:val="18"/>
          <w:szCs w:val="18"/>
          <w:spacing w:val="-3"/>
        </w:rPr>
        <w:t>利益相关方指其利益可能会受到企业决策或活动影响的个人或团体，包括但不限于：客户和消费者、</w:t>
      </w:r>
      <w:r>
        <w:rPr>
          <w:rFonts w:ascii="SimSun" w:hAnsi="SimSun" w:eastAsia="SimSun" w:cs="SimSun"/>
          <w:sz w:val="18"/>
          <w:szCs w:val="18"/>
          <w:spacing w:val="1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2"/>
        </w:rPr>
        <w:t>企业员工、供应链或生态圈的上下游企业</w:t>
      </w:r>
      <w:r>
        <w:rPr>
          <w:rFonts w:ascii="Times New Roman" w:hAnsi="Times New Roman" w:eastAsia="Times New Roman" w:cs="Times New Roman"/>
          <w:sz w:val="18"/>
          <w:szCs w:val="18"/>
          <w:spacing w:val="-2"/>
        </w:rPr>
        <w:t>/</w:t>
      </w:r>
      <w:r>
        <w:rPr>
          <w:rFonts w:ascii="SimSun" w:hAnsi="SimSun" w:eastAsia="SimSun" w:cs="SimSun"/>
          <w:sz w:val="18"/>
          <w:szCs w:val="18"/>
          <w:spacing w:val="-2"/>
        </w:rPr>
        <w:t>合作伙伴及其他组织、同业者、行业商协会、政</w:t>
      </w:r>
      <w:r>
        <w:rPr>
          <w:rFonts w:ascii="SimSun" w:hAnsi="SimSun" w:eastAsia="SimSun" w:cs="SimSun"/>
          <w:sz w:val="18"/>
          <w:szCs w:val="18"/>
          <w:spacing w:val="-3"/>
        </w:rPr>
        <w:t>府部门、股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"/>
        </w:rPr>
        <w:t>东和投资者、非政府组织、社区、其他等</w:t>
      </w:r>
    </w:p>
    <w:p>
      <w:pPr>
        <w:spacing w:line="232" w:lineRule="auto"/>
        <w:sectPr>
          <w:headerReference w:type="default" r:id="rId13"/>
          <w:footerReference w:type="default" r:id="rId14"/>
          <w:pgSz w:w="11906" w:h="16839"/>
          <w:pgMar w:top="1134" w:right="1624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86" w:lineRule="auto"/>
        <w:rPr/>
      </w:pPr>
      <w:r/>
    </w:p>
    <w:p>
      <w:pPr>
        <w:ind w:left="443" w:right="13" w:firstLine="5"/>
        <w:spacing w:before="91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8"/>
        </w:rPr>
        <w:t>会（</w:t>
      </w:r>
      <w:r>
        <w:rPr>
          <w:rFonts w:ascii="FangSong" w:hAnsi="FangSong" w:eastAsia="FangSong" w:cs="FangSong"/>
          <w:sz w:val="28"/>
          <w:szCs w:val="28"/>
          <w:spacing w:val="-4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以下简称：国资委）在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2022 </w:t>
      </w:r>
      <w:r>
        <w:rPr>
          <w:rFonts w:ascii="FangSong" w:hAnsi="FangSong" w:eastAsia="FangSong" w:cs="FangSong"/>
          <w:sz w:val="28"/>
          <w:szCs w:val="28"/>
          <w:spacing w:val="-8"/>
        </w:rPr>
        <w:t>年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月发布《提高央企控股上市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公司质量工作方案》的基础上，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2023 </w:t>
      </w:r>
      <w:r>
        <w:rPr>
          <w:rFonts w:ascii="FangSong" w:hAnsi="FangSong" w:eastAsia="FangSong" w:cs="FangSong"/>
          <w:sz w:val="28"/>
          <w:szCs w:val="28"/>
          <w:spacing w:val="1"/>
        </w:rPr>
        <w:t>年</w:t>
      </w:r>
      <w:r>
        <w:rPr>
          <w:rFonts w:ascii="FangSong" w:hAnsi="FangSong" w:eastAsia="FangSong" w:cs="FangSong"/>
          <w:sz w:val="28"/>
          <w:szCs w:val="28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7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月发布了《关于转发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&lt;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央企控股上市公司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专项报告编制研究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&gt;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的通</w:t>
      </w:r>
      <w:r>
        <w:rPr>
          <w:rFonts w:ascii="FangSong" w:hAnsi="FangSong" w:eastAsia="FangSong" w:cs="FangSong"/>
          <w:sz w:val="28"/>
          <w:szCs w:val="28"/>
          <w:spacing w:val="-6"/>
        </w:rPr>
        <w:t>知》，</w:t>
      </w:r>
      <w:r>
        <w:rPr>
          <w:rFonts w:ascii="FangSong" w:hAnsi="FangSong" w:eastAsia="FangSong" w:cs="FangSong"/>
          <w:sz w:val="28"/>
          <w:szCs w:val="28"/>
          <w:spacing w:val="-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为央企控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股上市公司编制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报告提供了具体的指</w:t>
      </w:r>
      <w:r>
        <w:rPr>
          <w:rFonts w:ascii="FangSong" w:hAnsi="FangSong" w:eastAsia="FangSong" w:cs="FangSong"/>
          <w:sz w:val="28"/>
          <w:szCs w:val="28"/>
          <w:spacing w:val="-4"/>
        </w:rPr>
        <w:t>标和格式参考。另一方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面，面向广大上市企业的信息披露要求也处于酝酿之中，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23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月中国证券监督管理委员会（以下简称：证监</w:t>
      </w:r>
      <w:r>
        <w:rPr>
          <w:rFonts w:ascii="FangSong" w:hAnsi="FangSong" w:eastAsia="FangSong" w:cs="FangSong"/>
          <w:sz w:val="28"/>
          <w:szCs w:val="28"/>
          <w:spacing w:val="2"/>
        </w:rPr>
        <w:t>会）相关领导表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示，证监会正在指导沪深证券交易所研究起草上市公司可持续发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展披露指引，指引计划以自愿披露起步，但必须符合信息披露底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线要求，符合资本市场相关规则要求。</w:t>
      </w:r>
    </w:p>
    <w:p>
      <w:pPr>
        <w:ind w:left="1112"/>
        <w:spacing w:before="85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12" w:id="64"/>
      <w:bookmarkEnd w:id="64"/>
      <w:bookmarkStart w:name="bookmark11" w:id="65"/>
      <w:bookmarkEnd w:id="65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（二）融合互通，关注重点逐步聚焦</w:t>
      </w:r>
    </w:p>
    <w:p>
      <w:pPr>
        <w:ind w:left="445" w:right="13" w:firstLine="594"/>
        <w:spacing w:before="325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当前，越来越多的国际及国内利益相关方意识到，不统一的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可持续信息披露标准，不仅增加企业披露成本，也会影响可持续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发展的政策制定和投资决策。因此，建立具有一致性、可比性和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可靠性的信息披露指标，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已成为监管机构、投资者、专业机</w:t>
      </w:r>
      <w:r>
        <w:rPr>
          <w:rFonts w:ascii="FangSong" w:hAnsi="FangSong" w:eastAsia="FangSong" w:cs="FangSong"/>
          <w:sz w:val="28"/>
          <w:szCs w:val="28"/>
          <w:spacing w:val="-2"/>
        </w:rPr>
        <w:t>构共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同努力的方向。</w:t>
      </w:r>
    </w:p>
    <w:p>
      <w:pPr>
        <w:ind w:left="434" w:right="12" w:firstLine="586"/>
        <w:spacing w:before="42" w:line="40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0"/>
        </w:rPr>
        <w:t>国际层面</w:t>
      </w:r>
      <w:r>
        <w:rPr>
          <w:rFonts w:ascii="FangSong" w:hAnsi="FangSong" w:eastAsia="FangSong" w:cs="FangSong"/>
          <w:sz w:val="28"/>
          <w:szCs w:val="28"/>
          <w:spacing w:val="10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6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0"/>
        </w:rPr>
        <w:t>年</w:t>
      </w:r>
      <w:r>
        <w:rPr>
          <w:rFonts w:ascii="FangSong" w:hAnsi="FangSong" w:eastAsia="FangSong" w:cs="FangSong"/>
          <w:sz w:val="28"/>
          <w:szCs w:val="28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6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0"/>
        </w:rPr>
        <w:t>月</w:t>
      </w:r>
      <w:r>
        <w:rPr>
          <w:rFonts w:ascii="FangSong" w:hAnsi="FangSong" w:eastAsia="FangSong" w:cs="FangSong"/>
          <w:sz w:val="28"/>
          <w:szCs w:val="28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26  </w:t>
      </w:r>
      <w:r>
        <w:rPr>
          <w:rFonts w:ascii="FangSong" w:hAnsi="FangSong" w:eastAsia="FangSong" w:cs="FangSong"/>
          <w:sz w:val="28"/>
          <w:szCs w:val="28"/>
          <w:spacing w:val="10"/>
        </w:rPr>
        <w:t>日，</w:t>
      </w:r>
      <w:r>
        <w:rPr>
          <w:rFonts w:ascii="FangSong" w:hAnsi="FangSong" w:eastAsia="FangSong" w:cs="FangSong"/>
          <w:sz w:val="28"/>
          <w:szCs w:val="28"/>
          <w:spacing w:val="-4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0"/>
        </w:rPr>
        <w:t>国际可持续准则理事会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International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Sustainability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Standards Board</w:t>
      </w:r>
      <w:r>
        <w:rPr>
          <w:rFonts w:ascii="FangSong" w:hAnsi="FangSong" w:eastAsia="FangSong" w:cs="FangSong"/>
          <w:sz w:val="28"/>
          <w:szCs w:val="28"/>
          <w:spacing w:val="-1"/>
        </w:rPr>
        <w:t>，</w:t>
      </w:r>
      <w:r>
        <w:rPr>
          <w:rFonts w:ascii="FangSong" w:hAnsi="FangSong" w:eastAsia="FangSong" w:cs="FangSong"/>
          <w:sz w:val="28"/>
          <w:szCs w:val="28"/>
          <w:spacing w:val="-7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以</w:t>
      </w:r>
      <w:r>
        <w:rPr>
          <w:rFonts w:ascii="FangSong" w:hAnsi="FangSong" w:eastAsia="FangSong" w:cs="FangSong"/>
          <w:sz w:val="28"/>
          <w:szCs w:val="28"/>
          <w:spacing w:val="-2"/>
        </w:rPr>
        <w:t>下简称：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-2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正式发布了两份国际财务报告可持续披露准则，作为全球可持续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披露基线准则建设中的重要里程碑文件，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两份准则的发布对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于提升全球可持续发展信息披露的透明度、问责制和效率具有重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要意义。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ISSB </w:t>
      </w:r>
      <w:r>
        <w:rPr>
          <w:rFonts w:ascii="FangSong" w:hAnsi="FangSong" w:eastAsia="FangSong" w:cs="FangSong"/>
          <w:sz w:val="28"/>
          <w:szCs w:val="28"/>
          <w:spacing w:val="-2"/>
        </w:rPr>
        <w:t>新准则在整合多个已有披露标准基础上，采纳了气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候相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关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财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务信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息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披</w:t>
      </w:r>
      <w:r>
        <w:rPr>
          <w:rFonts w:ascii="FangSong" w:hAnsi="FangSong" w:eastAsia="FangSong" w:cs="FangSong"/>
          <w:sz w:val="28"/>
          <w:szCs w:val="28"/>
          <w:spacing w:val="-7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露</w:t>
      </w:r>
      <w:r>
        <w:rPr>
          <w:rFonts w:ascii="FangSong" w:hAnsi="FangSong" w:eastAsia="FangSong" w:cs="FangSong"/>
          <w:sz w:val="28"/>
          <w:szCs w:val="28"/>
          <w:spacing w:val="-7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工</w:t>
      </w:r>
      <w:r>
        <w:rPr>
          <w:rFonts w:ascii="FangSong" w:hAnsi="FangSong" w:eastAsia="FangSong" w:cs="FangSong"/>
          <w:sz w:val="28"/>
          <w:szCs w:val="28"/>
          <w:spacing w:val="-8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作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组（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Task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Fo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rce</w:t>
      </w:r>
      <w:r>
        <w:rPr>
          <w:rFonts w:ascii="Times New Roman" w:hAnsi="Times New Roman" w:eastAsia="Times New Roman" w:cs="Times New Roman"/>
          <w:sz w:val="28"/>
          <w:szCs w:val="28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5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Climate-Related</w:t>
      </w:r>
    </w:p>
    <w:p>
      <w:pPr>
        <w:spacing w:line="406" w:lineRule="auto"/>
        <w:sectPr>
          <w:headerReference w:type="default" r:id="rId15"/>
          <w:footerReference w:type="default" r:id="rId16"/>
          <w:pgSz w:w="11906" w:h="16839"/>
          <w:pgMar w:top="1134" w:right="1785" w:bottom="1156" w:left="1785" w:header="862" w:footer="9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BodyText"/>
        <w:spacing w:line="383" w:lineRule="auto"/>
        <w:rPr/>
      </w:pPr>
      <w:r/>
    </w:p>
    <w:p>
      <w:pPr>
        <w:ind w:left="444" w:right="63" w:hanging="6"/>
        <w:spacing w:before="91" w:line="40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Financial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Disclosure</w:t>
      </w:r>
      <w:r>
        <w:rPr>
          <w:rFonts w:ascii="FangSong" w:hAnsi="FangSong" w:eastAsia="FangSong" w:cs="FangSong"/>
          <w:sz w:val="28"/>
          <w:szCs w:val="28"/>
          <w:spacing w:val="2"/>
        </w:rPr>
        <w:t>，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以下简称：</w:t>
      </w:r>
      <w:r>
        <w:rPr>
          <w:rFonts w:ascii="Times New Roman" w:hAnsi="Times New Roman" w:eastAsia="Times New Roman" w:cs="Times New Roman"/>
          <w:sz w:val="28"/>
          <w:szCs w:val="28"/>
        </w:rPr>
        <w:t>TCFD</w:t>
      </w:r>
      <w:r>
        <w:rPr>
          <w:rFonts w:ascii="FangSong" w:hAnsi="FangSong" w:eastAsia="FangSong" w:cs="FangSong"/>
          <w:sz w:val="28"/>
          <w:szCs w:val="28"/>
          <w:spacing w:val="2"/>
        </w:rPr>
        <w:t>）建议，让气候变化信息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披露成为推动企业可持续发展、社会责任及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信息披露融合发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展的突破口。目前，包括澳大利亚、加拿大、日本、马来西亚、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新西兰、尼日利亚、新加坡、英国等多个国家和地区的监管机构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已经采取或将考虑采取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ISSB </w:t>
      </w:r>
      <w:r>
        <w:rPr>
          <w:rFonts w:ascii="FangSong" w:hAnsi="FangSong" w:eastAsia="FangSong" w:cs="FangSong"/>
          <w:sz w:val="28"/>
          <w:szCs w:val="28"/>
          <w:spacing w:val="-1"/>
        </w:rPr>
        <w:t>框架建立信息披露标准。</w:t>
      </w:r>
    </w:p>
    <w:p>
      <w:pPr>
        <w:ind w:left="438" w:firstLine="589"/>
        <w:spacing w:before="45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国际层面另一份重要文件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ESRS </w:t>
      </w:r>
      <w:r>
        <w:rPr>
          <w:rFonts w:ascii="FangSong" w:hAnsi="FangSong" w:eastAsia="FangSong" w:cs="FangSong"/>
          <w:sz w:val="28"/>
          <w:szCs w:val="28"/>
          <w:spacing w:val="-2"/>
        </w:rPr>
        <w:t>也在加强与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ISSB </w:t>
      </w:r>
      <w:r>
        <w:rPr>
          <w:rFonts w:ascii="FangSong" w:hAnsi="FangSong" w:eastAsia="FangSong" w:cs="FangSong"/>
          <w:sz w:val="28"/>
          <w:szCs w:val="28"/>
          <w:spacing w:val="-2"/>
        </w:rPr>
        <w:t>新准</w:t>
      </w:r>
      <w:r>
        <w:rPr>
          <w:rFonts w:ascii="FangSong" w:hAnsi="FangSong" w:eastAsia="FangSong" w:cs="FangSong"/>
          <w:sz w:val="28"/>
          <w:szCs w:val="28"/>
          <w:spacing w:val="-3"/>
        </w:rPr>
        <w:t>则、全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球报告倡议组织（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Global Reporting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Initiative</w:t>
      </w:r>
      <w:r>
        <w:rPr>
          <w:rFonts w:ascii="FangSong" w:hAnsi="FangSong" w:eastAsia="FangSong" w:cs="FangSong"/>
          <w:sz w:val="28"/>
          <w:szCs w:val="28"/>
          <w:spacing w:val="-3"/>
        </w:rPr>
        <w:t>，以下简称：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GRI</w:t>
      </w:r>
      <w:r>
        <w:rPr>
          <w:rFonts w:ascii="FangSong" w:hAnsi="FangSong" w:eastAsia="FangSong" w:cs="FangSong"/>
          <w:sz w:val="28"/>
          <w:szCs w:val="28"/>
          <w:spacing w:val="-3"/>
        </w:rPr>
        <w:t>）标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准的融合互通。一方面，</w:t>
      </w:r>
      <w:r>
        <w:rPr>
          <w:rFonts w:ascii="Times New Roman" w:hAnsi="Times New Roman" w:eastAsia="Times New Roman" w:cs="Times New Roman"/>
          <w:sz w:val="28"/>
          <w:szCs w:val="28"/>
        </w:rPr>
        <w:t>GRI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与负责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ESRS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开发的欧洲</w:t>
      </w:r>
      <w:r>
        <w:rPr>
          <w:rFonts w:ascii="FangSong" w:hAnsi="FangSong" w:eastAsia="FangSong" w:cs="FangSong"/>
          <w:sz w:val="28"/>
          <w:szCs w:val="28"/>
        </w:rPr>
        <w:t>财务报告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咨询组（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European Financial Reporting</w:t>
      </w:r>
      <w:r>
        <w:rPr>
          <w:rFonts w:ascii="Times New Roman" w:hAnsi="Times New Roman" w:eastAsia="Times New Roman" w:cs="Times New Roman"/>
          <w:sz w:val="28"/>
          <w:szCs w:val="28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Advisory 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roup</w:t>
      </w:r>
      <w:r>
        <w:rPr>
          <w:rFonts w:ascii="FangSong" w:hAnsi="FangSong" w:eastAsia="FangSong" w:cs="FangSong"/>
          <w:sz w:val="28"/>
          <w:szCs w:val="28"/>
          <w:spacing w:val="-3"/>
        </w:rPr>
        <w:t>，以下简称：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EFRAG</w:t>
      </w:r>
      <w:r>
        <w:rPr>
          <w:rFonts w:ascii="FangSong" w:hAnsi="FangSong" w:eastAsia="FangSong" w:cs="FangSong"/>
          <w:sz w:val="28"/>
          <w:szCs w:val="28"/>
          <w:spacing w:val="-3"/>
        </w:rPr>
        <w:t>）于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月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5  </w:t>
      </w:r>
      <w:r>
        <w:rPr>
          <w:rFonts w:ascii="FangSong" w:hAnsi="FangSong" w:eastAsia="FangSong" w:cs="FangSong"/>
          <w:sz w:val="28"/>
          <w:szCs w:val="28"/>
          <w:spacing w:val="-3"/>
        </w:rPr>
        <w:t>日发布联合声明，表示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ESRS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与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GRI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标准已经实现了高度互通性。另一方面，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ISSB </w:t>
      </w:r>
      <w:r>
        <w:rPr>
          <w:rFonts w:ascii="FangSong" w:hAnsi="FangSong" w:eastAsia="FangSong" w:cs="FangSong"/>
          <w:sz w:val="28"/>
          <w:szCs w:val="28"/>
          <w:spacing w:val="-2"/>
        </w:rPr>
        <w:t>所属的国际财务报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告</w:t>
      </w:r>
      <w:r>
        <w:rPr>
          <w:rFonts w:ascii="FangSong" w:hAnsi="FangSong" w:eastAsia="FangSong" w:cs="FangSong"/>
          <w:sz w:val="28"/>
          <w:szCs w:val="28"/>
          <w:spacing w:val="-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准</w:t>
      </w:r>
      <w:r>
        <w:rPr>
          <w:rFonts w:ascii="FangSong" w:hAnsi="FangSong" w:eastAsia="FangSong" w:cs="FangSong"/>
          <w:sz w:val="28"/>
          <w:szCs w:val="28"/>
          <w:spacing w:val="-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则</w:t>
      </w:r>
      <w:r>
        <w:rPr>
          <w:rFonts w:ascii="FangSong" w:hAnsi="FangSong" w:eastAsia="FangSong" w:cs="FangSong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基</w:t>
      </w:r>
      <w:r>
        <w:rPr>
          <w:rFonts w:ascii="FangSong" w:hAnsi="FangSong" w:eastAsia="FangSong" w:cs="FangSong"/>
          <w:sz w:val="28"/>
          <w:szCs w:val="28"/>
          <w:spacing w:val="-2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金</w:t>
      </w:r>
      <w:r>
        <w:rPr>
          <w:rFonts w:ascii="FangSong" w:hAnsi="FangSong" w:eastAsia="FangSong" w:cs="FangSong"/>
          <w:sz w:val="28"/>
          <w:szCs w:val="28"/>
          <w:spacing w:val="-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会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（</w:t>
      </w:r>
      <w:r>
        <w:rPr>
          <w:rFonts w:ascii="FangSong" w:hAnsi="FangSong" w:eastAsia="FangSong" w:cs="FangSong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International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Financial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Reporting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St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andards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Foundation</w:t>
      </w:r>
      <w:r>
        <w:rPr>
          <w:rFonts w:ascii="FangSong" w:hAnsi="FangSong" w:eastAsia="FangSong" w:cs="FangSong"/>
          <w:sz w:val="28"/>
          <w:szCs w:val="28"/>
        </w:rPr>
        <w:t>，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以下简称：</w:t>
      </w:r>
      <w:r>
        <w:rPr>
          <w:rFonts w:ascii="Times New Roman" w:hAnsi="Times New Roman" w:eastAsia="Times New Roman" w:cs="Times New Roman"/>
          <w:sz w:val="28"/>
          <w:szCs w:val="28"/>
        </w:rPr>
        <w:t>IFRS</w:t>
      </w:r>
      <w:r>
        <w:rPr>
          <w:rFonts w:ascii="Times New Roman" w:hAnsi="Times New Roman" w:eastAsia="Times New Roman" w:cs="Times New Roman"/>
          <w:sz w:val="28"/>
          <w:szCs w:val="28"/>
          <w:spacing w:val="-27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表示，欧盟委员会、</w:t>
      </w:r>
      <w:r>
        <w:rPr>
          <w:rFonts w:ascii="Times New Roman" w:hAnsi="Times New Roman" w:eastAsia="Times New Roman" w:cs="Times New Roman"/>
          <w:sz w:val="28"/>
          <w:szCs w:val="28"/>
        </w:rPr>
        <w:t>EFRAG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ISSB </w:t>
      </w:r>
      <w:r>
        <w:rPr>
          <w:rFonts w:ascii="FangSong" w:hAnsi="FangSong" w:eastAsia="FangSong" w:cs="FangSong"/>
          <w:sz w:val="28"/>
          <w:szCs w:val="28"/>
          <w:spacing w:val="-1"/>
        </w:rPr>
        <w:t>之间进行了深入且富有建设性的讨论，根据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EFRAG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声明以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及随后的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回应，将共同制定互操作性指南，为同时应用两套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准则的主体提供帮助。</w:t>
      </w:r>
    </w:p>
    <w:p>
      <w:pPr>
        <w:ind w:left="441" w:right="63" w:firstLine="579"/>
        <w:spacing w:before="5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</w:rPr>
        <w:t>国内层面</w:t>
      </w:r>
      <w:r>
        <w:rPr>
          <w:rFonts w:ascii="FangSong" w:hAnsi="FangSong" w:eastAsia="FangSong" w:cs="FangSong"/>
          <w:sz w:val="28"/>
          <w:szCs w:val="28"/>
        </w:rPr>
        <w:t>，我国从实际国情出发，主张国内发展与国际趋势</w:t>
      </w:r>
      <w:r>
        <w:rPr>
          <w:rFonts w:ascii="FangSong" w:hAnsi="FangSong" w:eastAsia="FangSong" w:cs="FangSong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并行。一方面，我国证监会、国资委、行业协会、商业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评级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机构等多方都在尝试探索富有中国特色的可持续发展、社会责任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及</w:t>
      </w:r>
      <w:r>
        <w:rPr>
          <w:rFonts w:ascii="FangSong" w:hAnsi="FangSong" w:eastAsia="FangSong" w:cs="FangSong"/>
          <w:sz w:val="28"/>
          <w:szCs w:val="28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信息披露指引，以构建符合我国新发展理念和经济社会发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展需要的信息披露生态体系；另一方面，我国也在密切关注着国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际发展趋势，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2022 </w:t>
      </w:r>
      <w:r>
        <w:rPr>
          <w:rFonts w:ascii="FangSong" w:hAnsi="FangSong" w:eastAsia="FangSong" w:cs="FangSong"/>
          <w:sz w:val="28"/>
          <w:szCs w:val="28"/>
          <w:spacing w:val="1"/>
        </w:rPr>
        <w:t>年底，我国财政部与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IFRS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签署谅解备忘录，</w:t>
      </w:r>
    </w:p>
    <w:p>
      <w:pPr>
        <w:spacing w:line="407" w:lineRule="auto"/>
        <w:sectPr>
          <w:headerReference w:type="default" r:id="rId17"/>
          <w:footerReference w:type="default" r:id="rId18"/>
          <w:pgSz w:w="11906" w:h="16839"/>
          <w:pgMar w:top="1134" w:right="1735" w:bottom="1153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3" w:lineRule="auto"/>
        <w:rPr/>
      </w:pPr>
      <w:r/>
    </w:p>
    <w:p>
      <w:pPr>
        <w:ind w:left="438" w:right="81" w:firstLine="6"/>
        <w:spacing w:before="91" w:line="406" w:lineRule="auto"/>
        <w:rPr>
          <w:rFonts w:ascii="FangSong" w:hAnsi="FangSong" w:eastAsia="FangSong" w:cs="FangSong"/>
          <w:sz w:val="28"/>
          <w:szCs w:val="28"/>
        </w:rPr>
      </w:pPr>
      <w:bookmarkStart w:name="bookmark104" w:id="66"/>
      <w:bookmarkEnd w:id="66"/>
      <w:r>
        <w:rPr>
          <w:rFonts w:ascii="FangSong" w:hAnsi="FangSong" w:eastAsia="FangSong" w:cs="FangSong"/>
          <w:sz w:val="28"/>
          <w:szCs w:val="28"/>
          <w:spacing w:val="-2"/>
        </w:rPr>
        <w:t>设立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IFRS </w:t>
      </w:r>
      <w:r>
        <w:rPr>
          <w:rFonts w:ascii="FangSong" w:hAnsi="FangSong" w:eastAsia="FangSong" w:cs="FangSong"/>
          <w:sz w:val="28"/>
          <w:szCs w:val="28"/>
          <w:spacing w:val="-2"/>
        </w:rPr>
        <w:t>基金会北京办公室，助推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国际</w:t>
      </w:r>
      <w:r>
        <w:rPr>
          <w:rFonts w:ascii="FangSong" w:hAnsi="FangSong" w:eastAsia="FangSong" w:cs="FangSong"/>
          <w:sz w:val="28"/>
          <w:szCs w:val="28"/>
          <w:spacing w:val="-3"/>
        </w:rPr>
        <w:t>准则在中国的落地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实践。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4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月</w:t>
      </w:r>
      <w:r>
        <w:rPr>
          <w:rFonts w:ascii="FangSong" w:hAnsi="FangSong" w:eastAsia="FangSong" w:cs="FangSong"/>
          <w:sz w:val="28"/>
          <w:szCs w:val="28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14</w:t>
      </w:r>
      <w:r>
        <w:rPr>
          <w:rFonts w:ascii="Times New Roman" w:hAnsi="Times New Roman" w:eastAsia="Times New Roman" w:cs="Times New Roman"/>
          <w:sz w:val="28"/>
          <w:szCs w:val="28"/>
          <w:spacing w:val="6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日香港联合交易所有限公司（以下简称：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联交所）发布文件，就优化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框架下的气候信息披露征询市场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意见，联交所在公告中表示将引入以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气候准则为基础的新气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候相关披露。</w:t>
      </w:r>
    </w:p>
    <w:p>
      <w:pPr>
        <w:ind w:left="434" w:right="80" w:firstLine="620"/>
        <w:spacing w:before="41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4"/>
        </w:rPr>
        <w:t>目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前，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国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际及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国</w:t>
      </w:r>
      <w:r>
        <w:rPr>
          <w:rFonts w:ascii="FangSong" w:hAnsi="FangSong" w:eastAsia="FangSong" w:cs="FangSong"/>
          <w:sz w:val="28"/>
          <w:szCs w:val="28"/>
          <w:spacing w:val="-5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内信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息披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露</w:t>
      </w:r>
      <w:r>
        <w:rPr>
          <w:rFonts w:ascii="FangSong" w:hAnsi="FangSong" w:eastAsia="FangSong" w:cs="FangSong"/>
          <w:sz w:val="28"/>
          <w:szCs w:val="28"/>
          <w:spacing w:val="-8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要</w:t>
      </w:r>
      <w:r>
        <w:rPr>
          <w:rFonts w:ascii="FangSong" w:hAnsi="FangSong" w:eastAsia="FangSong" w:cs="FangSong"/>
          <w:sz w:val="28"/>
          <w:szCs w:val="28"/>
          <w:spacing w:val="-7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求都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不</w:t>
      </w:r>
      <w:r>
        <w:rPr>
          <w:rFonts w:ascii="FangSong" w:hAnsi="FangSong" w:eastAsia="FangSong" w:cs="FangSong"/>
          <w:sz w:val="28"/>
          <w:szCs w:val="28"/>
          <w:spacing w:val="-7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约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而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同地将环境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Environmental</w:t>
      </w:r>
      <w:r>
        <w:rPr>
          <w:rFonts w:ascii="FangSong" w:hAnsi="FangSong" w:eastAsia="FangSong" w:cs="FangSong"/>
          <w:sz w:val="28"/>
          <w:szCs w:val="28"/>
          <w:spacing w:val="-3"/>
        </w:rPr>
        <w:t>，以下简称：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</w:t>
      </w:r>
      <w:r>
        <w:rPr>
          <w:rFonts w:ascii="FangSong" w:hAnsi="FangSong" w:eastAsia="FangSong" w:cs="FangSong"/>
          <w:sz w:val="28"/>
          <w:szCs w:val="28"/>
          <w:spacing w:val="-3"/>
        </w:rPr>
        <w:t>）作为重点领域先行推动，尤</w:t>
      </w:r>
      <w:r>
        <w:rPr>
          <w:rFonts w:ascii="FangSong" w:hAnsi="FangSong" w:eastAsia="FangSong" w:cs="FangSong"/>
          <w:sz w:val="28"/>
          <w:szCs w:val="28"/>
          <w:spacing w:val="-4"/>
        </w:rPr>
        <w:t>其是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气候变化议题。一是因为近几年气候变化为人类生存及大众生活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带来了深刻影响。二是以《巴黎协定》及</w:t>
      </w:r>
      <w:r>
        <w:rPr>
          <w:rFonts w:ascii="FangSong" w:hAnsi="FangSong" w:eastAsia="FangSong" w:cs="FangSong"/>
          <w:sz w:val="28"/>
          <w:szCs w:val="28"/>
          <w:spacing w:val="-8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3060</w:t>
      </w:r>
      <w:r>
        <w:rPr>
          <w:rFonts w:ascii="Times New Roman" w:hAnsi="Times New Roman" w:eastAsia="Times New Roman" w:cs="Times New Roman"/>
          <w:sz w:val="28"/>
          <w:szCs w:val="28"/>
          <w:spacing w:val="-4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”双碳目标等为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5"/>
        </w:rPr>
        <w:t>代表，国际国内对该议题都给予了极大重视。三是技术层面，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相较于社会（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Social</w:t>
      </w:r>
      <w:r>
        <w:rPr>
          <w:rFonts w:ascii="FangSong" w:hAnsi="FangSong" w:eastAsia="FangSong" w:cs="FangSong"/>
          <w:sz w:val="28"/>
          <w:szCs w:val="28"/>
          <w:spacing w:val="-3"/>
        </w:rPr>
        <w:t>，</w:t>
      </w:r>
      <w:r>
        <w:rPr>
          <w:rFonts w:ascii="FangSong" w:hAnsi="FangSong" w:eastAsia="FangSong" w:cs="FangSong"/>
          <w:sz w:val="28"/>
          <w:szCs w:val="28"/>
          <w:spacing w:val="-8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以下简称：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S</w:t>
      </w:r>
      <w:r>
        <w:rPr>
          <w:rFonts w:ascii="FangSong" w:hAnsi="FangSong" w:eastAsia="FangSong" w:cs="FangSong"/>
          <w:sz w:val="28"/>
          <w:szCs w:val="28"/>
          <w:spacing w:val="-3"/>
        </w:rPr>
        <w:t>）和治理（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Governance</w:t>
      </w:r>
      <w:r>
        <w:rPr>
          <w:rFonts w:ascii="FangSong" w:hAnsi="FangSong" w:eastAsia="FangSong" w:cs="FangSong"/>
          <w:sz w:val="28"/>
          <w:szCs w:val="28"/>
          <w:spacing w:val="-3"/>
        </w:rPr>
        <w:t>，</w:t>
      </w:r>
      <w:r>
        <w:rPr>
          <w:rFonts w:ascii="FangSong" w:hAnsi="FangSong" w:eastAsia="FangSong" w:cs="FangSong"/>
          <w:sz w:val="28"/>
          <w:szCs w:val="28"/>
          <w:spacing w:val="-8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以下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简称：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G</w:t>
      </w:r>
      <w:r>
        <w:rPr>
          <w:rFonts w:ascii="FangSong" w:hAnsi="FangSong" w:eastAsia="FangSong" w:cs="FangSong"/>
          <w:sz w:val="28"/>
          <w:szCs w:val="28"/>
          <w:spacing w:val="22"/>
        </w:rPr>
        <w:t>），</w:t>
      </w:r>
      <w:r>
        <w:rPr>
          <w:rFonts w:ascii="FangSong" w:hAnsi="FangSong" w:eastAsia="FangSong" w:cs="FangSong"/>
          <w:sz w:val="28"/>
          <w:szCs w:val="28"/>
          <w:spacing w:val="3"/>
        </w:rPr>
        <w:t>量化难度更低、共识程度更高、实质性信息披露更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易推动。</w:t>
      </w:r>
    </w:p>
    <w:p>
      <w:pPr>
        <w:ind w:left="1112"/>
        <w:spacing w:before="83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14" w:id="67"/>
      <w:bookmarkEnd w:id="67"/>
      <w:bookmarkStart w:name="bookmark13" w:id="68"/>
      <w:bookmarkEnd w:id="68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（三）实践为基，行业属性渐进发展</w:t>
      </w:r>
    </w:p>
    <w:p>
      <w:pPr>
        <w:ind w:left="443" w:right="81" w:firstLine="578"/>
        <w:spacing w:before="322" w:line="40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随着可持续信息披露的发展和深入，行业间可持续发展核心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主题绩效管理的差异性正逐渐显现，</w:t>
      </w:r>
      <w:r>
        <w:rPr>
          <w:rFonts w:ascii="SimHei" w:hAnsi="SimHei" w:eastAsia="SimHei" w:cs="SimHei"/>
          <w:sz w:val="28"/>
          <w:szCs w:val="28"/>
          <w:spacing w:val="1"/>
        </w:rPr>
        <w:t>基于行业特性的可持续信息</w:t>
      </w:r>
      <w:r>
        <w:rPr>
          <w:rFonts w:ascii="SimHei" w:hAnsi="SimHei" w:eastAsia="SimHei" w:cs="SimHei"/>
          <w:sz w:val="28"/>
          <w:szCs w:val="28"/>
          <w:spacing w:val="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披露要求愈发受到关注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</w:p>
    <w:p>
      <w:pPr>
        <w:ind w:left="438" w:firstLine="581"/>
        <w:spacing w:before="42" w:line="402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7"/>
        </w:rPr>
        <w:t>国际层面</w:t>
      </w:r>
      <w:r>
        <w:rPr>
          <w:rFonts w:ascii="FangSong" w:hAnsi="FangSong" w:eastAsia="FangSong" w:cs="FangSong"/>
          <w:sz w:val="28"/>
          <w:szCs w:val="28"/>
          <w:spacing w:val="-7"/>
        </w:rPr>
        <w:t>，多个可持续信息披露标准均在加速布局行业标准。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一是可持续性会计准则委员会（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Sustainabili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ty</w:t>
      </w:r>
      <w:r>
        <w:rPr>
          <w:rFonts w:ascii="Times New Roman" w:hAnsi="Times New Roman" w:eastAsia="Times New Roman" w:cs="Times New Roman"/>
          <w:sz w:val="28"/>
          <w:szCs w:val="28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Accounting Standards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Board</w:t>
      </w:r>
      <w:r>
        <w:rPr>
          <w:rFonts w:ascii="FangSong" w:hAnsi="FangSong" w:eastAsia="FangSong" w:cs="FangSong"/>
          <w:sz w:val="28"/>
          <w:szCs w:val="28"/>
          <w:spacing w:val="8"/>
        </w:rPr>
        <w:t>，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8"/>
        </w:rPr>
        <w:t>以下简称：</w:t>
      </w:r>
      <w:r>
        <w:rPr>
          <w:rFonts w:ascii="FangSong" w:hAnsi="FangSong" w:eastAsia="FangSong" w:cs="FangSong"/>
          <w:sz w:val="28"/>
          <w:szCs w:val="28"/>
          <w:spacing w:val="-7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SASB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8"/>
        </w:rPr>
        <w:t>）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8"/>
        </w:rPr>
        <w:t>已整合至价值报告基金会（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Value 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Reporting Foundation  </w:t>
      </w:r>
      <w:r>
        <w:rPr>
          <w:rFonts w:ascii="FangSong" w:hAnsi="FangSong" w:eastAsia="FangSong" w:cs="FangSong"/>
          <w:sz w:val="28"/>
          <w:szCs w:val="28"/>
          <w:spacing w:val="-7"/>
        </w:rPr>
        <w:t>，以下简称：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VRF</w:t>
      </w:r>
      <w:r>
        <w:rPr>
          <w:rFonts w:ascii="FangSong" w:hAnsi="FangSong" w:eastAsia="FangSong" w:cs="FangSong"/>
          <w:sz w:val="28"/>
          <w:szCs w:val="28"/>
          <w:spacing w:val="-73"/>
          <w:w w:val="94"/>
        </w:rPr>
        <w:t>），</w:t>
      </w:r>
      <w:r>
        <w:rPr>
          <w:rFonts w:ascii="FangSong" w:hAnsi="FangSong" w:eastAsia="FangSong" w:cs="FangSong"/>
          <w:sz w:val="28"/>
          <w:szCs w:val="28"/>
          <w:spacing w:val="-7"/>
        </w:rPr>
        <w:t>并于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年并入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ISSB</w:t>
      </w:r>
      <w:r>
        <w:rPr>
          <w:rFonts w:ascii="FangSong" w:hAnsi="FangSong" w:eastAsia="FangSong" w:cs="FangSong"/>
          <w:sz w:val="28"/>
          <w:szCs w:val="28"/>
          <w:spacing w:val="-7"/>
        </w:rPr>
        <w:t>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而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SASB </w:t>
      </w:r>
      <w:r>
        <w:rPr>
          <w:rFonts w:ascii="FangSong" w:hAnsi="FangSong" w:eastAsia="FangSong" w:cs="FangSong"/>
          <w:sz w:val="28"/>
          <w:szCs w:val="28"/>
          <w:spacing w:val="-2"/>
        </w:rPr>
        <w:t>标准正是以行业为基础的披露指标。二是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GRI </w:t>
      </w:r>
      <w:r>
        <w:rPr>
          <w:rFonts w:ascii="FangSong" w:hAnsi="FangSong" w:eastAsia="FangSong" w:cs="FangSong"/>
          <w:sz w:val="28"/>
          <w:szCs w:val="28"/>
          <w:spacing w:val="-2"/>
        </w:rPr>
        <w:t>也在加速</w:t>
      </w:r>
    </w:p>
    <w:p>
      <w:pPr>
        <w:spacing w:line="402" w:lineRule="auto"/>
        <w:sectPr>
          <w:headerReference w:type="default" r:id="rId19"/>
          <w:footerReference w:type="default" r:id="rId20"/>
          <w:pgSz w:w="11906" w:h="16839"/>
          <w:pgMar w:top="1134" w:right="171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9" w:lineRule="auto"/>
        <w:rPr/>
      </w:pPr>
      <w:r/>
    </w:p>
    <w:p>
      <w:pPr>
        <w:ind w:left="442" w:firstLine="2"/>
        <w:spacing w:before="91" w:line="40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行业指标布局，在公布石油和天然气、煤炭、以及农业、水产养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殖和渔业三大行业标准之后，于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2023 </w:t>
      </w:r>
      <w:r>
        <w:rPr>
          <w:rFonts w:ascii="FangSong" w:hAnsi="FangSong" w:eastAsia="FangSong" w:cs="FangSong"/>
          <w:sz w:val="28"/>
          <w:szCs w:val="28"/>
          <w:spacing w:val="-4"/>
        </w:rPr>
        <w:t>年公布矿业（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GRI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14</w:t>
      </w:r>
      <w:r>
        <w:rPr>
          <w:rFonts w:ascii="FangSong" w:hAnsi="FangSong" w:eastAsia="FangSong" w:cs="FangSong"/>
          <w:sz w:val="28"/>
          <w:szCs w:val="28"/>
          <w:spacing w:val="-4"/>
        </w:rPr>
        <w:t>）行业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标准征求意见稿。三是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年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月</w:t>
      </w:r>
      <w:r>
        <w:rPr>
          <w:rFonts w:ascii="FangSong" w:hAnsi="FangSong" w:eastAsia="FangSong" w:cs="FangSong"/>
          <w:sz w:val="28"/>
          <w:szCs w:val="28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18</w:t>
      </w:r>
      <w:r>
        <w:rPr>
          <w:rFonts w:ascii="Times New Roman" w:hAnsi="Times New Roman" w:eastAsia="Times New Roman" w:cs="Times New Roman"/>
          <w:sz w:val="28"/>
          <w:szCs w:val="28"/>
          <w:spacing w:val="67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日自然相关财务</w:t>
      </w:r>
      <w:r>
        <w:rPr>
          <w:rFonts w:ascii="FangSong" w:hAnsi="FangSong" w:eastAsia="FangSong" w:cs="FangSong"/>
          <w:sz w:val="28"/>
          <w:szCs w:val="28"/>
          <w:spacing w:val="-5"/>
        </w:rPr>
        <w:t>披露工作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组（</w:t>
      </w:r>
      <w:r>
        <w:rPr>
          <w:rFonts w:ascii="Times New Roman" w:hAnsi="Times New Roman" w:eastAsia="Times New Roman" w:cs="Times New Roman"/>
          <w:sz w:val="28"/>
          <w:szCs w:val="28"/>
        </w:rPr>
        <w:t>Taskforce for Nature-relate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d Financial Disclosures</w:t>
      </w:r>
      <w:r>
        <w:rPr>
          <w:rFonts w:ascii="FangSong" w:hAnsi="FangSong" w:eastAsia="FangSong" w:cs="FangSong"/>
          <w:sz w:val="28"/>
          <w:szCs w:val="28"/>
          <w:spacing w:val="-1"/>
        </w:rPr>
        <w:t>，以下简称：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>TNFD</w:t>
      </w:r>
      <w:r>
        <w:rPr>
          <w:rFonts w:ascii="FangSong" w:hAnsi="FangSong" w:eastAsia="FangSong" w:cs="FangSong"/>
          <w:sz w:val="28"/>
          <w:szCs w:val="28"/>
          <w:spacing w:val="-11"/>
        </w:rPr>
        <w:t>）发布首个披露框架建议，为金融机构提供了行业披露指南，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并计划进一步扩展至其他相关行业。</w:t>
      </w:r>
    </w:p>
    <w:p>
      <w:pPr>
        <w:ind w:left="440" w:firstLine="580"/>
        <w:spacing w:before="42" w:line="40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</w:rPr>
        <w:t>国内层面</w:t>
      </w:r>
      <w:r>
        <w:rPr>
          <w:rFonts w:ascii="FangSong" w:hAnsi="FangSong" w:eastAsia="FangSong" w:cs="FangSong"/>
          <w:sz w:val="28"/>
          <w:szCs w:val="28"/>
        </w:rPr>
        <w:t>，基于行业特性的可持续信息披露趋势正在国内获</w:t>
      </w:r>
      <w:r>
        <w:rPr>
          <w:rFonts w:ascii="FangSong" w:hAnsi="FangSong" w:eastAsia="FangSong" w:cs="FangSong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得普遍响应。一是自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2022 </w:t>
      </w:r>
      <w:r>
        <w:rPr>
          <w:rFonts w:ascii="FangSong" w:hAnsi="FangSong" w:eastAsia="FangSong" w:cs="FangSong"/>
          <w:sz w:val="28"/>
          <w:szCs w:val="28"/>
          <w:spacing w:val="-4"/>
        </w:rPr>
        <w:t>年起，互联网行业、汽车行业、医药行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业、融资租赁行业等多个行业协会、社会团体组织发布或升级了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新的可持续信息披露团体标准，作为行业差异化内容的归纳总结，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2"/>
        </w:rPr>
        <w:t>标准有利于进一步建立可持续信息披露的行业共识</w:t>
      </w:r>
      <w:r>
        <w:rPr>
          <w:rFonts w:ascii="FangSong" w:hAnsi="FangSong" w:eastAsia="FangSong" w:cs="FangSong"/>
          <w:sz w:val="28"/>
          <w:szCs w:val="28"/>
          <w:spacing w:val="11"/>
        </w:rPr>
        <w:t>。二是我国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ESG </w:t>
      </w:r>
      <w:r>
        <w:rPr>
          <w:rFonts w:ascii="FangSong" w:hAnsi="FangSong" w:eastAsia="FangSong" w:cs="FangSong"/>
          <w:sz w:val="28"/>
          <w:szCs w:val="28"/>
        </w:rPr>
        <w:t>评级市场蓬勃发展间接推动了行业指标的加速形成，促使企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业在报告、网站等信息披露渠道对行业重点议题给出了产业实践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经验和内容反馈。三是企业优秀实践逐步丰富行业议题发展，如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近几年银行业持续推动绿色信贷、绿色债券、碳金融产品等行业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实践的规范和发展，也为其更好适应愈加严格</w:t>
      </w:r>
      <w:r>
        <w:rPr>
          <w:rFonts w:ascii="FangSong" w:hAnsi="FangSong" w:eastAsia="FangSong" w:cs="FangSong"/>
          <w:sz w:val="28"/>
          <w:szCs w:val="28"/>
          <w:spacing w:val="-9"/>
        </w:rPr>
        <w:t>的信息披露要求（如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其他间接（范围三）碳排放量）奠定了基础。</w:t>
      </w:r>
    </w:p>
    <w:p>
      <w:pPr>
        <w:ind w:left="443" w:right="74" w:firstLine="563"/>
        <w:spacing w:before="42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互联网行业</w:t>
      </w:r>
      <w:r>
        <w:rPr>
          <w:rFonts w:ascii="FangSong" w:hAnsi="FangSong" w:eastAsia="FangSong" w:cs="FangSong"/>
          <w:sz w:val="28"/>
          <w:szCs w:val="28"/>
          <w:spacing w:val="1"/>
        </w:rPr>
        <w:t>作为推动国家经济转型升级、满足人民日益增长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的美好生活需要、实现中华民族伟大复兴的重要领域，</w:t>
      </w:r>
      <w:r>
        <w:rPr>
          <w:rFonts w:ascii="SimHei" w:hAnsi="SimHei" w:eastAsia="SimHei" w:cs="SimHei"/>
          <w:sz w:val="28"/>
          <w:szCs w:val="28"/>
          <w:spacing w:val="1"/>
        </w:rPr>
        <w:t>在社会责</w:t>
      </w:r>
      <w:r>
        <w:rPr>
          <w:rFonts w:ascii="SimHei" w:hAnsi="SimHei" w:eastAsia="SimHei" w:cs="SimHei"/>
          <w:sz w:val="28"/>
          <w:szCs w:val="28"/>
          <w:spacing w:val="7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任及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理念认知的基础上正积极探索具有行业特色的可持续发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展核心主题。</w:t>
      </w:r>
      <w:r>
        <w:rPr>
          <w:rFonts w:ascii="FangSong" w:hAnsi="FangSong" w:eastAsia="FangSong" w:cs="FangSong"/>
          <w:sz w:val="28"/>
          <w:szCs w:val="28"/>
          <w:spacing w:val="1"/>
        </w:rPr>
        <w:t>一方面，</w:t>
      </w:r>
      <w:r>
        <w:rPr>
          <w:rFonts w:ascii="SimHei" w:hAnsi="SimHei" w:eastAsia="SimHei" w:cs="SimHei"/>
          <w:sz w:val="28"/>
          <w:szCs w:val="28"/>
          <w:spacing w:val="1"/>
        </w:rPr>
        <w:t>法律法规政策多次强调互联网行业信息披</w:t>
      </w:r>
      <w:r>
        <w:rPr>
          <w:rFonts w:ascii="SimHei" w:hAnsi="SimHei" w:eastAsia="SimHei" w:cs="SimHei"/>
          <w:sz w:val="28"/>
          <w:szCs w:val="28"/>
          <w:spacing w:val="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露相关内容</w:t>
      </w:r>
      <w:r>
        <w:rPr>
          <w:rFonts w:ascii="FangSong" w:hAnsi="FangSong" w:eastAsia="FangSong" w:cs="FangSong"/>
          <w:sz w:val="28"/>
          <w:szCs w:val="28"/>
          <w:spacing w:val="1"/>
        </w:rPr>
        <w:t>，在之前《个人信息保护法》《关于推动平台经济规</w:t>
      </w:r>
    </w:p>
    <w:p>
      <w:pPr>
        <w:spacing w:line="405" w:lineRule="auto"/>
        <w:sectPr>
          <w:headerReference w:type="default" r:id="rId21"/>
          <w:footerReference w:type="default" r:id="rId22"/>
          <w:pgSz w:w="11906" w:h="16839"/>
          <w:pgMar w:top="1134" w:right="1724" w:bottom="1153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92" w:lineRule="auto"/>
        <w:rPr/>
      </w:pPr>
      <w:r/>
    </w:p>
    <w:p>
      <w:pPr>
        <w:ind w:left="440" w:right="13" w:firstLine="28"/>
        <w:spacing w:before="91" w:line="40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9"/>
        </w:rPr>
        <w:t>范健康持续发展的若干意见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9"/>
        </w:rPr>
        <w:t>》等法规政策文件</w:t>
      </w:r>
      <w:r>
        <w:rPr>
          <w:rFonts w:ascii="FangSong" w:hAnsi="FangSong" w:eastAsia="FangSong" w:cs="FangSong"/>
          <w:sz w:val="28"/>
          <w:szCs w:val="28"/>
          <w:spacing w:val="28"/>
        </w:rPr>
        <w:t>的基础上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8"/>
        </w:rPr>
        <w:t>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>2022-2023 </w:t>
      </w:r>
      <w:r>
        <w:rPr>
          <w:rFonts w:ascii="FangSong" w:hAnsi="FangSong" w:eastAsia="FangSong" w:cs="FangSong"/>
          <w:sz w:val="28"/>
          <w:szCs w:val="28"/>
          <w:spacing w:val="-12"/>
        </w:rPr>
        <w:t>年密集发布的《互联网信息服务算法推荐管理规定》《工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5"/>
        </w:rPr>
        <w:t>业和信息化部</w:t>
      </w:r>
      <w:r>
        <w:rPr>
          <w:rFonts w:ascii="FangSong" w:hAnsi="FangSong" w:eastAsia="FangSong" w:cs="FangSong"/>
          <w:sz w:val="28"/>
          <w:szCs w:val="28"/>
          <w:spacing w:val="4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5"/>
        </w:rPr>
        <w:t>国家互联网信息办公室关于进一步规范移动</w:t>
      </w:r>
      <w:r>
        <w:rPr>
          <w:rFonts w:ascii="FangSong" w:hAnsi="FangSong" w:eastAsia="FangSong" w:cs="FangSong"/>
          <w:sz w:val="28"/>
          <w:szCs w:val="28"/>
          <w:spacing w:val="4"/>
        </w:rPr>
        <w:t>智能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终端应用软件预置行为的通告》《互联网信息服务深度合成管理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规定》《互联网跟帖评论服务管理规定》（修订）《生成式人工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智能服务管理暂行办法》等政策文件中均提到</w:t>
      </w:r>
      <w:r>
        <w:rPr>
          <w:rFonts w:ascii="FangSong" w:hAnsi="FangSong" w:eastAsia="FangSong" w:cs="FangSong"/>
          <w:sz w:val="28"/>
          <w:szCs w:val="28"/>
          <w:spacing w:val="-9"/>
        </w:rPr>
        <w:t>了“信息披露”“透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明”“</w:t>
      </w:r>
      <w:r>
        <w:rPr>
          <w:rFonts w:ascii="FangSong" w:hAnsi="FangSong" w:eastAsia="FangSong" w:cs="FangSong"/>
          <w:sz w:val="28"/>
          <w:szCs w:val="28"/>
          <w:spacing w:val="-101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明示”“公开”等要求，鼓励企业自主对外公开披露，推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动实现社会公众的有效监督。另一方面，</w:t>
      </w:r>
      <w:r>
        <w:rPr>
          <w:rFonts w:ascii="SimHei" w:hAnsi="SimHei" w:eastAsia="SimHei" w:cs="SimHei"/>
          <w:sz w:val="28"/>
          <w:szCs w:val="28"/>
          <w:spacing w:val="1"/>
        </w:rPr>
        <w:t>行业协会、研究机构等</w:t>
      </w:r>
      <w:r>
        <w:rPr>
          <w:rFonts w:ascii="SimHei" w:hAnsi="SimHei" w:eastAsia="SimHei" w:cs="SimHei"/>
          <w:sz w:val="28"/>
          <w:szCs w:val="28"/>
          <w:spacing w:val="9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专业组织正着力发挥技术专长和产业影响力，积极落实并细化政</w:t>
      </w:r>
      <w:r>
        <w:rPr>
          <w:rFonts w:ascii="SimHei" w:hAnsi="SimHei" w:eastAsia="SimHei" w:cs="SimHei"/>
          <w:sz w:val="28"/>
          <w:szCs w:val="28"/>
          <w:spacing w:val="1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策法规要求</w:t>
      </w:r>
      <w:r>
        <w:rPr>
          <w:rFonts w:ascii="FangSong" w:hAnsi="FangSong" w:eastAsia="FangSong" w:cs="FangSong"/>
          <w:sz w:val="28"/>
          <w:szCs w:val="28"/>
          <w:spacing w:val="1"/>
        </w:rPr>
        <w:t>。中国信息通信研究院与中国互联网协会联合牵头制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定的行业标准《互联网企业社会责任及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信息披露要求》、中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国互联网协会发布的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T/</w:t>
      </w:r>
      <w:r>
        <w:rPr>
          <w:rFonts w:ascii="Times New Roman" w:hAnsi="Times New Roman" w:eastAsia="Times New Roman" w:cs="Times New Roman"/>
          <w:sz w:val="28"/>
          <w:szCs w:val="28"/>
        </w:rPr>
        <w:t>ISC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0003</w:t>
      </w:r>
      <w:r>
        <w:rPr>
          <w:rFonts w:ascii="FangSong" w:hAnsi="FangSong" w:eastAsia="FangSong" w:cs="FangSong"/>
          <w:sz w:val="28"/>
          <w:szCs w:val="28"/>
          <w:spacing w:val="1"/>
        </w:rPr>
        <w:t>—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2020</w:t>
      </w:r>
      <w:r>
        <w:rPr>
          <w:rFonts w:ascii="FangSong" w:hAnsi="FangSong" w:eastAsia="FangSong" w:cs="FangSong"/>
          <w:sz w:val="28"/>
          <w:szCs w:val="28"/>
          <w:spacing w:val="1"/>
        </w:rPr>
        <w:t>《互联网企业社会责任报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告编写指南》、电信终端产业协会发布的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T/</w:t>
      </w:r>
      <w:r>
        <w:rPr>
          <w:rFonts w:ascii="Times New Roman" w:hAnsi="Times New Roman" w:eastAsia="Times New Roman" w:cs="Times New Roman"/>
          <w:sz w:val="28"/>
          <w:szCs w:val="28"/>
        </w:rPr>
        <w:t>TAF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17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9</w:t>
      </w:r>
      <w:r>
        <w:rPr>
          <w:rFonts w:ascii="FangSong" w:hAnsi="FangSong" w:eastAsia="FangSong" w:cs="FangSong"/>
          <w:sz w:val="28"/>
          <w:szCs w:val="28"/>
          <w:spacing w:val="1"/>
        </w:rPr>
        <w:t>—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2023</w:t>
      </w:r>
      <w:r>
        <w:rPr>
          <w:rFonts w:ascii="FangSong" w:hAnsi="FangSong" w:eastAsia="FangSong" w:cs="FangSong"/>
          <w:sz w:val="28"/>
          <w:szCs w:val="28"/>
          <w:spacing w:val="1"/>
        </w:rPr>
        <w:t>《个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人信息保护社会责任报告编写指南》等标准，在行业标准和团体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标准层面进一步完善了行业可持续信息披露标准体系。</w:t>
      </w:r>
    </w:p>
    <w:p>
      <w:pPr>
        <w:ind w:left="1093"/>
        <w:spacing w:before="29" w:line="223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15" w:id="69"/>
      <w:bookmarkEnd w:id="69"/>
      <w:r>
        <w:rPr>
          <w:rFonts w:ascii="SimHei" w:hAnsi="SimHei" w:eastAsia="SimHei" w:cs="SimHei"/>
          <w:sz w:val="31"/>
          <w:szCs w:val="31"/>
          <w:spacing w:val="8"/>
        </w:rPr>
        <w:t>三、可持续信息披露实践稳中有进</w:t>
      </w:r>
    </w:p>
    <w:p>
      <w:pPr>
        <w:ind w:left="1112"/>
        <w:spacing w:before="248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16" w:id="70"/>
      <w:bookmarkEnd w:id="70"/>
      <w:bookmarkStart w:name="bookmark18" w:id="71"/>
      <w:bookmarkEnd w:id="71"/>
      <w:bookmarkStart w:name="bookmark17" w:id="72"/>
      <w:bookmarkEnd w:id="72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（一）一体两翼基本形成，各司其职协同信披</w:t>
      </w:r>
    </w:p>
    <w:p>
      <w:pPr>
        <w:ind w:left="438" w:right="13" w:firstLine="556"/>
        <w:spacing w:before="322" w:line="40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信息披露作为我国互联网行业践行社会责任及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理念、实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现可持续发展的重要着眼点，获得了国家、监管方、社会公众、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舆论媒体等相关方广泛关注。互联网企业正将这种关注转化为发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展动力，向内健全完善自身信息披露管理机制，向外不断探索具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体披露方式及披露内容，逐步构建形成了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</w:t>
      </w:r>
      <w:r>
        <w:rPr>
          <w:rFonts w:ascii="FangSong" w:hAnsi="FangSong" w:eastAsia="FangSong" w:cs="FangSong"/>
          <w:sz w:val="28"/>
          <w:szCs w:val="28"/>
          <w:spacing w:val="-10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一体两翼”的</w:t>
      </w:r>
      <w:r>
        <w:rPr>
          <w:rFonts w:ascii="FangSong" w:hAnsi="FangSong" w:eastAsia="FangSong" w:cs="FangSong"/>
          <w:sz w:val="28"/>
          <w:szCs w:val="28"/>
          <w:spacing w:val="-2"/>
        </w:rPr>
        <w:t>多维度</w:t>
      </w:r>
    </w:p>
    <w:p>
      <w:pPr>
        <w:spacing w:line="406" w:lineRule="auto"/>
        <w:sectPr>
          <w:headerReference w:type="default" r:id="rId15"/>
          <w:footerReference w:type="default" r:id="rId23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36"/>
        <w:spacing w:before="91" w:line="21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信息披露渠道。</w:t>
      </w:r>
    </w:p>
    <w:p>
      <w:pPr>
        <w:ind w:left="443" w:firstLine="578"/>
        <w:spacing w:before="295" w:line="407" w:lineRule="auto"/>
        <w:tabs>
          <w:tab w:val="left" w:pos="8597"/>
        </w:tabs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4"/>
        </w:rPr>
        <w:t>一方面，</w:t>
      </w:r>
      <w:r>
        <w:rPr>
          <w:rFonts w:ascii="SimHei" w:hAnsi="SimHei" w:eastAsia="SimHei" w:cs="SimHei"/>
          <w:sz w:val="28"/>
          <w:szCs w:val="28"/>
          <w:spacing w:val="4"/>
        </w:rPr>
        <w:t>可持续发展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SimHei" w:hAnsi="SimHei" w:eastAsia="SimHei" w:cs="SimHei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4"/>
        </w:rPr>
        <w:t>等报告以及相</w:t>
      </w:r>
      <w:r>
        <w:rPr>
          <w:rFonts w:ascii="SimHei" w:hAnsi="SimHei" w:eastAsia="SimHei" w:cs="SimHei"/>
          <w:sz w:val="28"/>
          <w:szCs w:val="28"/>
          <w:spacing w:val="3"/>
        </w:rPr>
        <w:t>关议题报</w:t>
      </w:r>
      <w:r>
        <w:rPr>
          <w:rFonts w:ascii="SimHei" w:hAnsi="SimHei" w:eastAsia="SimHei" w:cs="SimHei"/>
          <w:sz w:val="28"/>
          <w:szCs w:val="28"/>
        </w:rPr>
        <w:tab/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9"/>
        </w:rPr>
        <w:t>告</w:t>
      </w:r>
      <w:r>
        <w:rPr>
          <w:rFonts w:ascii="FangSong" w:hAnsi="FangSong" w:eastAsia="FangSong" w:cs="FangSong"/>
          <w:sz w:val="28"/>
          <w:szCs w:val="28"/>
          <w:spacing w:val="-9"/>
        </w:rPr>
        <w:t>（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以下简称：可持续发展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/</w:t>
      </w:r>
      <w:r>
        <w:rPr>
          <w:rFonts w:ascii="FangSong" w:hAnsi="FangSong" w:eastAsia="FangSong" w:cs="FangSong"/>
          <w:sz w:val="28"/>
          <w:szCs w:val="28"/>
          <w:spacing w:val="-9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/ESG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报告、报告）作为“集</w:t>
      </w:r>
      <w:r>
        <w:rPr>
          <w:rFonts w:ascii="FangSong" w:hAnsi="FangSong" w:eastAsia="FangSong" w:cs="FangSong"/>
          <w:sz w:val="28"/>
          <w:szCs w:val="28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-9"/>
        </w:rPr>
        <w:t>大成者”，</w:t>
      </w:r>
      <w:r>
        <w:rPr>
          <w:rFonts w:ascii="SimHei" w:hAnsi="SimHei" w:eastAsia="SimHei" w:cs="SimHei"/>
          <w:sz w:val="28"/>
          <w:szCs w:val="28"/>
          <w:spacing w:val="-9"/>
        </w:rPr>
        <w:t>已成为互联网企业向利益相关方展示自身履责能力“一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  </w:t>
      </w:r>
      <w:r>
        <w:rPr>
          <w:rFonts w:ascii="SimHei" w:hAnsi="SimHei" w:eastAsia="SimHei" w:cs="SimHei"/>
          <w:sz w:val="28"/>
          <w:szCs w:val="28"/>
          <w:spacing w:val="1"/>
        </w:rPr>
        <w:t>体”化的重要载体</w:t>
      </w:r>
      <w:r>
        <w:rPr>
          <w:rFonts w:ascii="FangSong" w:hAnsi="FangSong" w:eastAsia="FangSong" w:cs="FangSong"/>
          <w:sz w:val="28"/>
          <w:szCs w:val="28"/>
          <w:spacing w:val="1"/>
        </w:rPr>
        <w:t>。另一方面，由于互联网行业的特殊性，</w:t>
      </w:r>
      <w:r>
        <w:rPr>
          <w:rFonts w:ascii="SimHei" w:hAnsi="SimHei" w:eastAsia="SimHei" w:cs="SimHei"/>
          <w:sz w:val="28"/>
          <w:szCs w:val="28"/>
          <w:spacing w:val="1"/>
        </w:rPr>
        <w:t>官方</w:t>
      </w:r>
      <w:r>
        <w:rPr>
          <w:rFonts w:ascii="SimHei" w:hAnsi="SimHei" w:eastAsia="SimHei" w:cs="SimHei"/>
          <w:sz w:val="28"/>
          <w:szCs w:val="28"/>
          <w:spacing w:val="2"/>
        </w:rPr>
        <w:t xml:space="preserve">   </w:t>
      </w:r>
      <w:r>
        <w:rPr>
          <w:rFonts w:ascii="SimHei" w:hAnsi="SimHei" w:eastAsia="SimHei" w:cs="SimHei"/>
          <w:sz w:val="28"/>
          <w:szCs w:val="28"/>
          <w:spacing w:val="-16"/>
        </w:rPr>
        <w:t>网站</w:t>
      </w:r>
      <w:r>
        <w:rPr>
          <w:rFonts w:ascii="FangSong" w:hAnsi="FangSong" w:eastAsia="FangSong" w:cs="FangSong"/>
          <w:sz w:val="28"/>
          <w:szCs w:val="28"/>
          <w:spacing w:val="-16"/>
        </w:rPr>
        <w:t>（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6"/>
        </w:rPr>
        <w:t>以下简称：官网）和</w:t>
      </w:r>
      <w:r>
        <w:rPr>
          <w:rFonts w:ascii="SimHei" w:hAnsi="SimHei" w:eastAsia="SimHei" w:cs="SimHei"/>
          <w:sz w:val="28"/>
          <w:szCs w:val="28"/>
          <w:spacing w:val="-16"/>
        </w:rPr>
        <w:t>移动互联网应用程序</w:t>
      </w:r>
      <w:r>
        <w:rPr>
          <w:rFonts w:ascii="FangSong" w:hAnsi="FangSong" w:eastAsia="FangSong" w:cs="FangSong"/>
          <w:sz w:val="28"/>
          <w:szCs w:val="28"/>
          <w:spacing w:val="-17"/>
        </w:rPr>
        <w:t>（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7"/>
        </w:rPr>
        <w:t>以下简称：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>APP</w:t>
      </w:r>
      <w:r>
        <w:rPr>
          <w:rFonts w:ascii="FangSong" w:hAnsi="FangSong" w:eastAsia="FangSong" w:cs="FangSong"/>
          <w:sz w:val="28"/>
          <w:szCs w:val="28"/>
          <w:spacing w:val="-17"/>
        </w:rPr>
        <w:t>）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不仅是企业重要的流量入口和业务载体，也作为</w:t>
      </w:r>
      <w:r>
        <w:rPr>
          <w:rFonts w:ascii="SimHei" w:hAnsi="SimHei" w:eastAsia="SimHei" w:cs="SimHei"/>
          <w:sz w:val="28"/>
          <w:szCs w:val="28"/>
          <w:spacing w:val="1"/>
        </w:rPr>
        <w:t>信息披露“两翼”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有效保障可持续信息的可及性和触达率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</w:p>
    <w:p>
      <w:pPr>
        <w:ind w:left="449" w:right="279" w:firstLine="551"/>
        <w:spacing w:before="46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根据</w:t>
      </w:r>
      <w:r>
        <w:rPr>
          <w:rFonts w:ascii="FangSong" w:hAnsi="FangSong" w:eastAsia="FangSong" w:cs="FangSong"/>
          <w:sz w:val="28"/>
          <w:szCs w:val="28"/>
          <w:spacing w:val="-97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“一体两翼”式的信息披露渠道的不同特点</w:t>
      </w:r>
      <w:r>
        <w:rPr>
          <w:rFonts w:ascii="FangSong" w:hAnsi="FangSong" w:eastAsia="FangSong" w:cs="FangSong"/>
          <w:sz w:val="28"/>
          <w:szCs w:val="28"/>
          <w:spacing w:val="-1"/>
        </w:rPr>
        <w:t>，所披露内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容既有关联，又不尽相同。</w:t>
      </w:r>
    </w:p>
    <w:p>
      <w:pPr>
        <w:ind w:left="445" w:right="279" w:firstLine="567"/>
        <w:spacing w:before="42" w:line="38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4"/>
        </w:rPr>
        <w:t>首先，</w:t>
      </w:r>
      <w:r>
        <w:rPr>
          <w:rFonts w:ascii="SimHei" w:hAnsi="SimHei" w:eastAsia="SimHei" w:cs="SimHei"/>
          <w:sz w:val="28"/>
          <w:szCs w:val="28"/>
          <w:spacing w:val="4"/>
        </w:rPr>
        <w:t>可持续发展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SimHei" w:hAnsi="SimHei" w:eastAsia="SimHei" w:cs="SimHei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4"/>
        </w:rPr>
        <w:t>报告具有“公开性、全面</w:t>
      </w:r>
      <w:r>
        <w:rPr>
          <w:rFonts w:ascii="SimHei" w:hAnsi="SimHei" w:eastAsia="SimHei" w:cs="SimHei"/>
          <w:sz w:val="28"/>
          <w:szCs w:val="28"/>
          <w:spacing w:val="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性、周期性”的特点</w:t>
      </w:r>
      <w:r>
        <w:rPr>
          <w:rFonts w:ascii="FangSong" w:hAnsi="FangSong" w:eastAsia="FangSong" w:cs="FangSong"/>
          <w:sz w:val="28"/>
          <w:szCs w:val="28"/>
          <w:spacing w:val="1"/>
        </w:rPr>
        <w:t>，即报告面向社会公众均可触及、内容涉及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较多议题、且多以年为单位周期发布。本报告以中国互联网协会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所发布的《中国互联网企业综合实力指数（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2022</w:t>
      </w:r>
      <w:r>
        <w:rPr>
          <w:rFonts w:ascii="FangSong" w:hAnsi="FangSong" w:eastAsia="FangSong" w:cs="FangSong"/>
          <w:sz w:val="28"/>
          <w:szCs w:val="28"/>
          <w:spacing w:val="1"/>
        </w:rPr>
        <w:t>）》中综合实力</w:t>
      </w:r>
    </w:p>
    <w:p>
      <w:pPr>
        <w:ind w:left="452"/>
        <w:spacing w:line="624" w:lineRule="exact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  <w:position w:val="9"/>
        </w:rPr>
        <w:t>前百家企业为研究范围，据不完全统计</w:t>
      </w:r>
      <w:hyperlink w:history="true" w:anchor="bookmark105">
        <w:r>
          <w:rPr>
            <w:rFonts w:ascii="Times New Roman" w:hAnsi="Times New Roman" w:eastAsia="Times New Roman" w:cs="Times New Roman"/>
            <w:sz w:val="18"/>
            <w:szCs w:val="18"/>
            <w:spacing w:val="-2"/>
            <w:position w:val="18"/>
          </w:rPr>
          <w:t>2</w:t>
        </w:r>
      </w:hyperlink>
      <w:r>
        <w:rPr>
          <w:rFonts w:ascii="FangSong" w:hAnsi="FangSong" w:eastAsia="FangSong" w:cs="FangSong"/>
          <w:sz w:val="28"/>
          <w:szCs w:val="28"/>
          <w:spacing w:val="-2"/>
          <w:position w:val="9"/>
        </w:rPr>
        <w:t>，共收集到该</w:t>
      </w:r>
      <w:r>
        <w:rPr>
          <w:rFonts w:ascii="FangSong" w:hAnsi="FangSong" w:eastAsia="FangSong" w:cs="FangSong"/>
          <w:sz w:val="28"/>
          <w:szCs w:val="28"/>
          <w:spacing w:val="-3"/>
          <w:position w:val="9"/>
        </w:rPr>
        <w:t>范围内的以</w:t>
      </w:r>
    </w:p>
    <w:p>
      <w:pPr>
        <w:ind w:left="447"/>
        <w:spacing w:before="171" w:line="21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企业为单独发布主体、自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2010 </w:t>
      </w:r>
      <w:r>
        <w:rPr>
          <w:rFonts w:ascii="FangSong" w:hAnsi="FangSong" w:eastAsia="FangSong" w:cs="FangSong"/>
          <w:sz w:val="28"/>
          <w:szCs w:val="28"/>
          <w:spacing w:val="-2"/>
        </w:rPr>
        <w:t>年以来公开发布且单独成册的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340</w:t>
      </w:r>
    </w:p>
    <w:p>
      <w:pPr>
        <w:ind w:left="443"/>
        <w:spacing w:before="295" w:line="222" w:lineRule="auto"/>
        <w:rPr>
          <w:rFonts w:ascii="FangSong" w:hAnsi="FangSong" w:eastAsia="FangSong" w:cs="FangSong"/>
          <w:sz w:val="28"/>
          <w:szCs w:val="28"/>
        </w:rPr>
      </w:pPr>
      <w:hyperlink w:history="true" w:anchor="bookmark106">
        <w:r>
          <w:rPr>
            <w:rFonts w:ascii="SimHei" w:hAnsi="SimHei" w:eastAsia="SimHei" w:cs="SimHei"/>
            <w:sz w:val="28"/>
            <w:szCs w:val="28"/>
            <w:spacing w:val="-1"/>
          </w:rPr>
          <w:t>份可持续发展</w:t>
        </w:r>
        <w:r>
          <w:rPr>
            <w:rFonts w:ascii="Times New Roman" w:hAnsi="Times New Roman" w:eastAsia="Times New Roman" w:cs="Times New Roman"/>
            <w:sz w:val="28"/>
            <w:szCs w:val="28"/>
            <w:spacing w:val="-1"/>
          </w:rPr>
          <w:t>/</w:t>
        </w:r>
        <w:r>
          <w:rPr>
            <w:rFonts w:ascii="SimHei" w:hAnsi="SimHei" w:eastAsia="SimHei" w:cs="SimHei"/>
            <w:sz w:val="28"/>
            <w:szCs w:val="28"/>
            <w:spacing w:val="-1"/>
          </w:rPr>
          <w:t>社会责任</w:t>
        </w:r>
        <w:r>
          <w:rPr>
            <w:rFonts w:ascii="Times New Roman" w:hAnsi="Times New Roman" w:eastAsia="Times New Roman" w:cs="Times New Roman"/>
            <w:sz w:val="28"/>
            <w:szCs w:val="28"/>
            <w:spacing w:val="-1"/>
          </w:rPr>
          <w:t>/ESG </w:t>
        </w:r>
        <w:r>
          <w:rPr>
            <w:rFonts w:ascii="SimHei" w:hAnsi="SimHei" w:eastAsia="SimHei" w:cs="SimHei"/>
            <w:sz w:val="28"/>
            <w:szCs w:val="28"/>
            <w:spacing w:val="-1"/>
          </w:rPr>
          <w:t>报告</w:t>
        </w:r>
        <w:r>
          <w:rPr>
            <w:rFonts w:ascii="Times New Roman" w:hAnsi="Times New Roman" w:eastAsia="Times New Roman" w:cs="Times New Roman"/>
            <w:sz w:val="18"/>
            <w:szCs w:val="18"/>
            <w:spacing w:val="-1"/>
          </w:rPr>
          <w:t>3</w:t>
        </w:r>
      </w:hyperlink>
      <w:r>
        <w:rPr>
          <w:rFonts w:ascii="FangSong" w:hAnsi="FangSong" w:eastAsia="FangSong" w:cs="FangSong"/>
          <w:sz w:val="28"/>
          <w:szCs w:val="28"/>
          <w:spacing w:val="-1"/>
        </w:rPr>
        <w:t>，涉及</w:t>
      </w:r>
      <w:r>
        <w:rPr>
          <w:rFonts w:ascii="FangSong" w:hAnsi="FangSong" w:eastAsia="FangSong" w:cs="FangSong"/>
          <w:sz w:val="28"/>
          <w:szCs w:val="28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54 </w:t>
      </w:r>
      <w:r>
        <w:rPr>
          <w:rFonts w:ascii="FangSong" w:hAnsi="FangSong" w:eastAsia="FangSong" w:cs="FangSong"/>
          <w:sz w:val="28"/>
          <w:szCs w:val="28"/>
          <w:spacing w:val="-1"/>
        </w:rPr>
        <w:t>家互联网企业。</w:t>
      </w:r>
    </w:p>
    <w:p>
      <w:pPr>
        <w:ind w:left="441" w:right="204" w:firstLine="565"/>
        <w:spacing w:before="289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7"/>
        </w:rPr>
        <w:t>其次，企业官方网站具有“公开性、及时性、多重性”特点</w:t>
      </w:r>
      <w:r>
        <w:rPr>
          <w:rFonts w:ascii="FangSong" w:hAnsi="FangSong" w:eastAsia="FangSong" w:cs="FangSong"/>
          <w:sz w:val="28"/>
          <w:szCs w:val="28"/>
          <w:spacing w:val="-7"/>
        </w:rPr>
        <w:t>，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即作为企业官方建立的具有公开性质的独立网站，更新频率更为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及时，主要披露不仅限于企业可持续发展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FangSong" w:hAnsi="FangSong" w:eastAsia="FangSong" w:cs="FangSong"/>
          <w:sz w:val="28"/>
          <w:szCs w:val="28"/>
          <w:spacing w:val="3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报告和</w:t>
      </w:r>
    </w:p>
    <w:p>
      <w:pPr>
        <w:ind w:left="459"/>
        <w:spacing w:before="48" w:line="188" w:lineRule="auto"/>
        <w:rPr>
          <w:rFonts w:ascii="FangSong" w:hAnsi="FangSong" w:eastAsia="FangSong" w:cs="FangSong"/>
          <w:sz w:val="28"/>
          <w:szCs w:val="28"/>
        </w:rPr>
      </w:pPr>
      <w:bookmarkStart w:name="bookmark105" w:id="73"/>
      <w:bookmarkEnd w:id="73"/>
      <w:bookmarkStart w:name="bookmark106" w:id="74"/>
      <w:bookmarkEnd w:id="74"/>
      <w:r>
        <w:rPr>
          <w:rFonts w:ascii="FangSong" w:hAnsi="FangSong" w:eastAsia="FangSong" w:cs="FangSong"/>
          <w:sz w:val="28"/>
          <w:szCs w:val="28"/>
          <w:spacing w:val="1"/>
        </w:rPr>
        <w:t>实践案例，还有第三方发布的新闻报道、奖项</w:t>
      </w:r>
      <w:r>
        <w:rPr>
          <w:rFonts w:ascii="FangSong" w:hAnsi="FangSong" w:eastAsia="FangSong" w:cs="FangSong"/>
          <w:sz w:val="28"/>
          <w:szCs w:val="28"/>
        </w:rPr>
        <w:t>评级等多重来源的</w:t>
      </w:r>
    </w:p>
    <w:p>
      <w:pPr>
        <w:pStyle w:val="BodyText"/>
        <w:ind w:left="434"/>
        <w:spacing w:before="1" w:line="239" w:lineRule="auto"/>
        <w:tabs>
          <w:tab w:val="left" w:pos="3313"/>
        </w:tabs>
        <w:rPr/>
      </w:pPr>
      <w:r>
        <w:rPr>
          <w:u w:val="single" w:color="auto"/>
        </w:rPr>
        <w:tab/>
      </w:r>
    </w:p>
    <w:p>
      <w:pPr>
        <w:ind w:left="436"/>
        <w:spacing w:before="10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2   </w:t>
      </w:r>
      <w:r>
        <w:rPr>
          <w:rFonts w:ascii="SimSun" w:hAnsi="SimSun" w:eastAsia="SimSun" w:cs="SimSun"/>
          <w:sz w:val="18"/>
          <w:szCs w:val="18"/>
        </w:rPr>
        <w:t>通过邮件定向征集、一对一沟通、遍历官方网站、公开征集等多种渠道进行了收集</w:t>
      </w:r>
    </w:p>
    <w:p>
      <w:pPr>
        <w:ind w:left="438" w:right="377"/>
        <w:spacing w:before="20" w:line="228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spacing w:val="-2"/>
          <w:position w:val="6"/>
        </w:rPr>
        <w:t>3</w:t>
      </w:r>
      <w:r>
        <w:rPr>
          <w:rFonts w:ascii="Times New Roman" w:hAnsi="Times New Roman" w:eastAsia="Times New Roman" w:cs="Times New Roman"/>
          <w:sz w:val="11"/>
          <w:szCs w:val="11"/>
          <w:spacing w:val="7"/>
          <w:w w:val="102"/>
          <w:position w:val="6"/>
        </w:rPr>
        <w:t xml:space="preserve">   </w:t>
      </w:r>
      <w:r>
        <w:rPr>
          <w:rFonts w:ascii="SimSun" w:hAnsi="SimSun" w:eastAsia="SimSun" w:cs="SimSun"/>
          <w:sz w:val="18"/>
          <w:szCs w:val="18"/>
          <w:spacing w:val="-2"/>
        </w:rPr>
        <w:t>收集截止日期为</w:t>
      </w:r>
      <w:r>
        <w:rPr>
          <w:rFonts w:ascii="SimSun" w:hAnsi="SimSun" w:eastAsia="SimSun" w:cs="SimSun"/>
          <w:sz w:val="18"/>
          <w:szCs w:val="18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2"/>
        </w:rPr>
        <w:t>2023 </w:t>
      </w:r>
      <w:r>
        <w:rPr>
          <w:rFonts w:ascii="SimSun" w:hAnsi="SimSun" w:eastAsia="SimSun" w:cs="SimSun"/>
          <w:sz w:val="18"/>
          <w:szCs w:val="18"/>
          <w:spacing w:val="-2"/>
        </w:rPr>
        <w:t>年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2"/>
        </w:rPr>
        <w:t>8</w:t>
      </w:r>
      <w:r>
        <w:rPr>
          <w:rFonts w:ascii="Times New Roman" w:hAnsi="Times New Roman" w:eastAsia="Times New Roman" w:cs="Times New Roman"/>
          <w:sz w:val="18"/>
          <w:szCs w:val="18"/>
          <w:spacing w:val="1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2"/>
        </w:rPr>
        <w:t>月</w:t>
      </w:r>
      <w:r>
        <w:rPr>
          <w:rFonts w:ascii="SimSun" w:hAnsi="SimSun" w:eastAsia="SimSun" w:cs="SimSun"/>
          <w:sz w:val="18"/>
          <w:szCs w:val="18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2"/>
        </w:rPr>
        <w:t>10  </w:t>
      </w:r>
      <w:r>
        <w:rPr>
          <w:rFonts w:ascii="SimSun" w:hAnsi="SimSun" w:eastAsia="SimSun" w:cs="SimSun"/>
          <w:sz w:val="18"/>
          <w:szCs w:val="18"/>
          <w:spacing w:val="-2"/>
        </w:rPr>
        <w:t>日，本报告并不保证研究范围内所有的可持续发展</w:t>
      </w:r>
      <w:r>
        <w:rPr>
          <w:rFonts w:ascii="Times New Roman" w:hAnsi="Times New Roman" w:eastAsia="Times New Roman" w:cs="Times New Roman"/>
          <w:sz w:val="18"/>
          <w:szCs w:val="18"/>
          <w:spacing w:val="-2"/>
        </w:rPr>
        <w:t>/</w:t>
      </w:r>
      <w:r>
        <w:rPr>
          <w:rFonts w:ascii="SimSun" w:hAnsi="SimSun" w:eastAsia="SimSun" w:cs="SimSun"/>
          <w:sz w:val="18"/>
          <w:szCs w:val="18"/>
          <w:spacing w:val="-2"/>
        </w:rPr>
        <w:t>社</w:t>
      </w:r>
      <w:r>
        <w:rPr>
          <w:rFonts w:ascii="SimSun" w:hAnsi="SimSun" w:eastAsia="SimSun" w:cs="SimSun"/>
          <w:sz w:val="18"/>
          <w:szCs w:val="18"/>
          <w:spacing w:val="-3"/>
        </w:rPr>
        <w:t>会责任</w:t>
      </w:r>
      <w:r>
        <w:rPr>
          <w:rFonts w:ascii="Times New Roman" w:hAnsi="Times New Roman" w:eastAsia="Times New Roman" w:cs="Times New Roman"/>
          <w:sz w:val="18"/>
          <w:szCs w:val="18"/>
          <w:spacing w:val="-3"/>
        </w:rPr>
        <w:t>/ESG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"/>
        </w:rPr>
        <w:t>报告均被覆盖到</w:t>
      </w:r>
    </w:p>
    <w:p>
      <w:pPr>
        <w:spacing w:line="228" w:lineRule="auto"/>
        <w:sectPr>
          <w:headerReference w:type="default" r:id="rId24"/>
          <w:footerReference w:type="default" r:id="rId25"/>
          <w:pgSz w:w="11906" w:h="16839"/>
          <w:pgMar w:top="1134" w:right="1520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86" w:lineRule="auto"/>
        <w:rPr/>
      </w:pPr>
      <w:r/>
    </w:p>
    <w:p>
      <w:pPr>
        <w:ind w:left="450" w:right="13" w:hanging="14"/>
        <w:spacing w:before="91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信息。同样以中国互联网协会所发布的《中国互联网企业综合实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力指数（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2022</w:t>
      </w:r>
      <w:r>
        <w:rPr>
          <w:rFonts w:ascii="FangSong" w:hAnsi="FangSong" w:eastAsia="FangSong" w:cs="FangSong"/>
          <w:sz w:val="28"/>
          <w:szCs w:val="28"/>
          <w:spacing w:val="1"/>
        </w:rPr>
        <w:t>）》中综合实力前百家企业为主要研究范</w:t>
      </w:r>
      <w:r>
        <w:rPr>
          <w:rFonts w:ascii="FangSong" w:hAnsi="FangSong" w:eastAsia="FangSong" w:cs="FangSong"/>
          <w:sz w:val="28"/>
          <w:szCs w:val="28"/>
        </w:rPr>
        <w:t>围，据不</w:t>
      </w:r>
    </w:p>
    <w:p>
      <w:pPr>
        <w:ind w:right="14"/>
        <w:spacing w:before="43" w:line="222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3"/>
        </w:rPr>
        <w:t>完全统计，</w:t>
      </w:r>
      <w:r>
        <w:rPr>
          <w:rFonts w:ascii="SimHei" w:hAnsi="SimHei" w:eastAsia="SimHei" w:cs="SimHei"/>
          <w:sz w:val="28"/>
          <w:szCs w:val="28"/>
          <w:spacing w:val="3"/>
        </w:rPr>
        <w:t>共有</w:t>
      </w:r>
      <w:r>
        <w:rPr>
          <w:rFonts w:ascii="SimHei" w:hAnsi="SimHei" w:eastAsia="SimHei" w:cs="SimHei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47 </w:t>
      </w:r>
      <w:r>
        <w:rPr>
          <w:rFonts w:ascii="SimHei" w:hAnsi="SimHei" w:eastAsia="SimHei" w:cs="SimHei"/>
          <w:sz w:val="28"/>
          <w:szCs w:val="28"/>
          <w:spacing w:val="3"/>
        </w:rPr>
        <w:t>家</w:t>
      </w:r>
      <w:hyperlink w:history="true" w:anchor="bookmark107">
        <w:r>
          <w:rPr>
            <w:rFonts w:ascii="Times New Roman" w:hAnsi="Times New Roman" w:eastAsia="Times New Roman" w:cs="Times New Roman"/>
            <w:sz w:val="18"/>
            <w:szCs w:val="18"/>
            <w:spacing w:val="3"/>
            <w:position w:val="9"/>
          </w:rPr>
          <w:t>4</w:t>
        </w:r>
      </w:hyperlink>
      <w:r>
        <w:rPr>
          <w:rFonts w:ascii="SimHei" w:hAnsi="SimHei" w:eastAsia="SimHei" w:cs="SimHei"/>
          <w:sz w:val="28"/>
          <w:szCs w:val="28"/>
          <w:spacing w:val="3"/>
        </w:rPr>
        <w:t>企业设置了可持续发展、社会责任、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</w:p>
    <w:p>
      <w:pPr>
        <w:ind w:left="447" w:right="13" w:hanging="5"/>
        <w:spacing w:before="289" w:line="394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2"/>
        </w:rPr>
        <w:t>等相关的一级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SimHei" w:hAnsi="SimHei" w:eastAsia="SimHei" w:cs="SimHei"/>
          <w:sz w:val="28"/>
          <w:szCs w:val="28"/>
          <w:spacing w:val="-2"/>
        </w:rPr>
        <w:t>二级单独页面</w:t>
      </w:r>
      <w:r>
        <w:rPr>
          <w:rFonts w:ascii="FangSong" w:hAnsi="FangSong" w:eastAsia="FangSong" w:cs="FangSong"/>
          <w:sz w:val="28"/>
          <w:szCs w:val="28"/>
          <w:spacing w:val="-2"/>
        </w:rPr>
        <w:t>，且上述企业基本上也同时发布了可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持续发展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/ESG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报告。</w:t>
      </w:r>
    </w:p>
    <w:p>
      <w:pPr>
        <w:ind w:left="442" w:right="13" w:firstLine="568"/>
        <w:spacing w:before="56" w:line="40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最后，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具有“业务关联性、有限公开性”特点</w:t>
      </w:r>
      <w:r>
        <w:rPr>
          <w:rFonts w:ascii="FangSong" w:hAnsi="FangSong" w:eastAsia="FangSong" w:cs="FangSong"/>
          <w:sz w:val="28"/>
          <w:szCs w:val="28"/>
          <w:spacing w:val="-1"/>
        </w:rPr>
        <w:t>，与可持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续发展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报告以及官网差异较大。</w:t>
      </w:r>
      <w:r>
        <w:rPr>
          <w:rFonts w:ascii="Times New Roman" w:hAnsi="Times New Roman" w:eastAsia="Times New Roman" w:cs="Times New Roman"/>
          <w:sz w:val="28"/>
          <w:szCs w:val="28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作为互联网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企业的商业服务平台和业务运营载体，极少设置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“可</w:t>
      </w:r>
      <w:r>
        <w:rPr>
          <w:rFonts w:ascii="FangSong" w:hAnsi="FangSong" w:eastAsia="FangSong" w:cs="FangSong"/>
          <w:sz w:val="28"/>
          <w:szCs w:val="28"/>
          <w:spacing w:val="-1"/>
        </w:rPr>
        <w:t>持续发展、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社会责任、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-4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”单独模块，但与业务紧密相关</w:t>
      </w:r>
      <w:r>
        <w:rPr>
          <w:rFonts w:ascii="FangSong" w:hAnsi="FangSong" w:eastAsia="FangSong" w:cs="FangSong"/>
          <w:sz w:val="28"/>
          <w:szCs w:val="28"/>
          <w:spacing w:val="1"/>
        </w:rPr>
        <w:t>的核心主题则多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有涉及，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比如：隐私政策、双清单、平台规则、公益入口等。其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中，平台规则作为互联网企业所制定、由消费者及生态伙伴表示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认可的自治性条约，既属于可持续发展中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“用户权益</w:t>
      </w:r>
      <w:r>
        <w:rPr>
          <w:rFonts w:ascii="FangSong" w:hAnsi="FangSong" w:eastAsia="FangSong" w:cs="FangSong"/>
          <w:sz w:val="28"/>
          <w:szCs w:val="28"/>
          <w:spacing w:val="-1"/>
        </w:rPr>
        <w:t>保障与体验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提升”和</w:t>
      </w:r>
      <w:r>
        <w:rPr>
          <w:rFonts w:ascii="FangSong" w:hAnsi="FangSong" w:eastAsia="FangSong" w:cs="FangSong"/>
          <w:sz w:val="28"/>
          <w:szCs w:val="28"/>
          <w:spacing w:val="-9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“生态伙伴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供应商管理与合作”核心主题的具体实践，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又极富行业特色，并已在一些互联网企业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中通过单独页面进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行信息披露，因此，本报告第五章将对其进行深入分析。另外，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鉴于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有些功能须登陆才可使用，相关可持续信息可能也并非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直接面对社会公众，即不同利益相关方查阅到的可持续信息也有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所不同。</w:t>
      </w:r>
    </w:p>
    <w:p>
      <w:pPr>
        <w:ind w:left="1112"/>
        <w:spacing w:before="84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20" w:id="75"/>
      <w:bookmarkEnd w:id="75"/>
      <w:bookmarkStart w:name="bookmark107" w:id="76"/>
      <w:bookmarkEnd w:id="76"/>
      <w:bookmarkStart w:name="bookmark19" w:id="77"/>
      <w:bookmarkEnd w:id="77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（二）报告数质平稳发展，</w:t>
      </w:r>
      <w:r>
        <w:rPr>
          <w:rFonts w:ascii="Times New Roman" w:hAnsi="Times New Roman" w:eastAsia="Times New Roman" w:cs="Times New Roman"/>
          <w:sz w:val="31"/>
          <w:szCs w:val="31"/>
          <w:b/>
          <w:bCs/>
        </w:rPr>
        <w:t>ESG</w:t>
      </w:r>
      <w:r>
        <w:rPr>
          <w:rFonts w:ascii="Times New Roman" w:hAnsi="Times New Roman" w:eastAsia="Times New Roman" w:cs="Times New Roman"/>
          <w:sz w:val="31"/>
          <w:szCs w:val="31"/>
          <w:b/>
          <w:bCs/>
          <w:spacing w:val="31"/>
        </w:rPr>
        <w:t xml:space="preserve"> </w:t>
      </w:r>
      <w:r>
        <w:rPr>
          <w:rFonts w:ascii="KaiTi" w:hAnsi="KaiTi" w:eastAsia="KaiTi" w:cs="KaiTi"/>
          <w:sz w:val="31"/>
          <w:szCs w:val="31"/>
          <w:b/>
          <w:bCs/>
          <w:spacing w:val="5"/>
        </w:rPr>
        <w:t>专项势头强劲</w:t>
      </w:r>
    </w:p>
    <w:p>
      <w:pPr>
        <w:ind w:left="479" w:right="13" w:firstLine="560"/>
        <w:spacing w:before="325" w:line="397" w:lineRule="auto"/>
        <w:rPr>
          <w:rFonts w:ascii="FangSong" w:hAnsi="FangSong" w:eastAsia="FangSong" w:cs="FangSong"/>
          <w:sz w:val="28"/>
          <w:szCs w:val="28"/>
        </w:rPr>
      </w:pPr>
      <w:r>
        <w:pict>
          <v:shape id="_x0000_s42" style="position:absolute;margin-left:21.705pt;margin-top:77.2084pt;mso-position-vertical-relative:text;mso-position-horizontal-relative:text;width:144pt;height:0pt;z-index:251691008;" filled="false" strokecolor="#000000" strokeweight="0.00pt" coordsize="2880,0" coordorigin="0,0" path="m,l2880,0e">
            <v:stroke endcap="square" joinstyle="bevel" miterlimit="0"/>
          </v:shape>
        </w:pict>
      </w:r>
      <w:r>
        <w:rPr>
          <w:rFonts w:ascii="FangSong" w:hAnsi="FangSong" w:eastAsia="FangSong" w:cs="FangSong"/>
          <w:sz w:val="28"/>
          <w:szCs w:val="28"/>
          <w:spacing w:val="-2"/>
        </w:rPr>
        <w:t>当前，可持续信息披露正逐步从</w:t>
      </w:r>
      <w:r>
        <w:rPr>
          <w:rFonts w:ascii="FangSong" w:hAnsi="FangSong" w:eastAsia="FangSong" w:cs="FangSong"/>
          <w:sz w:val="28"/>
          <w:szCs w:val="28"/>
          <w:spacing w:val="-8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“理念普及、良好示范”迈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向</w:t>
      </w:r>
      <w:r>
        <w:rPr>
          <w:rFonts w:ascii="FangSong" w:hAnsi="FangSong" w:eastAsia="FangSong" w:cs="FangSong"/>
          <w:sz w:val="28"/>
          <w:szCs w:val="28"/>
          <w:spacing w:val="-9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“纵深推进、专项应用”阶段。</w:t>
      </w:r>
    </w:p>
    <w:p>
      <w:pPr>
        <w:ind w:left="439" w:right="13" w:hanging="4"/>
        <w:spacing w:before="165" w:line="229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4</w:t>
      </w:r>
      <w:r>
        <w:rPr>
          <w:rFonts w:ascii="Times New Roman" w:hAnsi="Times New Roman" w:eastAsia="Times New Roman" w:cs="Times New Roman"/>
          <w:sz w:val="11"/>
          <w:szCs w:val="11"/>
          <w:spacing w:val="10"/>
          <w:position w:val="6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本报告并不保证研究范围内所有设置可持续发展、</w:t>
      </w:r>
      <w:r>
        <w:rPr>
          <w:rFonts w:ascii="SimSun" w:hAnsi="SimSun" w:eastAsia="SimSun" w:cs="SimSun"/>
          <w:sz w:val="18"/>
          <w:szCs w:val="18"/>
          <w:spacing w:val="-1"/>
        </w:rPr>
        <w:t>社会责任、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ESG </w:t>
      </w:r>
      <w:r>
        <w:rPr>
          <w:rFonts w:ascii="SimSun" w:hAnsi="SimSun" w:eastAsia="SimSun" w:cs="SimSun"/>
          <w:sz w:val="18"/>
          <w:szCs w:val="18"/>
          <w:spacing w:val="-1"/>
        </w:rPr>
        <w:t>等相关的一级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/</w:t>
      </w:r>
      <w:r>
        <w:rPr>
          <w:rFonts w:ascii="SimSun" w:hAnsi="SimSun" w:eastAsia="SimSun" w:cs="SimSun"/>
          <w:sz w:val="18"/>
          <w:szCs w:val="18"/>
          <w:spacing w:val="-1"/>
        </w:rPr>
        <w:t>二级单独页面的企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2"/>
        </w:rPr>
        <w:t>业均被覆盖</w:t>
      </w:r>
    </w:p>
    <w:p>
      <w:pPr>
        <w:spacing w:line="229" w:lineRule="auto"/>
        <w:sectPr>
          <w:headerReference w:type="default" r:id="rId15"/>
          <w:footerReference w:type="default" r:id="rId26"/>
          <w:pgSz w:w="11906" w:h="16839"/>
          <w:pgMar w:top="1134" w:right="1785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83" w:lineRule="auto"/>
        <w:rPr/>
      </w:pPr>
      <w:r/>
    </w:p>
    <w:p>
      <w:pPr>
        <w:ind w:left="441" w:right="13" w:firstLine="560"/>
        <w:spacing w:before="91" w:line="404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391597</wp:posOffset>
            </wp:positionV>
            <wp:extent cx="5192565" cy="7977335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8"/>
          <w:szCs w:val="28"/>
          <w:spacing w:val="-5"/>
        </w:rPr>
        <w:t>报告数量方面</w:t>
      </w:r>
      <w:r>
        <w:rPr>
          <w:rFonts w:ascii="FangSong" w:hAnsi="FangSong" w:eastAsia="FangSong" w:cs="FangSong"/>
          <w:sz w:val="28"/>
          <w:szCs w:val="28"/>
          <w:spacing w:val="-5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2022 </w:t>
      </w:r>
      <w:r>
        <w:rPr>
          <w:rFonts w:ascii="FangSong" w:hAnsi="FangSong" w:eastAsia="FangSong" w:cs="FangSong"/>
          <w:sz w:val="28"/>
          <w:szCs w:val="28"/>
          <w:spacing w:val="-5"/>
        </w:rPr>
        <w:t>年互联网企业可持续发展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/</w:t>
      </w:r>
      <w:r>
        <w:rPr>
          <w:rFonts w:ascii="FangSong" w:hAnsi="FangSong" w:eastAsia="FangSong" w:cs="FangSong"/>
          <w:sz w:val="28"/>
          <w:szCs w:val="28"/>
          <w:spacing w:val="-5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/ESG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报告整体数量保持平稳，考虑到部分企业发布或计划发布报告时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间晚于本报告收集截止日期（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2023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月</w:t>
      </w:r>
      <w:r>
        <w:rPr>
          <w:rFonts w:ascii="FangSong" w:hAnsi="FangSong" w:eastAsia="FangSong" w:cs="FangSong"/>
          <w:sz w:val="28"/>
          <w:szCs w:val="28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10  </w:t>
      </w:r>
      <w:r>
        <w:rPr>
          <w:rFonts w:ascii="FangSong" w:hAnsi="FangSong" w:eastAsia="FangSong" w:cs="FangSong"/>
          <w:sz w:val="28"/>
          <w:szCs w:val="28"/>
          <w:spacing w:val="-3"/>
        </w:rPr>
        <w:t>日</w:t>
      </w:r>
      <w:r>
        <w:rPr>
          <w:rFonts w:ascii="FangSong" w:hAnsi="FangSong" w:eastAsia="FangSong" w:cs="FangSong"/>
          <w:sz w:val="28"/>
          <w:szCs w:val="28"/>
          <w:spacing w:val="-5"/>
        </w:rPr>
        <w:t>），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2022 </w:t>
      </w:r>
      <w:r>
        <w:rPr>
          <w:rFonts w:ascii="FangSong" w:hAnsi="FangSong" w:eastAsia="FangSong" w:cs="FangSong"/>
          <w:sz w:val="28"/>
          <w:szCs w:val="28"/>
          <w:spacing w:val="-3"/>
        </w:rPr>
        <w:t>年实际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可持续发展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报告数量应较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2021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年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69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份报告略有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增长（见图</w:t>
      </w:r>
      <w:r>
        <w:rPr>
          <w:rFonts w:ascii="FangSong" w:hAnsi="FangSong" w:eastAsia="FangSong" w:cs="FangSong"/>
          <w:sz w:val="28"/>
          <w:szCs w:val="2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</w:t>
      </w:r>
      <w:r>
        <w:rPr>
          <w:rFonts w:ascii="Times New Roman" w:hAnsi="Times New Roman" w:eastAsia="Times New Roman" w:cs="Times New Roman"/>
          <w:sz w:val="28"/>
          <w:szCs w:val="28"/>
          <w:spacing w:val="-3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）。</w:t>
      </w:r>
    </w:p>
    <w:p>
      <w:pPr>
        <w:ind w:firstLine="974"/>
        <w:spacing w:line="3513" w:lineRule="exact"/>
        <w:rPr/>
      </w:pPr>
      <w:r>
        <w:rPr>
          <w:position w:val="-70"/>
        </w:rPr>
        <w:drawing>
          <wp:inline distT="0" distB="0" distL="0" distR="0">
            <wp:extent cx="4175759" cy="2231136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5759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5"/>
        <w:spacing w:before="244" w:line="225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4153" w:right="54" w:hanging="3642"/>
        <w:spacing w:before="207" w:line="292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74" w:id="78"/>
      <w:bookmarkEnd w:id="78"/>
      <w:bookmarkStart w:name="bookmark73" w:id="79"/>
      <w:bookmarkEnd w:id="79"/>
      <w:r>
        <w:rPr>
          <w:rFonts w:ascii="FangSong" w:hAnsi="FangSong" w:eastAsia="FangSong" w:cs="FangSong"/>
          <w:sz w:val="24"/>
          <w:szCs w:val="24"/>
          <w:spacing w:val="-2"/>
        </w:rPr>
        <w:t>图</w:t>
      </w:r>
      <w:r>
        <w:rPr>
          <w:rFonts w:ascii="FangSong" w:hAnsi="FangSong" w:eastAsia="FangSong" w:cs="FangSong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 2010-2022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2"/>
        </w:rPr>
        <w:t>年互联网企业可持续发展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</w:t>
      </w:r>
      <w:r>
        <w:rPr>
          <w:rFonts w:ascii="FangSong" w:hAnsi="FangSong" w:eastAsia="FangSong" w:cs="FangSong"/>
          <w:sz w:val="24"/>
          <w:szCs w:val="24"/>
          <w:spacing w:val="-2"/>
        </w:rPr>
        <w:t>社会责任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/ESG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2"/>
        </w:rPr>
        <w:t>报告发布数量变化</w:t>
      </w:r>
      <w:r>
        <w:rPr>
          <w:rFonts w:ascii="FangSong" w:hAnsi="FangSong" w:eastAsia="FangSong" w:cs="FangSong"/>
          <w:sz w:val="24"/>
          <w:szCs w:val="24"/>
        </w:rPr>
        <w:t xml:space="preserve"> </w:t>
      </w:r>
      <w:bookmarkStart w:name="bookmark73" w:id="80"/>
      <w:bookmarkEnd w:id="80"/>
      <w:r>
        <w:rPr>
          <w:rFonts w:ascii="FangSong" w:hAnsi="FangSong" w:eastAsia="FangSong" w:cs="FangSong"/>
          <w:sz w:val="24"/>
          <w:szCs w:val="24"/>
          <w:spacing w:val="-5"/>
        </w:rPr>
        <w:t>趋势</w:t>
      </w:r>
    </w:p>
    <w:p>
      <w:pPr>
        <w:pStyle w:val="BodyText"/>
        <w:spacing w:line="417" w:lineRule="auto"/>
        <w:rPr/>
      </w:pPr>
      <w:r/>
    </w:p>
    <w:p>
      <w:pPr>
        <w:ind w:left="436" w:right="13" w:firstLine="565"/>
        <w:spacing w:before="91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"/>
        </w:rPr>
        <w:t>报告质量方面</w:t>
      </w:r>
      <w:r>
        <w:rPr>
          <w:rFonts w:ascii="FangSong" w:hAnsi="FangSong" w:eastAsia="FangSong" w:cs="FangSong"/>
          <w:sz w:val="28"/>
          <w:szCs w:val="28"/>
          <w:spacing w:val="-1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2022 </w:t>
      </w:r>
      <w:r>
        <w:rPr>
          <w:rFonts w:ascii="FangSong" w:hAnsi="FangSong" w:eastAsia="FangSong" w:cs="FangSong"/>
          <w:sz w:val="28"/>
          <w:szCs w:val="28"/>
          <w:spacing w:val="-1"/>
        </w:rPr>
        <w:t>年互联网企业可持续信息披露</w:t>
      </w:r>
      <w:r>
        <w:rPr>
          <w:rFonts w:ascii="FangSong" w:hAnsi="FangSong" w:eastAsia="FangSong" w:cs="FangSong"/>
          <w:sz w:val="28"/>
          <w:szCs w:val="28"/>
          <w:spacing w:val="-2"/>
        </w:rPr>
        <w:t>有一定提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升。鉴于报告质量较难直接测定，本报告从定量化数据、第三方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机构验证、利益相关方沟通和实质性议题分析共四个维度的信息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披露情况侧面分析互联网行业的可持续发展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FangSong" w:hAnsi="FangSong" w:eastAsia="FangSong" w:cs="FangSong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报告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质量。其中，定量化数据是披露内容可比性的基础，也是内容实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质性的重要体现；第三方所出具的独立证明可作为验证企业数据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来源可靠、防止夸大自身在可持续发展方面影响的重要参考，是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信息披露有效性的重要补充；加强与利益相关方沟通交流是企业</w:t>
      </w:r>
    </w:p>
    <w:p>
      <w:pPr>
        <w:spacing w:line="408" w:lineRule="auto"/>
        <w:sectPr>
          <w:headerReference w:type="default" r:id="rId27"/>
          <w:footerReference w:type="default" r:id="rId28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400" w:lineRule="auto"/>
        <w:rPr/>
      </w:pPr>
      <w:r/>
    </w:p>
    <w:p>
      <w:pPr>
        <w:ind w:left="438" w:firstLine="18"/>
        <w:spacing w:before="91" w:line="410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面向不同利益相关方所开设的不同沟通渠道的总结</w:t>
      </w:r>
      <w:r>
        <w:rPr>
          <w:rFonts w:ascii="FangSong" w:hAnsi="FangSong" w:eastAsia="FangSong" w:cs="FangSong"/>
          <w:sz w:val="28"/>
          <w:szCs w:val="28"/>
        </w:rPr>
        <w:t>；实质性影响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议题识别，即企业根据法律法规、利益相关方期望等，开展重要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性评估并确定议题优先级排序等，不仅是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GB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/T 36000</w:t>
      </w:r>
      <w:r>
        <w:rPr>
          <w:rFonts w:ascii="FangSong" w:hAnsi="FangSong" w:eastAsia="FangSong" w:cs="FangSong"/>
          <w:sz w:val="28"/>
          <w:szCs w:val="28"/>
          <w:spacing w:val="-2"/>
        </w:rPr>
        <w:t>《社会责任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指南》及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ISO 26000</w:t>
      </w:r>
      <w:r>
        <w:rPr>
          <w:rFonts w:ascii="FangSong" w:hAnsi="FangSong" w:eastAsia="FangSong" w:cs="FangSong"/>
          <w:sz w:val="28"/>
          <w:szCs w:val="28"/>
          <w:spacing w:val="-4"/>
        </w:rPr>
        <w:t>《社会责任指南》的重要内容，也是策</w:t>
      </w:r>
      <w:r>
        <w:rPr>
          <w:rFonts w:ascii="FangSong" w:hAnsi="FangSong" w:eastAsia="FangSong" w:cs="FangSong"/>
          <w:sz w:val="28"/>
          <w:szCs w:val="28"/>
          <w:spacing w:val="-5"/>
        </w:rPr>
        <w:t>划可持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FangSong" w:hAnsi="FangSong" w:eastAsia="FangSong" w:cs="FangSong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报告信息披露内容的关键</w:t>
      </w:r>
      <w:r>
        <w:rPr>
          <w:rFonts w:ascii="FangSong" w:hAnsi="FangSong" w:eastAsia="FangSong" w:cs="FangSong"/>
          <w:sz w:val="28"/>
          <w:szCs w:val="28"/>
          <w:spacing w:val="3"/>
        </w:rPr>
        <w:t>步骤，可一定程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度上佐证披露质量。具体看，一是</w:t>
      </w:r>
      <w:r>
        <w:rPr>
          <w:rFonts w:ascii="SimHei" w:hAnsi="SimHei" w:eastAsia="SimHei" w:cs="SimHei"/>
          <w:sz w:val="28"/>
          <w:szCs w:val="28"/>
          <w:spacing w:val="1"/>
        </w:rPr>
        <w:t>定量披露的系统性及可比性与</w:t>
      </w:r>
      <w:r>
        <w:rPr>
          <w:rFonts w:ascii="SimHei" w:hAnsi="SimHei" w:eastAsia="SimHei" w:cs="SimHei"/>
          <w:sz w:val="28"/>
          <w:szCs w:val="28"/>
          <w:spacing w:val="13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上一年度基本持平</w:t>
      </w:r>
      <w:r>
        <w:rPr>
          <w:rFonts w:ascii="FangSong" w:hAnsi="FangSong" w:eastAsia="FangSong" w:cs="FangSong"/>
          <w:sz w:val="28"/>
          <w:szCs w:val="28"/>
          <w:spacing w:val="-1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2022 </w:t>
      </w:r>
      <w:r>
        <w:rPr>
          <w:rFonts w:ascii="FangSong" w:hAnsi="FangSong" w:eastAsia="FangSong" w:cs="FangSong"/>
          <w:sz w:val="28"/>
          <w:szCs w:val="28"/>
          <w:spacing w:val="-1"/>
        </w:rPr>
        <w:t>年互联网企业报告中有“较为亮点的数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据</w:t>
      </w:r>
      <w:r>
        <w:rPr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Fonts w:ascii="FangSong" w:hAnsi="FangSong" w:eastAsia="FangSong" w:cs="FangSong"/>
          <w:sz w:val="28"/>
          <w:szCs w:val="28"/>
        </w:rPr>
        <w:t>绩效</w:t>
      </w:r>
      <w:r>
        <w:rPr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Fonts w:ascii="FangSong" w:hAnsi="FangSong" w:eastAsia="FangSong" w:cs="FangSong"/>
          <w:sz w:val="28"/>
          <w:szCs w:val="28"/>
        </w:rPr>
        <w:t>信息点”定量化表现的报告占比仅</w:t>
      </w:r>
      <w:r>
        <w:rPr>
          <w:rFonts w:ascii="FangSong" w:hAnsi="FangSong" w:eastAsia="FangSong" w:cs="FangSong"/>
          <w:sz w:val="28"/>
          <w:szCs w:val="28"/>
          <w:spacing w:val="-1"/>
        </w:rPr>
        <w:t>略有上升（从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2021 </w:t>
      </w:r>
      <w:r>
        <w:rPr>
          <w:rFonts w:ascii="FangSong" w:hAnsi="FangSong" w:eastAsia="FangSong" w:cs="FangSong"/>
          <w:sz w:val="28"/>
          <w:szCs w:val="28"/>
          <w:spacing w:val="-1"/>
        </w:rPr>
        <w:t>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32.56%</w:t>
      </w:r>
      <w:r>
        <w:rPr>
          <w:rFonts w:ascii="FangSong" w:hAnsi="FangSong" w:eastAsia="FangSong" w:cs="FangSong"/>
          <w:sz w:val="28"/>
          <w:szCs w:val="28"/>
          <w:spacing w:val="1"/>
        </w:rPr>
        <w:t>至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2022 </w:t>
      </w:r>
      <w:r>
        <w:rPr>
          <w:rFonts w:ascii="FangSong" w:hAnsi="FangSong" w:eastAsia="FangSong" w:cs="FangSong"/>
          <w:sz w:val="28"/>
          <w:szCs w:val="28"/>
          <w:spacing w:val="1"/>
        </w:rPr>
        <w:t>年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34.69%</w:t>
      </w:r>
      <w:r>
        <w:rPr>
          <w:rFonts w:ascii="FangSong" w:hAnsi="FangSong" w:eastAsia="FangSong" w:cs="FangSong"/>
          <w:sz w:val="28"/>
          <w:szCs w:val="28"/>
          <w:spacing w:val="21"/>
        </w:rPr>
        <w:t>）；</w:t>
      </w:r>
      <w:r>
        <w:rPr>
          <w:rFonts w:ascii="FangSong" w:hAnsi="FangSong" w:eastAsia="FangSong" w:cs="FangSong"/>
          <w:sz w:val="28"/>
          <w:szCs w:val="28"/>
          <w:spacing w:val="1"/>
        </w:rPr>
        <w:t>有较为系统的、有具体量值的</w:t>
      </w:r>
      <w:r>
        <w:rPr>
          <w:rFonts w:ascii="FangSong" w:hAnsi="FangSong" w:eastAsia="FangSong" w:cs="FangSong"/>
          <w:sz w:val="28"/>
          <w:szCs w:val="28"/>
          <w:spacing w:val="-9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“关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键绩效表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/</w:t>
      </w:r>
      <w:r>
        <w:rPr>
          <w:rFonts w:ascii="FangSong" w:hAnsi="FangSong" w:eastAsia="FangSong" w:cs="FangSong"/>
          <w:sz w:val="28"/>
          <w:szCs w:val="28"/>
          <w:spacing w:val="-9"/>
        </w:rPr>
        <w:t>绩效履责表”占比还略有下降（从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2021 </w:t>
      </w:r>
      <w:r>
        <w:rPr>
          <w:rFonts w:ascii="FangSong" w:hAnsi="FangSong" w:eastAsia="FangSong" w:cs="FangSong"/>
          <w:sz w:val="28"/>
          <w:szCs w:val="28"/>
          <w:spacing w:val="-9"/>
        </w:rPr>
        <w:t>年</w:t>
      </w:r>
      <w:r>
        <w:rPr>
          <w:rFonts w:ascii="FangSong" w:hAnsi="FangSong" w:eastAsia="FangSong" w:cs="FangSong"/>
          <w:sz w:val="28"/>
          <w:szCs w:val="28"/>
          <w:spacing w:val="-7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39.53%</w:t>
      </w:r>
      <w:r>
        <w:rPr>
          <w:rFonts w:ascii="FangSong" w:hAnsi="FangSong" w:eastAsia="FangSong" w:cs="FangSong"/>
          <w:sz w:val="28"/>
          <w:szCs w:val="28"/>
          <w:spacing w:val="-9"/>
        </w:rPr>
        <w:t>至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38.78%</w:t>
      </w:r>
      <w:r>
        <w:rPr>
          <w:rFonts w:ascii="FangSong" w:hAnsi="FangSong" w:eastAsia="FangSong" w:cs="FangSong"/>
          <w:sz w:val="28"/>
          <w:szCs w:val="28"/>
          <w:spacing w:val="-2"/>
        </w:rPr>
        <w:t>）。未作定量数据披露的原因多由于企业或缺乏计</w:t>
      </w:r>
      <w:r>
        <w:rPr>
          <w:rFonts w:ascii="FangSong" w:hAnsi="FangSong" w:eastAsia="FangSong" w:cs="FangSong"/>
          <w:sz w:val="28"/>
          <w:szCs w:val="28"/>
          <w:spacing w:val="-3"/>
        </w:rPr>
        <w:t>算口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径、统计汇总等精细化信息披露管理能力，或已统计出数据但因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多种原因而不愿披露。整体看，定量披露仍有较大提升空间。二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是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2022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SimHei" w:hAnsi="SimHei" w:eastAsia="SimHei" w:cs="SimHei"/>
          <w:sz w:val="28"/>
          <w:szCs w:val="28"/>
          <w:spacing w:val="-3"/>
        </w:rPr>
        <w:t>使用第三方专业机构验证报</w:t>
      </w:r>
      <w:r>
        <w:rPr>
          <w:rFonts w:ascii="SimHei" w:hAnsi="SimHei" w:eastAsia="SimHei" w:cs="SimHei"/>
          <w:sz w:val="28"/>
          <w:szCs w:val="28"/>
          <w:spacing w:val="-4"/>
        </w:rPr>
        <w:t>告数量（</w:t>
      </w:r>
      <w:r>
        <w:rPr>
          <w:rFonts w:ascii="FangSong" w:hAnsi="FangSong" w:eastAsia="FangSong" w:cs="FangSong"/>
          <w:sz w:val="28"/>
          <w:szCs w:val="28"/>
          <w:spacing w:val="-4"/>
        </w:rPr>
        <w:t>如：数据核查、信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息鉴证、外部审验等</w:t>
      </w:r>
      <w:r>
        <w:rPr>
          <w:rFonts w:ascii="SimHei" w:hAnsi="SimHei" w:eastAsia="SimHei" w:cs="SimHei"/>
          <w:sz w:val="28"/>
          <w:szCs w:val="28"/>
          <w:spacing w:val="1"/>
        </w:rPr>
        <w:t>）有了一定提升</w:t>
      </w:r>
      <w:r>
        <w:rPr>
          <w:rFonts w:ascii="FangSong" w:hAnsi="FangSong" w:eastAsia="FangSong" w:cs="FangSong"/>
          <w:sz w:val="28"/>
          <w:szCs w:val="28"/>
          <w:spacing w:val="1"/>
        </w:rPr>
        <w:t>，共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6 </w:t>
      </w:r>
      <w:r>
        <w:rPr>
          <w:rFonts w:ascii="FangSong" w:hAnsi="FangSong" w:eastAsia="FangSong" w:cs="FangSong"/>
          <w:sz w:val="28"/>
          <w:szCs w:val="28"/>
          <w:spacing w:val="1"/>
        </w:rPr>
        <w:t>份报告展示了第</w:t>
      </w:r>
      <w:r>
        <w:rPr>
          <w:rFonts w:ascii="FangSong" w:hAnsi="FangSong" w:eastAsia="FangSong" w:cs="FangSong"/>
          <w:sz w:val="28"/>
          <w:szCs w:val="28"/>
        </w:rPr>
        <w:t>三方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专业机构所出具的验证结果，比</w:t>
      </w:r>
      <w:r>
        <w:rPr>
          <w:rFonts w:ascii="FangSong" w:hAnsi="FangSong" w:eastAsia="FangSong" w:cs="FangSong"/>
          <w:sz w:val="28"/>
          <w:szCs w:val="28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2021 </w:t>
      </w:r>
      <w:r>
        <w:rPr>
          <w:rFonts w:ascii="FangSong" w:hAnsi="FangSong" w:eastAsia="FangSong" w:cs="FangSong"/>
          <w:sz w:val="28"/>
          <w:szCs w:val="28"/>
          <w:spacing w:val="-4"/>
        </w:rPr>
        <w:t>年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3 </w:t>
      </w:r>
      <w:r>
        <w:rPr>
          <w:rFonts w:ascii="FangSong" w:hAnsi="FangSong" w:eastAsia="FangSong" w:cs="FangSong"/>
          <w:sz w:val="28"/>
          <w:szCs w:val="28"/>
          <w:spacing w:val="-4"/>
        </w:rPr>
        <w:t>份报告增长一倍，但整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2"/>
        </w:rPr>
        <w:t>体占比仍不足</w:t>
      </w:r>
      <w:r>
        <w:rPr>
          <w:rFonts w:ascii="FangSong" w:hAnsi="FangSong" w:eastAsia="FangSong" w:cs="FangSong"/>
          <w:sz w:val="28"/>
          <w:szCs w:val="28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>10%</w:t>
      </w:r>
      <w:r>
        <w:rPr>
          <w:rFonts w:ascii="FangSong" w:hAnsi="FangSong" w:eastAsia="FangSong" w:cs="FangSong"/>
          <w:sz w:val="28"/>
          <w:szCs w:val="28"/>
          <w:spacing w:val="-12"/>
        </w:rPr>
        <w:t>。三是</w:t>
      </w:r>
      <w:r>
        <w:rPr>
          <w:rFonts w:ascii="SimHei" w:hAnsi="SimHei" w:eastAsia="SimHei" w:cs="SimHei"/>
          <w:sz w:val="28"/>
          <w:szCs w:val="28"/>
          <w:spacing w:val="-12"/>
        </w:rPr>
        <w:t>利益相关方沟通的披露情况平稳增长</w:t>
      </w:r>
      <w:r>
        <w:rPr>
          <w:rFonts w:ascii="FangSong" w:hAnsi="FangSong" w:eastAsia="FangSong" w:cs="FangSong"/>
          <w:sz w:val="28"/>
          <w:szCs w:val="28"/>
          <w:spacing w:val="-12"/>
        </w:rPr>
        <w:t>（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2"/>
        </w:rPr>
        <w:t>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图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</w:t>
      </w:r>
      <w:r>
        <w:rPr>
          <w:rFonts w:ascii="FangSong" w:hAnsi="FangSong" w:eastAsia="FangSong" w:cs="FangSong"/>
          <w:sz w:val="28"/>
          <w:szCs w:val="28"/>
          <w:spacing w:val="-2"/>
        </w:rPr>
        <w:t>），</w:t>
      </w:r>
      <w:r>
        <w:rPr>
          <w:rFonts w:ascii="FangSong" w:hAnsi="FangSong" w:eastAsia="FangSong" w:cs="FangSong"/>
          <w:sz w:val="28"/>
          <w:szCs w:val="28"/>
          <w:spacing w:val="-7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已由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2019 </w:t>
      </w:r>
      <w:r>
        <w:rPr>
          <w:rFonts w:ascii="FangSong" w:hAnsi="FangSong" w:eastAsia="FangSong" w:cs="FangSong"/>
          <w:sz w:val="28"/>
          <w:szCs w:val="28"/>
          <w:spacing w:val="-4"/>
        </w:rPr>
        <w:t>年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50%</w:t>
      </w:r>
      <w:r>
        <w:rPr>
          <w:rFonts w:ascii="FangSong" w:hAnsi="FangSong" w:eastAsia="FangSong" w:cs="FangSong"/>
          <w:sz w:val="28"/>
          <w:szCs w:val="28"/>
          <w:spacing w:val="-4"/>
        </w:rPr>
        <w:t>逐年微增至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2022 </w:t>
      </w:r>
      <w:r>
        <w:rPr>
          <w:rFonts w:ascii="FangSong" w:hAnsi="FangSong" w:eastAsia="FangSong" w:cs="FangSong"/>
          <w:sz w:val="28"/>
          <w:szCs w:val="28"/>
          <w:spacing w:val="-4"/>
        </w:rPr>
        <w:t>年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62.46%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，说明企业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逐步认识到利益相关方的期待及需求对自身可持续发展、社会责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任及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ESG </w:t>
      </w:r>
      <w:r>
        <w:rPr>
          <w:rFonts w:ascii="FangSong" w:hAnsi="FangSong" w:eastAsia="FangSong" w:cs="FangSong"/>
          <w:sz w:val="28"/>
          <w:szCs w:val="28"/>
          <w:spacing w:val="-6"/>
        </w:rPr>
        <w:t>实践的重要价值，并愈发重视与</w:t>
      </w:r>
      <w:r>
        <w:rPr>
          <w:rFonts w:ascii="FangSong" w:hAnsi="FangSong" w:eastAsia="FangSong" w:cs="FangSong"/>
          <w:sz w:val="28"/>
          <w:szCs w:val="28"/>
          <w:spacing w:val="-7"/>
        </w:rPr>
        <w:t>利益相关方的沟通交流。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四是</w:t>
      </w:r>
      <w:r>
        <w:rPr>
          <w:rFonts w:ascii="SimHei" w:hAnsi="SimHei" w:eastAsia="SimHei" w:cs="SimHei"/>
          <w:sz w:val="28"/>
          <w:szCs w:val="28"/>
          <w:spacing w:val="1"/>
        </w:rPr>
        <w:t>实质性议题分析的披露情况持续向好</w:t>
      </w:r>
      <w:r>
        <w:rPr>
          <w:rFonts w:ascii="FangSong" w:hAnsi="FangSong" w:eastAsia="FangSong" w:cs="FangSong"/>
          <w:sz w:val="28"/>
          <w:szCs w:val="28"/>
          <w:spacing w:val="1"/>
        </w:rPr>
        <w:t>（见图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</w:t>
      </w:r>
      <w:r>
        <w:rPr>
          <w:rFonts w:ascii="FangSong" w:hAnsi="FangSong" w:eastAsia="FangSong" w:cs="FangSong"/>
          <w:sz w:val="28"/>
          <w:szCs w:val="28"/>
          <w:spacing w:val="7"/>
        </w:rPr>
        <w:t>），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以每年近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10%</w:t>
      </w:r>
      <w:r>
        <w:rPr>
          <w:rFonts w:ascii="FangSong" w:hAnsi="FangSong" w:eastAsia="FangSong" w:cs="FangSong"/>
          <w:sz w:val="28"/>
          <w:szCs w:val="28"/>
          <w:spacing w:val="-3"/>
        </w:rPr>
        <w:t>的增长速度，由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2019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32.35%</w:t>
      </w:r>
      <w:r>
        <w:rPr>
          <w:rFonts w:ascii="FangSong" w:hAnsi="FangSong" w:eastAsia="FangSong" w:cs="FangSong"/>
          <w:sz w:val="28"/>
          <w:szCs w:val="28"/>
          <w:spacing w:val="-3"/>
        </w:rPr>
        <w:t>大幅增至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2022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64.50%</w:t>
      </w:r>
      <w:r>
        <w:rPr>
          <w:rFonts w:ascii="FangSong" w:hAnsi="FangSong" w:eastAsia="FangSong" w:cs="FangSong"/>
          <w:sz w:val="28"/>
          <w:szCs w:val="28"/>
          <w:spacing w:val="-3"/>
        </w:rPr>
        <w:t>，该</w:t>
      </w:r>
    </w:p>
    <w:p>
      <w:pPr>
        <w:spacing w:line="410" w:lineRule="auto"/>
        <w:sectPr>
          <w:headerReference w:type="default" r:id="rId31"/>
          <w:footerReference w:type="default" r:id="rId32"/>
          <w:pgSz w:w="11906" w:h="16839"/>
          <w:pgMar w:top="1134" w:right="171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60" w:right="75" w:hanging="1"/>
        <w:spacing w:before="91" w:line="378" w:lineRule="auto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391504</wp:posOffset>
            </wp:positionV>
            <wp:extent cx="5192565" cy="7977335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1"/>
        </w:rPr>
        <w:t>方面的长足进步体现了越来越多的互联网企业</w:t>
      </w:r>
      <w:r>
        <w:rPr>
          <w:rFonts w:ascii="FangSong" w:hAnsi="FangSong" w:eastAsia="FangSong" w:cs="FangSong"/>
          <w:sz w:val="28"/>
          <w:szCs w:val="28"/>
        </w:rPr>
        <w:t>正着力提升可持续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发展具体议题层面的信息披露策划能力。</w:t>
      </w:r>
    </w:p>
    <w:p>
      <w:pPr>
        <w:ind w:firstLine="698"/>
        <w:spacing w:line="2040" w:lineRule="exact"/>
        <w:rPr/>
      </w:pPr>
      <w:r>
        <w:rPr>
          <w:position w:val="-40"/>
        </w:rPr>
        <w:drawing>
          <wp:inline distT="0" distB="0" distL="0" distR="0">
            <wp:extent cx="4671059" cy="1295400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105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201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2837" w:right="147" w:hanging="2294"/>
        <w:spacing w:before="132" w:line="230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76" w:id="81"/>
      <w:bookmarkEnd w:id="81"/>
      <w:bookmarkStart w:name="bookmark75" w:id="82"/>
      <w:bookmarkEnd w:id="82"/>
      <w:r>
        <w:rPr>
          <w:rFonts w:ascii="FangSong" w:hAnsi="FangSong" w:eastAsia="FangSong" w:cs="FangSong"/>
          <w:sz w:val="24"/>
          <w:szCs w:val="24"/>
          <w:spacing w:val="-2"/>
        </w:rPr>
        <w:t>图</w:t>
      </w:r>
      <w:r>
        <w:rPr>
          <w:rFonts w:ascii="FangSong" w:hAnsi="FangSong" w:eastAsia="FangSong" w:cs="FangSong"/>
          <w:sz w:val="24"/>
          <w:szCs w:val="24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 2019-2022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2"/>
        </w:rPr>
        <w:t>年互联网企业可持续发展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</w:t>
      </w:r>
      <w:r>
        <w:rPr>
          <w:rFonts w:ascii="FangSong" w:hAnsi="FangSong" w:eastAsia="FangSong" w:cs="FangSong"/>
          <w:sz w:val="24"/>
          <w:szCs w:val="24"/>
          <w:spacing w:val="-2"/>
        </w:rPr>
        <w:t>社会责任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/ESG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2"/>
        </w:rPr>
        <w:t>报告利益</w:t>
      </w:r>
      <w:r>
        <w:rPr>
          <w:rFonts w:ascii="FangSong" w:hAnsi="FangSong" w:eastAsia="FangSong" w:cs="FangSong"/>
          <w:sz w:val="24"/>
          <w:szCs w:val="24"/>
          <w:spacing w:val="-3"/>
        </w:rPr>
        <w:t>相关方沟</w:t>
      </w:r>
      <w:r>
        <w:rPr>
          <w:rFonts w:ascii="FangSong" w:hAnsi="FangSong" w:eastAsia="FangSong" w:cs="FangSong"/>
          <w:sz w:val="24"/>
          <w:szCs w:val="24"/>
        </w:rPr>
        <w:t xml:space="preserve"> </w:t>
      </w:r>
      <w:bookmarkStart w:name="bookmark75" w:id="83"/>
      <w:bookmarkEnd w:id="83"/>
      <w:r>
        <w:rPr>
          <w:rFonts w:ascii="FangSong" w:hAnsi="FangSong" w:eastAsia="FangSong" w:cs="FangSong"/>
          <w:sz w:val="24"/>
          <w:szCs w:val="24"/>
          <w:spacing w:val="-2"/>
        </w:rPr>
        <w:t>通和实质性议题分析披露占比</w:t>
      </w:r>
    </w:p>
    <w:p>
      <w:pPr>
        <w:pStyle w:val="BodyText"/>
        <w:spacing w:line="342" w:lineRule="auto"/>
        <w:rPr/>
      </w:pPr>
      <w:r/>
    </w:p>
    <w:p>
      <w:pPr>
        <w:ind w:left="440" w:firstLine="561"/>
        <w:spacing w:before="91" w:line="40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报告组成方面</w:t>
      </w:r>
      <w:r>
        <w:rPr>
          <w:rFonts w:ascii="FangSong" w:hAnsi="FangSong" w:eastAsia="FangSong" w:cs="FangSong"/>
          <w:sz w:val="28"/>
          <w:szCs w:val="28"/>
          <w:spacing w:val="1"/>
        </w:rPr>
        <w:t>，互联网企业所发布的报告可大致细分为：企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业可持续发展报告（包括：可持续社会价值报告）、社会责任报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告、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报告、企业公民报告以及专项报告（见图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）。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除企业公民报告未有过多变化之外，其他报告的占比发生了较大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变化。一是，互联网企业</w:t>
      </w:r>
      <w:r>
        <w:rPr>
          <w:rFonts w:ascii="SimHei" w:hAnsi="SimHei" w:eastAsia="SimHei" w:cs="SimHei"/>
          <w:sz w:val="28"/>
          <w:szCs w:val="28"/>
          <w:spacing w:val="1"/>
        </w:rPr>
        <w:t>开始采用“可持续发展”“可持续社会</w:t>
      </w:r>
      <w:r>
        <w:rPr>
          <w:rFonts w:ascii="SimHei" w:hAnsi="SimHei" w:eastAsia="SimHei" w:cs="SimHei"/>
          <w:sz w:val="28"/>
          <w:szCs w:val="28"/>
          <w:spacing w:val="1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3"/>
        </w:rPr>
        <w:t>价值”等概念</w:t>
      </w:r>
      <w:r>
        <w:rPr>
          <w:rFonts w:ascii="FangSong" w:hAnsi="FangSong" w:eastAsia="FangSong" w:cs="FangSong"/>
          <w:sz w:val="28"/>
          <w:szCs w:val="28"/>
          <w:spacing w:val="-3"/>
        </w:rPr>
        <w:t>，作为社会责任报告和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报</w:t>
      </w:r>
      <w:r>
        <w:rPr>
          <w:rFonts w:ascii="FangSong" w:hAnsi="FangSong" w:eastAsia="FangSong" w:cs="FangSong"/>
          <w:sz w:val="28"/>
          <w:szCs w:val="28"/>
          <w:spacing w:val="-4"/>
        </w:rPr>
        <w:t>告之外第三种命名方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式的探索，该类报告占比由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3.37%</w:t>
      </w:r>
      <w:r>
        <w:rPr>
          <w:rFonts w:ascii="FangSong" w:hAnsi="FangSong" w:eastAsia="FangSong" w:cs="FangSong"/>
          <w:sz w:val="28"/>
          <w:szCs w:val="28"/>
        </w:rPr>
        <w:t>升至</w:t>
      </w:r>
      <w:r>
        <w:rPr>
          <w:rFonts w:ascii="FangSong" w:hAnsi="FangSong" w:eastAsia="FangSong" w:cs="FangSong"/>
          <w:sz w:val="28"/>
          <w:szCs w:val="28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10.59%</w:t>
      </w:r>
      <w:r>
        <w:rPr>
          <w:rFonts w:ascii="FangSong" w:hAnsi="FangSong" w:eastAsia="FangSong" w:cs="FangSong"/>
          <w:sz w:val="28"/>
          <w:szCs w:val="28"/>
        </w:rPr>
        <w:t>（见图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3</w:t>
      </w:r>
      <w:r>
        <w:rPr>
          <w:rFonts w:ascii="FangSong" w:hAnsi="FangSong" w:eastAsia="FangSong" w:cs="FangSong"/>
          <w:sz w:val="28"/>
          <w:szCs w:val="28"/>
        </w:rPr>
        <w:t>）。二是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随着互联网行业对</w:t>
      </w:r>
      <w:r>
        <w:rPr>
          <w:rFonts w:ascii="FangSong" w:hAnsi="FangSong" w:eastAsia="FangSong" w:cs="FangSong"/>
          <w:sz w:val="28"/>
          <w:szCs w:val="28"/>
          <w:spacing w:val="-7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ESG </w:t>
      </w:r>
      <w:r>
        <w:rPr>
          <w:rFonts w:ascii="FangSong" w:hAnsi="FangSong" w:eastAsia="FangSong" w:cs="FangSong"/>
          <w:sz w:val="28"/>
          <w:szCs w:val="28"/>
          <w:spacing w:val="-4"/>
        </w:rPr>
        <w:t>概念的关注以及资本市场对</w:t>
      </w:r>
      <w:r>
        <w:rPr>
          <w:rFonts w:ascii="FangSong" w:hAnsi="FangSong" w:eastAsia="FangSong" w:cs="FangSong"/>
          <w:sz w:val="28"/>
          <w:szCs w:val="28"/>
          <w:spacing w:val="-7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的认可，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2022 </w:t>
      </w:r>
      <w:r>
        <w:rPr>
          <w:rFonts w:ascii="FangSong" w:hAnsi="FangSong" w:eastAsia="FangSong" w:cs="FangSong"/>
          <w:sz w:val="28"/>
          <w:szCs w:val="28"/>
          <w:spacing w:val="-1"/>
        </w:rPr>
        <w:t>年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ESG </w:t>
      </w:r>
      <w:r>
        <w:rPr>
          <w:rFonts w:ascii="SimHei" w:hAnsi="SimHei" w:eastAsia="SimHei" w:cs="SimHei"/>
          <w:sz w:val="28"/>
          <w:szCs w:val="28"/>
          <w:spacing w:val="-1"/>
        </w:rPr>
        <w:t>报告数量大幅增长</w:t>
      </w:r>
      <w:r>
        <w:rPr>
          <w:rFonts w:ascii="FangSong" w:hAnsi="FangSong" w:eastAsia="FangSong" w:cs="FangSong"/>
          <w:sz w:val="28"/>
          <w:szCs w:val="28"/>
          <w:spacing w:val="-1"/>
        </w:rPr>
        <w:t>（见图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4</w:t>
      </w:r>
      <w:r>
        <w:rPr>
          <w:rFonts w:ascii="FangSong" w:hAnsi="FangSong" w:eastAsia="FangSong" w:cs="FangSong"/>
          <w:sz w:val="28"/>
          <w:szCs w:val="28"/>
          <w:spacing w:val="13"/>
        </w:rPr>
        <w:t>），</w:t>
      </w:r>
      <w:r>
        <w:rPr>
          <w:rFonts w:ascii="FangSong" w:hAnsi="FangSong" w:eastAsia="FangSong" w:cs="FangSong"/>
          <w:sz w:val="28"/>
          <w:szCs w:val="28"/>
          <w:spacing w:val="-1"/>
        </w:rPr>
        <w:t>其占比已接近半数。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三是，</w:t>
      </w:r>
      <w:r>
        <w:rPr>
          <w:rFonts w:ascii="SimHei" w:hAnsi="SimHei" w:eastAsia="SimHei" w:cs="SimHei"/>
          <w:sz w:val="28"/>
          <w:szCs w:val="28"/>
          <w:spacing w:val="-7"/>
        </w:rPr>
        <w:t>发布数量同样逐年递增的专项报告内容更为多元</w:t>
      </w:r>
      <w:r>
        <w:rPr>
          <w:rFonts w:ascii="FangSong" w:hAnsi="FangSong" w:eastAsia="FangSong" w:cs="FangSong"/>
          <w:sz w:val="28"/>
          <w:szCs w:val="28"/>
          <w:spacing w:val="-7"/>
        </w:rPr>
        <w:t>（见图</w:t>
      </w:r>
      <w:r>
        <w:rPr>
          <w:rFonts w:ascii="FangSong" w:hAnsi="FangSong" w:eastAsia="FangSong" w:cs="FangSong"/>
          <w:sz w:val="28"/>
          <w:szCs w:val="28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spacing w:val="-3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3"/>
          <w:w w:val="81"/>
        </w:rPr>
        <w:t>），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已涉及公益慈善、消费者保护、技术创新、绿色双碳、员工权益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等十余个核心主题。</w:t>
      </w:r>
    </w:p>
    <w:p>
      <w:pPr>
        <w:ind w:left="462" w:right="74" w:firstLine="547"/>
        <w:spacing w:before="50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鉴于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报告数量的大幅增长（增长率由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2021 </w:t>
      </w:r>
      <w:r>
        <w:rPr>
          <w:rFonts w:ascii="FangSong" w:hAnsi="FangSong" w:eastAsia="FangSong" w:cs="FangSong"/>
          <w:sz w:val="28"/>
          <w:szCs w:val="28"/>
          <w:spacing w:val="-3"/>
        </w:rPr>
        <w:t>年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30.77%</w:t>
      </w:r>
      <w:r>
        <w:rPr>
          <w:rFonts w:ascii="FangSong" w:hAnsi="FangSong" w:eastAsia="FangSong" w:cs="FangSong"/>
          <w:sz w:val="28"/>
          <w:szCs w:val="28"/>
          <w:spacing w:val="-3"/>
        </w:rPr>
        <w:t>增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至</w:t>
      </w:r>
      <w:r>
        <w:rPr>
          <w:rFonts w:ascii="FangSong" w:hAnsi="FangSong" w:eastAsia="FangSong" w:cs="FangSong"/>
          <w:sz w:val="28"/>
          <w:szCs w:val="28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年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88.24%</w:t>
      </w:r>
      <w:r>
        <w:rPr>
          <w:rFonts w:ascii="FangSong" w:hAnsi="FangSong" w:eastAsia="FangSong" w:cs="FangSong"/>
          <w:sz w:val="28"/>
          <w:szCs w:val="28"/>
          <w:spacing w:val="25"/>
        </w:rPr>
        <w:t>），</w:t>
      </w:r>
      <w:r>
        <w:rPr>
          <w:rFonts w:ascii="FangSong" w:hAnsi="FangSong" w:eastAsia="FangSong" w:cs="FangSong"/>
          <w:sz w:val="28"/>
          <w:szCs w:val="28"/>
          <w:spacing w:val="-1"/>
        </w:rPr>
        <w:t>同时考虑基本未变的报告总数及略</w:t>
      </w:r>
      <w:r>
        <w:rPr>
          <w:rFonts w:ascii="FangSong" w:hAnsi="FangSong" w:eastAsia="FangSong" w:cs="FangSong"/>
          <w:sz w:val="28"/>
          <w:szCs w:val="28"/>
          <w:spacing w:val="-2"/>
        </w:rPr>
        <w:t>有增加</w:t>
      </w:r>
    </w:p>
    <w:p>
      <w:pPr>
        <w:spacing w:line="397" w:lineRule="auto"/>
        <w:sectPr>
          <w:headerReference w:type="default" r:id="rId33"/>
          <w:footerReference w:type="default" r:id="rId34"/>
          <w:pgSz w:w="11906" w:h="16839"/>
          <w:pgMar w:top="1134" w:right="1724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4" w:lineRule="auto"/>
        <w:rPr/>
      </w:pPr>
      <w:r/>
    </w:p>
    <w:p>
      <w:pPr>
        <w:ind w:left="440" w:firstLine="29"/>
        <w:spacing w:before="91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391070</wp:posOffset>
            </wp:positionV>
            <wp:extent cx="5192565" cy="7977335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1"/>
        </w:rPr>
        <w:t>的可持续发展报告，说明部分互联网企业将之</w:t>
      </w:r>
      <w:r>
        <w:rPr>
          <w:rFonts w:ascii="FangSong" w:hAnsi="FangSong" w:eastAsia="FangSong" w:cs="FangSong"/>
          <w:sz w:val="28"/>
          <w:szCs w:val="28"/>
          <w:spacing w:val="-2"/>
        </w:rPr>
        <w:t>前社会责任报告在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6"/>
        </w:rPr>
        <w:t>年调整为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6"/>
        </w:rPr>
        <w:t>报告（包括环境、社会、治理报告）。然而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2022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报告中仅有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53.13%</w:t>
      </w:r>
      <w:r>
        <w:rPr>
          <w:rFonts w:ascii="FangSong" w:hAnsi="FangSong" w:eastAsia="FangSong" w:cs="FangSong"/>
          <w:sz w:val="28"/>
          <w:szCs w:val="28"/>
          <w:spacing w:val="-2"/>
        </w:rPr>
        <w:t>报告披露了“关键绩效表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绩效履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责表”、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46.88%</w:t>
      </w:r>
      <w:r>
        <w:rPr>
          <w:rFonts w:ascii="FangSong" w:hAnsi="FangSong" w:eastAsia="FangSong" w:cs="FangSong"/>
          <w:sz w:val="28"/>
          <w:szCs w:val="28"/>
          <w:spacing w:val="-4"/>
        </w:rPr>
        <w:t>报告披露了“较为亮点的数据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绩</w:t>
      </w:r>
      <w:r>
        <w:rPr>
          <w:rFonts w:ascii="FangSong" w:hAnsi="FangSong" w:eastAsia="FangSong" w:cs="FangSong"/>
          <w:sz w:val="28"/>
          <w:szCs w:val="28"/>
          <w:spacing w:val="-5"/>
        </w:rPr>
        <w:t>效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/</w:t>
      </w:r>
      <w:r>
        <w:rPr>
          <w:rFonts w:ascii="FangSong" w:hAnsi="FangSong" w:eastAsia="FangSong" w:cs="FangSong"/>
          <w:sz w:val="28"/>
          <w:szCs w:val="28"/>
          <w:spacing w:val="-5"/>
        </w:rPr>
        <w:t>信息点”，远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低于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2021 </w:t>
      </w:r>
      <w:r>
        <w:rPr>
          <w:rFonts w:ascii="FangSong" w:hAnsi="FangSong" w:eastAsia="FangSong" w:cs="FangSong"/>
          <w:sz w:val="28"/>
          <w:szCs w:val="28"/>
          <w:spacing w:val="1"/>
        </w:rPr>
        <w:t>年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68%</w:t>
      </w:r>
      <w:r>
        <w:rPr>
          <w:rFonts w:ascii="FangSong" w:hAnsi="FangSong" w:eastAsia="FangSong" w:cs="FangSong"/>
          <w:sz w:val="28"/>
          <w:szCs w:val="28"/>
          <w:spacing w:val="1"/>
        </w:rPr>
        <w:t>和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58%</w:t>
      </w:r>
      <w:r>
        <w:rPr>
          <w:rFonts w:ascii="FangSong" w:hAnsi="FangSong" w:eastAsia="FangSong" w:cs="FangSong"/>
          <w:sz w:val="28"/>
          <w:szCs w:val="28"/>
          <w:spacing w:val="1"/>
        </w:rPr>
        <w:t>的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报告披露率，说明部分企业虽将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报告命名为</w:t>
      </w:r>
      <w:r>
        <w:rPr>
          <w:rFonts w:ascii="FangSong" w:hAnsi="FangSong" w:eastAsia="FangSong" w:cs="FangSong"/>
          <w:sz w:val="28"/>
          <w:szCs w:val="28"/>
          <w:spacing w:val="-9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“环境、社会、治理报告”或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报告”</w:t>
      </w:r>
      <w:r>
        <w:rPr>
          <w:rFonts w:ascii="FangSong" w:hAnsi="FangSong" w:eastAsia="FangSong" w:cs="FangSong"/>
          <w:sz w:val="28"/>
          <w:szCs w:val="28"/>
          <w:spacing w:val="-10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，但</w:t>
      </w:r>
      <w:r>
        <w:rPr>
          <w:rFonts w:ascii="SimHei" w:hAnsi="SimHei" w:eastAsia="SimHei" w:cs="SimHei"/>
          <w:sz w:val="28"/>
          <w:szCs w:val="28"/>
          <w:spacing w:val="-5"/>
        </w:rPr>
        <w:t>并未</w:t>
      </w:r>
      <w:r>
        <w:rPr>
          <w:rFonts w:ascii="SimHei" w:hAnsi="SimHei" w:eastAsia="SimHei" w:cs="SimHei"/>
          <w:sz w:val="28"/>
          <w:szCs w:val="28"/>
        </w:rPr>
        <w:t xml:space="preserve"> </w:t>
      </w:r>
      <w:bookmarkStart w:name="bookmark78" w:id="84"/>
      <w:bookmarkEnd w:id="84"/>
      <w:r>
        <w:rPr>
          <w:rFonts w:ascii="SimHei" w:hAnsi="SimHei" w:eastAsia="SimHei" w:cs="SimHei"/>
          <w:sz w:val="28"/>
          <w:szCs w:val="28"/>
          <w:spacing w:val="-6"/>
        </w:rPr>
        <w:t>真正重视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-1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6"/>
        </w:rPr>
        <w:t>报告对定量化信息披露要求</w:t>
      </w:r>
      <w:r>
        <w:rPr>
          <w:rFonts w:ascii="FangSong" w:hAnsi="FangSong" w:eastAsia="FangSong" w:cs="FangSong"/>
          <w:sz w:val="28"/>
          <w:szCs w:val="28"/>
          <w:spacing w:val="-6"/>
        </w:rPr>
        <w:t>，仍有较大的提升空间。</w:t>
      </w:r>
    </w:p>
    <w:p>
      <w:pPr>
        <w:ind w:firstLine="503"/>
        <w:spacing w:line="2891" w:lineRule="exact"/>
        <w:rPr/>
      </w:pPr>
      <w:r>
        <w:rPr>
          <w:position w:val="-57"/>
        </w:rPr>
        <w:drawing>
          <wp:inline distT="0" distB="0" distL="0" distR="0">
            <wp:extent cx="4558283" cy="1836419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58283" cy="18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241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661"/>
        <w:spacing w:before="210" w:line="222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77" w:id="85"/>
      <w:bookmarkEnd w:id="85"/>
      <w:r>
        <w:rPr>
          <w:rFonts w:ascii="FangSong" w:hAnsi="FangSong" w:eastAsia="FangSong" w:cs="FangSong"/>
          <w:sz w:val="24"/>
          <w:szCs w:val="24"/>
          <w:spacing w:val="-2"/>
        </w:rPr>
        <w:t>图</w:t>
      </w:r>
      <w:r>
        <w:rPr>
          <w:rFonts w:ascii="FangSong" w:hAnsi="FangSong" w:eastAsia="FangSong" w:cs="FangSong"/>
          <w:sz w:val="24"/>
          <w:szCs w:val="24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  </w:t>
      </w:r>
      <w:r>
        <w:rPr>
          <w:rFonts w:ascii="FangSong" w:hAnsi="FangSong" w:eastAsia="FangSong" w:cs="FangSong"/>
          <w:sz w:val="24"/>
          <w:szCs w:val="24"/>
          <w:spacing w:val="-2"/>
        </w:rPr>
        <w:t>互联网企业可持续发展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</w:t>
      </w:r>
      <w:r>
        <w:rPr>
          <w:rFonts w:ascii="FangSong" w:hAnsi="FangSong" w:eastAsia="FangSong" w:cs="FangSong"/>
          <w:sz w:val="24"/>
          <w:szCs w:val="24"/>
          <w:spacing w:val="-2"/>
        </w:rPr>
        <w:t>社会责任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ESG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3"/>
        </w:rPr>
        <w:t>报告类别</w:t>
      </w:r>
    </w:p>
    <w:p>
      <w:pPr>
        <w:pStyle w:val="BodyText"/>
        <w:spacing w:line="343" w:lineRule="auto"/>
        <w:rPr/>
      </w:pPr>
      <w:r/>
    </w:p>
    <w:p>
      <w:pPr>
        <w:ind w:firstLine="1180"/>
        <w:spacing w:line="3118" w:lineRule="exact"/>
        <w:rPr/>
      </w:pPr>
      <w:r>
        <w:rPr>
          <w:position w:val="-62"/>
        </w:rPr>
        <w:drawing>
          <wp:inline distT="0" distB="0" distL="0" distR="0">
            <wp:extent cx="4000500" cy="1979676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500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132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539"/>
        <w:spacing w:before="209" w:line="220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80" w:id="86"/>
      <w:bookmarkEnd w:id="86"/>
      <w:bookmarkStart w:name="bookmark79" w:id="87"/>
      <w:bookmarkEnd w:id="87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4 2010-2022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3"/>
        </w:rPr>
        <w:t>年互联网企业发布</w:t>
      </w:r>
      <w:r>
        <w:rPr>
          <w:rFonts w:ascii="FangSong" w:hAnsi="FangSong" w:eastAsia="FangSong" w:cs="FangSong"/>
          <w:sz w:val="24"/>
          <w:szCs w:val="24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ESG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3"/>
        </w:rPr>
        <w:t>报告数量及占比</w:t>
      </w:r>
    </w:p>
    <w:p>
      <w:pPr>
        <w:spacing w:line="220" w:lineRule="auto"/>
        <w:sectPr>
          <w:headerReference w:type="default" r:id="rId36"/>
          <w:footerReference w:type="default" r:id="rId37"/>
          <w:pgSz w:w="11906" w:h="16839"/>
          <w:pgMar w:top="1134" w:right="1717" w:bottom="1156" w:left="1785" w:header="862" w:footer="994" w:gutter="0"/>
        </w:sectPr>
        <w:rPr>
          <w:rFonts w:ascii="FangSong" w:hAnsi="FangSong" w:eastAsia="FangSong" w:cs="FangSong"/>
          <w:sz w:val="24"/>
          <w:szCs w:val="24"/>
        </w:rPr>
      </w:pPr>
    </w:p>
    <w:p>
      <w:pPr>
        <w:pStyle w:val="BodyText"/>
        <w:spacing w:line="417" w:lineRule="auto"/>
        <w:rPr/>
      </w:pPr>
      <w:r/>
    </w:p>
    <w:p>
      <w:pPr>
        <w:ind w:firstLine="806"/>
        <w:spacing w:line="2892" w:lineRule="exact"/>
        <w:rPr/>
      </w:pPr>
      <w:r>
        <w:rPr>
          <w:position w:val="-57"/>
        </w:rPr>
        <w:drawing>
          <wp:inline distT="0" distB="0" distL="0" distR="0">
            <wp:extent cx="4535423" cy="1836420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5423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241" w:line="225" w:lineRule="auto"/>
        <w:rPr>
          <w:rFonts w:ascii="FangSong" w:hAnsi="FangSong" w:eastAsia="FangSong" w:cs="FangSong"/>
          <w:sz w:val="20"/>
          <w:szCs w:val="20"/>
        </w:rPr>
      </w:pPr>
      <w:r>
        <w:drawing>
          <wp:anchor distT="0" distB="0" distL="0" distR="0" simplePos="0" relativeHeight="251701248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-1466774</wp:posOffset>
            </wp:positionV>
            <wp:extent cx="5192565" cy="7977335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587"/>
        <w:spacing w:before="209" w:line="220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81" w:id="88"/>
      <w:bookmarkEnd w:id="88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5 2010-2022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3"/>
        </w:rPr>
        <w:t>年互联网企业发布专项报告数量及占比</w:t>
      </w:r>
    </w:p>
    <w:p>
      <w:pPr>
        <w:pStyle w:val="BodyText"/>
        <w:spacing w:line="398" w:lineRule="auto"/>
        <w:rPr/>
      </w:pPr>
      <w:r/>
    </w:p>
    <w:p>
      <w:pPr>
        <w:ind w:left="1112"/>
        <w:spacing w:before="101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22" w:id="89"/>
      <w:bookmarkEnd w:id="89"/>
      <w:bookmarkStart w:name="bookmark82" w:id="90"/>
      <w:bookmarkEnd w:id="90"/>
      <w:bookmarkStart w:name="bookmark21" w:id="91"/>
      <w:bookmarkEnd w:id="91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（三）披露语言中文为主，管理信息有待提升</w:t>
      </w:r>
    </w:p>
    <w:p>
      <w:pPr>
        <w:ind w:left="450" w:firstLine="565"/>
        <w:spacing w:before="321" w:line="402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可持续信息披露语言一定程度上反映了披露对象和披</w:t>
      </w:r>
      <w:r>
        <w:rPr>
          <w:rFonts w:ascii="FangSong" w:hAnsi="FangSong" w:eastAsia="FangSong" w:cs="FangSong"/>
          <w:sz w:val="28"/>
          <w:szCs w:val="28"/>
        </w:rPr>
        <w:t>露驱动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力。目前，互联网行业可持续信息披露仍由中文简体、中文繁体、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英文三种语言组成。</w:t>
      </w:r>
    </w:p>
    <w:p>
      <w:pPr>
        <w:ind w:left="438" w:right="87" w:firstLine="574"/>
        <w:spacing w:before="46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报告语言再次验证了可持续信息披露的多重驱动，中文简体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多用于符合国内政策要求或为国内公众阅读使用的报告；</w:t>
      </w:r>
      <w:r>
        <w:rPr>
          <w:rFonts w:ascii="FangSong" w:hAnsi="FangSong" w:eastAsia="FangSong" w:cs="FangSong"/>
          <w:sz w:val="28"/>
          <w:szCs w:val="28"/>
          <w:spacing w:val="-7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中文繁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体多用于符合联交所要求的报告；英文多用于符合国际交易所或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国际政策要求的报告。据统计，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17 </w:t>
      </w:r>
      <w:r>
        <w:rPr>
          <w:rFonts w:ascii="FangSong" w:hAnsi="FangSong" w:eastAsia="FangSong" w:cs="FangSong"/>
          <w:sz w:val="28"/>
          <w:szCs w:val="28"/>
          <w:spacing w:val="-1"/>
        </w:rPr>
        <w:t>份报告在同一份报告采用中文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简体和英文撰写文本；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12 </w:t>
      </w:r>
      <w:r>
        <w:rPr>
          <w:rFonts w:ascii="FangSong" w:hAnsi="FangSong" w:eastAsia="FangSong" w:cs="FangSong"/>
          <w:sz w:val="28"/>
          <w:szCs w:val="28"/>
          <w:spacing w:val="-1"/>
        </w:rPr>
        <w:t>份报告在同一份报告采用中文繁体和英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文撰写；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16 </w:t>
      </w:r>
      <w:r>
        <w:rPr>
          <w:rFonts w:ascii="FangSong" w:hAnsi="FangSong" w:eastAsia="FangSong" w:cs="FangSong"/>
          <w:sz w:val="28"/>
          <w:szCs w:val="28"/>
          <w:spacing w:val="-1"/>
        </w:rPr>
        <w:t>份中文繁体报告翻译为英文后，又以英文报告的形式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再次独立发布。</w:t>
      </w:r>
    </w:p>
    <w:p>
      <w:pPr>
        <w:ind w:left="446" w:right="12" w:firstLine="552"/>
        <w:spacing w:before="45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2022 </w:t>
      </w:r>
      <w:r>
        <w:rPr>
          <w:rFonts w:ascii="FangSong" w:hAnsi="FangSong" w:eastAsia="FangSong" w:cs="FangSong"/>
          <w:sz w:val="28"/>
          <w:szCs w:val="28"/>
          <w:spacing w:val="1"/>
        </w:rPr>
        <w:t>年，可持续发展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FangSong" w:hAnsi="FangSong" w:eastAsia="FangSong" w:cs="FangSong"/>
          <w:sz w:val="28"/>
          <w:szCs w:val="28"/>
          <w:spacing w:val="1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报告中英文和中文繁体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占比均略有提升，其中英文由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2021 </w:t>
      </w:r>
      <w:r>
        <w:rPr>
          <w:rFonts w:ascii="FangSong" w:hAnsi="FangSong" w:eastAsia="FangSong" w:cs="FangSong"/>
          <w:sz w:val="28"/>
          <w:szCs w:val="28"/>
          <w:spacing w:val="-6"/>
        </w:rPr>
        <w:t>年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13.08%</w:t>
      </w:r>
      <w:r>
        <w:rPr>
          <w:rFonts w:ascii="FangSong" w:hAnsi="FangSong" w:eastAsia="FangSong" w:cs="FangSong"/>
          <w:sz w:val="28"/>
          <w:szCs w:val="28"/>
          <w:spacing w:val="-6"/>
        </w:rPr>
        <w:t>增至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2022 </w:t>
      </w:r>
      <w:r>
        <w:rPr>
          <w:rFonts w:ascii="FangSong" w:hAnsi="FangSong" w:eastAsia="FangSong" w:cs="FangSong"/>
          <w:sz w:val="28"/>
          <w:szCs w:val="28"/>
          <w:spacing w:val="-6"/>
        </w:rPr>
        <w:t>年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17.62%</w:t>
      </w:r>
      <w:r>
        <w:rPr>
          <w:rFonts w:ascii="FangSong" w:hAnsi="FangSong" w:eastAsia="FangSong" w:cs="FangSong"/>
          <w:sz w:val="28"/>
          <w:szCs w:val="28"/>
          <w:spacing w:val="-6"/>
        </w:rPr>
        <w:t>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中文繁体由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2021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年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11.21%</w:t>
      </w:r>
      <w:r>
        <w:rPr>
          <w:rFonts w:ascii="FangSong" w:hAnsi="FangSong" w:eastAsia="FangSong" w:cs="FangSong"/>
          <w:sz w:val="28"/>
          <w:szCs w:val="28"/>
          <w:spacing w:val="-7"/>
        </w:rPr>
        <w:t>增至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年</w:t>
      </w:r>
      <w:r>
        <w:rPr>
          <w:rFonts w:ascii="FangSong" w:hAnsi="FangSong" w:eastAsia="FangSong" w:cs="FangSong"/>
          <w:sz w:val="28"/>
          <w:szCs w:val="2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13.28%</w:t>
      </w:r>
      <w:r>
        <w:rPr>
          <w:rFonts w:ascii="FangSong" w:hAnsi="FangSong" w:eastAsia="FangSong" w:cs="FangSong"/>
          <w:sz w:val="28"/>
          <w:szCs w:val="28"/>
          <w:spacing w:val="-7"/>
        </w:rPr>
        <w:t>，但</w:t>
      </w:r>
      <w:r>
        <w:rPr>
          <w:rFonts w:ascii="SimHei" w:hAnsi="SimHei" w:eastAsia="SimHei" w:cs="SimHei"/>
          <w:sz w:val="28"/>
          <w:szCs w:val="28"/>
          <w:spacing w:val="-7"/>
        </w:rPr>
        <w:t>中文简体仍占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据着最大信息披露份额</w:t>
      </w:r>
      <w:r>
        <w:rPr>
          <w:rFonts w:ascii="FangSong" w:hAnsi="FangSong" w:eastAsia="FangSong" w:cs="FangSong"/>
          <w:sz w:val="28"/>
          <w:szCs w:val="28"/>
        </w:rPr>
        <w:t>（</w:t>
      </w:r>
      <w:r>
        <w:rPr>
          <w:rFonts w:ascii="Times New Roman" w:hAnsi="Times New Roman" w:eastAsia="Times New Roman" w:cs="Times New Roman"/>
          <w:sz w:val="28"/>
          <w:szCs w:val="28"/>
        </w:rPr>
        <w:t>69.11%</w:t>
      </w:r>
      <w:r>
        <w:rPr>
          <w:rFonts w:ascii="FangSong" w:hAnsi="FangSong" w:eastAsia="FangSong" w:cs="FangSong"/>
          <w:sz w:val="28"/>
          <w:szCs w:val="28"/>
          <w:spacing w:val="6"/>
        </w:rPr>
        <w:t>），</w:t>
      </w:r>
      <w:r>
        <w:rPr>
          <w:rFonts w:ascii="FangSong" w:hAnsi="FangSong" w:eastAsia="FangSong" w:cs="FangSong"/>
          <w:sz w:val="28"/>
          <w:szCs w:val="28"/>
        </w:rPr>
        <w:t>说明国内利益相关方仍</w:t>
      </w:r>
      <w:r>
        <w:rPr>
          <w:rFonts w:ascii="FangSong" w:hAnsi="FangSong" w:eastAsia="FangSong" w:cs="FangSong"/>
          <w:sz w:val="28"/>
          <w:szCs w:val="28"/>
          <w:spacing w:val="-1"/>
        </w:rPr>
        <w:t>是披</w:t>
      </w:r>
    </w:p>
    <w:p>
      <w:pPr>
        <w:spacing w:line="405" w:lineRule="auto"/>
        <w:sectPr>
          <w:headerReference w:type="default" r:id="rId40"/>
          <w:footerReference w:type="default" r:id="rId41"/>
          <w:pgSz w:w="11906" w:h="16839"/>
          <w:pgMar w:top="1134" w:right="1712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6" w:lineRule="auto"/>
        <w:rPr/>
      </w:pPr>
      <w:r/>
    </w:p>
    <w:p>
      <w:pPr>
        <w:ind w:left="441" w:right="12" w:firstLine="15"/>
        <w:spacing w:before="91" w:line="404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露的主要对象。同时，在官网披露的企业可持续发</w:t>
      </w:r>
      <w:r>
        <w:rPr>
          <w:rFonts w:ascii="FangSong" w:hAnsi="FangSong" w:eastAsia="FangSong" w:cs="FangSong"/>
          <w:sz w:val="28"/>
          <w:szCs w:val="28"/>
        </w:rPr>
        <w:t>展、社会责任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及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ESG </w:t>
      </w:r>
      <w:r>
        <w:rPr>
          <w:rFonts w:ascii="FangSong" w:hAnsi="FangSong" w:eastAsia="FangSong" w:cs="FangSong"/>
          <w:sz w:val="28"/>
          <w:szCs w:val="28"/>
          <w:spacing w:val="-5"/>
        </w:rPr>
        <w:t>政策及管理制度文件（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以下简称</w:t>
      </w:r>
      <w:r>
        <w:rPr>
          <w:rFonts w:ascii="FangSong" w:hAnsi="FangSong" w:eastAsia="FangSong" w:cs="FangSong"/>
          <w:sz w:val="28"/>
          <w:szCs w:val="28"/>
          <w:spacing w:val="-6"/>
        </w:rPr>
        <w:t>：管理文件）也与报告相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同，中文简体占比最高，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90.8%</w:t>
      </w:r>
      <w:r>
        <w:rPr>
          <w:rFonts w:ascii="FangSong" w:hAnsi="FangSong" w:eastAsia="FangSong" w:cs="FangSong"/>
          <w:sz w:val="28"/>
          <w:szCs w:val="28"/>
          <w:spacing w:val="2"/>
        </w:rPr>
        <w:t>管理文件采用中文简体发布，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8%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采用英文发布。</w:t>
      </w:r>
    </w:p>
    <w:p>
      <w:pPr>
        <w:ind w:left="434" w:right="13" w:firstLine="574"/>
        <w:spacing w:before="46" w:line="40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3"/>
        </w:rPr>
        <w:t>可持续发展、社会责任及</w:t>
      </w:r>
      <w:r>
        <w:rPr>
          <w:rFonts w:ascii="SimHei" w:hAnsi="SimHei" w:eastAsia="SimHei" w:cs="SimHei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SimHei" w:hAnsi="SimHei" w:eastAsia="SimHei" w:cs="SimHei"/>
          <w:sz w:val="28"/>
          <w:szCs w:val="28"/>
          <w:spacing w:val="-3"/>
        </w:rPr>
        <w:t>政策及管理制度文件作为企业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管理体系一项重要输出</w:t>
      </w:r>
      <w:r>
        <w:rPr>
          <w:rFonts w:ascii="FangSong" w:hAnsi="FangSong" w:eastAsia="FangSong" w:cs="FangSong"/>
          <w:sz w:val="28"/>
          <w:szCs w:val="28"/>
          <w:spacing w:val="1"/>
        </w:rPr>
        <w:t>，一定程度上反映了企业是否真正将可持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续发展、社会责任及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落实日常经营管理、可</w:t>
      </w:r>
      <w:r>
        <w:rPr>
          <w:rFonts w:ascii="FangSong" w:hAnsi="FangSong" w:eastAsia="FangSong" w:cs="FangSong"/>
          <w:sz w:val="28"/>
          <w:szCs w:val="28"/>
          <w:spacing w:val="-4"/>
        </w:rPr>
        <w:t>持续发展核心主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题是否在内部管理中持续改善。目前，</w:t>
      </w:r>
      <w:r>
        <w:rPr>
          <w:rFonts w:ascii="SimHei" w:hAnsi="SimHei" w:eastAsia="SimHei" w:cs="SimHei"/>
          <w:sz w:val="28"/>
          <w:szCs w:val="28"/>
          <w:spacing w:val="1"/>
        </w:rPr>
        <w:t>管理文件的信息披露情况</w:t>
      </w:r>
      <w:r>
        <w:rPr>
          <w:rFonts w:ascii="SimHei" w:hAnsi="SimHei" w:eastAsia="SimHei" w:cs="SimHei"/>
          <w:sz w:val="28"/>
          <w:szCs w:val="28"/>
          <w:spacing w:val="1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在数量及质量上仍有待进一步提升。信息披露数量上</w:t>
      </w:r>
      <w:r>
        <w:rPr>
          <w:rFonts w:ascii="FangSong" w:hAnsi="FangSong" w:eastAsia="FangSong" w:cs="FangSong"/>
          <w:sz w:val="28"/>
          <w:szCs w:val="28"/>
          <w:spacing w:val="1"/>
        </w:rPr>
        <w:t>，仅有略高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于</w:t>
      </w:r>
      <w:r>
        <w:rPr>
          <w:rFonts w:ascii="FangSong" w:hAnsi="FangSong" w:eastAsia="FangSong" w:cs="FangSong"/>
          <w:sz w:val="28"/>
          <w:szCs w:val="28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10%</w:t>
      </w:r>
      <w:r>
        <w:rPr>
          <w:rFonts w:ascii="FangSong" w:hAnsi="FangSong" w:eastAsia="FangSong" w:cs="FangSong"/>
          <w:sz w:val="28"/>
          <w:szCs w:val="28"/>
          <w:spacing w:val="-1"/>
        </w:rPr>
        <w:t>的企业在官网所设置的单独页面上披露了管理文件，与可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持续发展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/ESG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报告发布企业数量（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54%</w:t>
      </w:r>
      <w:r>
        <w:rPr>
          <w:rFonts w:ascii="FangSong" w:hAnsi="FangSong" w:eastAsia="FangSong" w:cs="FangSong"/>
          <w:sz w:val="28"/>
          <w:szCs w:val="28"/>
          <w:spacing w:val="-4"/>
        </w:rPr>
        <w:t>）、设置单独页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面企业数量（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47%</w:t>
      </w:r>
      <w:r>
        <w:rPr>
          <w:rFonts w:ascii="FangSong" w:hAnsi="FangSong" w:eastAsia="FangSong" w:cs="FangSong"/>
          <w:sz w:val="28"/>
          <w:szCs w:val="28"/>
          <w:spacing w:val="3"/>
        </w:rPr>
        <w:t>）相比均差距较大。</w:t>
      </w:r>
      <w:r>
        <w:rPr>
          <w:rFonts w:ascii="SimHei" w:hAnsi="SimHei" w:eastAsia="SimHei" w:cs="SimHei"/>
          <w:sz w:val="28"/>
          <w:szCs w:val="28"/>
          <w:spacing w:val="3"/>
        </w:rPr>
        <w:t>信息披露内容上</w:t>
      </w:r>
      <w:r>
        <w:rPr>
          <w:rFonts w:ascii="FangSong" w:hAnsi="FangSong" w:eastAsia="FangSong" w:cs="FangSong"/>
          <w:sz w:val="28"/>
          <w:szCs w:val="28"/>
          <w:spacing w:val="3"/>
        </w:rPr>
        <w:t>，相关管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理文件也仅限于个别主题，主要集中在行为准则（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26.4%</w:t>
      </w:r>
      <w:r>
        <w:rPr>
          <w:rFonts w:ascii="FangSong" w:hAnsi="FangSong" w:eastAsia="FangSong" w:cs="FangSong"/>
          <w:sz w:val="28"/>
          <w:szCs w:val="28"/>
          <w:spacing w:val="-4"/>
        </w:rPr>
        <w:t>，其中廉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政反腐败政策</w:t>
      </w:r>
      <w:r>
        <w:rPr>
          <w:rFonts w:ascii="FangSong" w:hAnsi="FangSong" w:eastAsia="FangSong" w:cs="FangSong"/>
          <w:sz w:val="28"/>
          <w:szCs w:val="28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11.49%</w:t>
      </w:r>
      <w:r>
        <w:rPr>
          <w:rFonts w:ascii="Times New Roman" w:hAnsi="Times New Roman" w:eastAsia="Times New Roman" w:cs="Times New Roman"/>
          <w:sz w:val="28"/>
          <w:szCs w:val="28"/>
          <w:spacing w:val="-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）、人力资源（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16.09%</w:t>
      </w:r>
      <w:r>
        <w:rPr>
          <w:rFonts w:ascii="FangSong" w:hAnsi="FangSong" w:eastAsia="FangSong" w:cs="FangSong"/>
          <w:sz w:val="28"/>
          <w:szCs w:val="28"/>
          <w:spacing w:val="1"/>
        </w:rPr>
        <w:t>）、个人信息保护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（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13.79%</w:t>
      </w:r>
      <w:r>
        <w:rPr>
          <w:rFonts w:ascii="FangSong" w:hAnsi="FangSong" w:eastAsia="FangSong" w:cs="FangSong"/>
          <w:sz w:val="28"/>
          <w:szCs w:val="28"/>
          <w:spacing w:val="-4"/>
        </w:rPr>
        <w:t>）、供应商管理（</w:t>
      </w:r>
      <w:r>
        <w:rPr>
          <w:rFonts w:ascii="FangSong" w:hAnsi="FangSong" w:eastAsia="FangSong" w:cs="FangSong"/>
          <w:sz w:val="28"/>
          <w:szCs w:val="28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12.6%</w:t>
      </w:r>
      <w:r>
        <w:rPr>
          <w:rFonts w:ascii="Times New Roman" w:hAnsi="Times New Roman" w:eastAsia="Times New Roman" w:cs="Times New Roman"/>
          <w:sz w:val="28"/>
          <w:szCs w:val="28"/>
          <w:spacing w:val="-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）、绿色双碳</w:t>
      </w:r>
      <w:r>
        <w:rPr>
          <w:rFonts w:ascii="FangSong" w:hAnsi="FangSong" w:eastAsia="FangSong" w:cs="FangSong"/>
          <w:sz w:val="28"/>
          <w:szCs w:val="28"/>
          <w:spacing w:val="-5"/>
        </w:rPr>
        <w:t>（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11.50%</w:t>
      </w:r>
      <w:r>
        <w:rPr>
          <w:rFonts w:ascii="FangSong" w:hAnsi="FangSong" w:eastAsia="FangSong" w:cs="FangSong"/>
          <w:sz w:val="28"/>
          <w:szCs w:val="28"/>
          <w:spacing w:val="-5"/>
        </w:rPr>
        <w:t>）、公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司治理（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11.49%</w:t>
      </w:r>
      <w:r>
        <w:rPr>
          <w:rFonts w:ascii="FangSong" w:hAnsi="FangSong" w:eastAsia="FangSong" w:cs="FangSong"/>
          <w:sz w:val="28"/>
          <w:szCs w:val="28"/>
          <w:spacing w:val="-2"/>
        </w:rPr>
        <w:t>）等，远不及报告核心主题数量。</w:t>
      </w:r>
      <w:r>
        <w:rPr>
          <w:rFonts w:ascii="SimHei" w:hAnsi="SimHei" w:eastAsia="SimHei" w:cs="SimHei"/>
          <w:sz w:val="28"/>
          <w:szCs w:val="28"/>
          <w:spacing w:val="-2"/>
        </w:rPr>
        <w:t>披露程度上</w:t>
      </w:r>
      <w:r>
        <w:rPr>
          <w:rFonts w:ascii="FangSong" w:hAnsi="FangSong" w:eastAsia="FangSong" w:cs="FangSong"/>
          <w:sz w:val="28"/>
          <w:szCs w:val="28"/>
          <w:spacing w:val="-2"/>
        </w:rPr>
        <w:t>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企业多通过较为简单的文字撰写表明企业在该方面建立了管理制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度，但具体内容可能顾虑其商业秘密而未做细节披露。</w:t>
      </w:r>
    </w:p>
    <w:p>
      <w:pPr>
        <w:ind w:left="1112"/>
        <w:spacing w:before="89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24" w:id="92"/>
      <w:bookmarkEnd w:id="92"/>
      <w:bookmarkStart w:name="bookmark23" w:id="93"/>
      <w:bookmarkEnd w:id="93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（四）披露验证综合实力，资本市场传导明显</w:t>
      </w:r>
    </w:p>
    <w:p>
      <w:pPr>
        <w:ind w:left="442" w:right="13" w:firstLine="573"/>
        <w:spacing w:before="324" w:line="403" w:lineRule="auto"/>
        <w:jc w:val="both"/>
        <w:rPr>
          <w:rFonts w:ascii="SimHei" w:hAnsi="SimHei" w:eastAsia="SimHei" w:cs="SimHei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互联网行业技术更迭快、市场化程度较高，企业所面</w:t>
      </w:r>
      <w:r>
        <w:rPr>
          <w:rFonts w:ascii="FangSong" w:hAnsi="FangSong" w:eastAsia="FangSong" w:cs="FangSong"/>
          <w:sz w:val="28"/>
          <w:szCs w:val="28"/>
        </w:rPr>
        <w:t>临竞争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压力较大，互联网综合实力前百家企业也常有变动。信息披露作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为一项在国内目前仍以自愿为主的工作，</w:t>
      </w:r>
      <w:r>
        <w:rPr>
          <w:rFonts w:ascii="SimHei" w:hAnsi="SimHei" w:eastAsia="SimHei" w:cs="SimHei"/>
          <w:sz w:val="28"/>
          <w:szCs w:val="28"/>
          <w:spacing w:val="1"/>
        </w:rPr>
        <w:t>其信息披露能力一定程</w:t>
      </w:r>
    </w:p>
    <w:p>
      <w:pPr>
        <w:spacing w:line="403" w:lineRule="auto"/>
        <w:sectPr>
          <w:headerReference w:type="default" r:id="rId15"/>
          <w:footerReference w:type="default" r:id="rId43"/>
          <w:pgSz w:w="11906" w:h="16839"/>
          <w:pgMar w:top="1134" w:right="1785" w:bottom="1156" w:left="1785" w:header="862" w:footer="994" w:gutter="0"/>
        </w:sectPr>
        <w:rPr>
          <w:rFonts w:ascii="SimHei" w:hAnsi="SimHei" w:eastAsia="SimHei" w:cs="SimHei"/>
          <w:sz w:val="28"/>
          <w:szCs w:val="28"/>
        </w:rPr>
      </w:pPr>
    </w:p>
    <w:p>
      <w:pPr>
        <w:pStyle w:val="BodyText"/>
        <w:spacing w:line="386" w:lineRule="auto"/>
        <w:rPr/>
      </w:pPr>
      <w:r/>
    </w:p>
    <w:p>
      <w:pPr>
        <w:ind w:left="442" w:right="114" w:firstLine="2"/>
        <w:spacing w:before="91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391566</wp:posOffset>
            </wp:positionV>
            <wp:extent cx="5192565" cy="7977335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8"/>
          <w:szCs w:val="28"/>
          <w:spacing w:val="1"/>
        </w:rPr>
        <w:t>度上反映了互联网企业综合实力</w:t>
      </w:r>
      <w:r>
        <w:rPr>
          <w:rFonts w:ascii="FangSong" w:hAnsi="FangSong" w:eastAsia="FangSong" w:cs="FangSong"/>
          <w:sz w:val="28"/>
          <w:szCs w:val="28"/>
          <w:spacing w:val="1"/>
        </w:rPr>
        <w:t>。整体看，综合实力越强的企业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感受到可持续信息披露压力更大、企业披露意识更足，同时披露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表现也更好。</w:t>
      </w:r>
    </w:p>
    <w:p>
      <w:pPr>
        <w:ind w:left="1006"/>
        <w:spacing w:before="44" w:line="21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横向来看，《中国互联网企业综合实力指数（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2021</w:t>
      </w:r>
      <w:r>
        <w:rPr>
          <w:rFonts w:ascii="Times New Roman" w:hAnsi="Times New Roman" w:eastAsia="Times New Roman" w:cs="Times New Roman"/>
          <w:sz w:val="28"/>
          <w:szCs w:val="28"/>
          <w:spacing w:val="-3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）》前百</w:t>
      </w:r>
    </w:p>
    <w:p>
      <w:pPr>
        <w:ind w:left="451"/>
        <w:spacing w:before="123" w:line="624" w:lineRule="exact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7"/>
          <w:position w:val="9"/>
        </w:rPr>
        <w:t>家企业中共有</w:t>
      </w:r>
      <w:r>
        <w:rPr>
          <w:rFonts w:ascii="FangSong" w:hAnsi="FangSong" w:eastAsia="FangSong" w:cs="FangSong"/>
          <w:sz w:val="28"/>
          <w:szCs w:val="28"/>
          <w:spacing w:val="-59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  <w:position w:val="9"/>
        </w:rPr>
        <w:t>38</w:t>
      </w:r>
      <w:r>
        <w:rPr>
          <w:rFonts w:ascii="Times New Roman" w:hAnsi="Times New Roman" w:eastAsia="Times New Roman" w:cs="Times New Roman"/>
          <w:sz w:val="28"/>
          <w:szCs w:val="28"/>
          <w:spacing w:val="16"/>
          <w:position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  <w:position w:val="9"/>
        </w:rPr>
        <w:t>家企业发布过报告，累计发布</w:t>
      </w:r>
      <w:r>
        <w:rPr>
          <w:rFonts w:ascii="FangSong" w:hAnsi="FangSong" w:eastAsia="FangSong" w:cs="FangSong"/>
          <w:sz w:val="28"/>
          <w:szCs w:val="28"/>
          <w:spacing w:val="-65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  <w:position w:val="9"/>
        </w:rPr>
        <w:t>208 </w:t>
      </w:r>
      <w:r>
        <w:rPr>
          <w:rFonts w:ascii="FangSong" w:hAnsi="FangSong" w:eastAsia="FangSong" w:cs="FangSong"/>
          <w:sz w:val="28"/>
          <w:szCs w:val="28"/>
          <w:spacing w:val="-8"/>
          <w:position w:val="9"/>
        </w:rPr>
        <w:t>份报告</w:t>
      </w:r>
      <w:hyperlink w:history="true" w:anchor="bookmark108">
        <w:r>
          <w:rPr>
            <w:rFonts w:ascii="Times New Roman" w:hAnsi="Times New Roman" w:eastAsia="Times New Roman" w:cs="Times New Roman"/>
            <w:sz w:val="18"/>
            <w:szCs w:val="18"/>
            <w:spacing w:val="-8"/>
            <w:position w:val="18"/>
          </w:rPr>
          <w:t>5</w:t>
        </w:r>
      </w:hyperlink>
      <w:r>
        <w:rPr>
          <w:rFonts w:ascii="FangSong" w:hAnsi="FangSong" w:eastAsia="FangSong" w:cs="FangSong"/>
          <w:sz w:val="28"/>
          <w:szCs w:val="28"/>
          <w:spacing w:val="-8"/>
          <w:position w:val="9"/>
        </w:rPr>
        <w:t>，《中</w:t>
      </w:r>
    </w:p>
    <w:p>
      <w:pPr>
        <w:ind w:left="469"/>
        <w:spacing w:before="173" w:line="21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5"/>
        </w:rPr>
        <w:t>国互联网企业综合实力指数（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2022</w:t>
      </w:r>
      <w:r>
        <w:rPr>
          <w:rFonts w:ascii="FangSong" w:hAnsi="FangSong" w:eastAsia="FangSong" w:cs="FangSong"/>
          <w:sz w:val="28"/>
          <w:szCs w:val="28"/>
          <w:spacing w:val="-5"/>
        </w:rPr>
        <w:t>）》中共有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54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家企业</w:t>
      </w:r>
      <w:r>
        <w:rPr>
          <w:rFonts w:ascii="FangSong" w:hAnsi="FangSong" w:eastAsia="FangSong" w:cs="FangSong"/>
          <w:sz w:val="28"/>
          <w:szCs w:val="28"/>
          <w:spacing w:val="-6"/>
        </w:rPr>
        <w:t>发布过报</w:t>
      </w:r>
    </w:p>
    <w:p>
      <w:pPr>
        <w:ind w:left="453"/>
        <w:spacing w:before="123" w:line="624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0"/>
          <w:position w:val="9"/>
        </w:rPr>
        <w:t>告，累计发布</w:t>
      </w:r>
      <w:r>
        <w:rPr>
          <w:rFonts w:ascii="FangSong" w:hAnsi="FangSong" w:eastAsia="FangSong" w:cs="FangSong"/>
          <w:sz w:val="28"/>
          <w:szCs w:val="28"/>
          <w:spacing w:val="-55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0"/>
          <w:position w:val="9"/>
        </w:rPr>
        <w:t>340 </w:t>
      </w:r>
      <w:r>
        <w:rPr>
          <w:rFonts w:ascii="FangSong" w:hAnsi="FangSong" w:eastAsia="FangSong" w:cs="FangSong"/>
          <w:sz w:val="28"/>
          <w:szCs w:val="28"/>
          <w:spacing w:val="-10"/>
          <w:position w:val="9"/>
        </w:rPr>
        <w:t>份报告</w:t>
      </w:r>
      <w:hyperlink w:history="true" w:anchor="bookmark109">
        <w:r>
          <w:rPr>
            <w:rFonts w:ascii="Times New Roman" w:hAnsi="Times New Roman" w:eastAsia="Times New Roman" w:cs="Times New Roman"/>
            <w:sz w:val="18"/>
            <w:szCs w:val="18"/>
            <w:spacing w:val="-10"/>
            <w:position w:val="18"/>
          </w:rPr>
          <w:t>6</w:t>
        </w:r>
      </w:hyperlink>
      <w:r>
        <w:rPr>
          <w:rFonts w:ascii="FangSong" w:hAnsi="FangSong" w:eastAsia="FangSong" w:cs="FangSong"/>
          <w:sz w:val="28"/>
          <w:szCs w:val="28"/>
          <w:spacing w:val="-11"/>
          <w:position w:val="9"/>
        </w:rPr>
        <w:t>，</w:t>
      </w:r>
      <w:r>
        <w:rPr>
          <w:rFonts w:ascii="SimHei" w:hAnsi="SimHei" w:eastAsia="SimHei" w:cs="SimHei"/>
          <w:sz w:val="28"/>
          <w:szCs w:val="28"/>
          <w:spacing w:val="-11"/>
          <w:position w:val="9"/>
        </w:rPr>
        <w:t>累计报告数的大幅增加充分说明，</w:t>
      </w:r>
      <w:r>
        <w:rPr>
          <w:rFonts w:ascii="Times New Roman" w:hAnsi="Times New Roman" w:eastAsia="Times New Roman" w:cs="Times New Roman"/>
          <w:sz w:val="28"/>
          <w:szCs w:val="28"/>
          <w:spacing w:val="-11"/>
          <w:position w:val="9"/>
        </w:rPr>
        <w:t>2022</w:t>
      </w:r>
    </w:p>
    <w:p>
      <w:pPr>
        <w:ind w:left="452" w:right="114" w:hanging="6"/>
        <w:spacing w:before="172" w:line="38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5"/>
        </w:rPr>
        <w:t>年综合实力前百家企业的可持续信息披露能力与</w:t>
      </w:r>
      <w:r>
        <w:rPr>
          <w:rFonts w:ascii="SimHei" w:hAnsi="SimHei" w:eastAsia="SimHei" w:cs="SimHei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202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1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4"/>
        </w:rPr>
        <w:t>年综合实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力前百家企业相比，有了明显提升</w:t>
      </w:r>
      <w:r>
        <w:rPr>
          <w:rFonts w:ascii="FangSong" w:hAnsi="FangSong" w:eastAsia="FangSong" w:cs="FangSong"/>
          <w:sz w:val="28"/>
          <w:szCs w:val="28"/>
          <w:spacing w:val="-1"/>
        </w:rPr>
        <w:t>（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见图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6</w:t>
      </w:r>
      <w:r>
        <w:rPr>
          <w:rFonts w:ascii="FangSong" w:hAnsi="FangSong" w:eastAsia="FangSong" w:cs="FangSong"/>
          <w:sz w:val="28"/>
          <w:szCs w:val="28"/>
          <w:spacing w:val="-1"/>
        </w:rPr>
        <w:t>）。</w:t>
      </w:r>
    </w:p>
    <w:p>
      <w:pPr>
        <w:ind w:firstLine="892"/>
        <w:spacing w:line="2606" w:lineRule="exact"/>
        <w:rPr/>
      </w:pPr>
      <w:r>
        <w:rPr>
          <w:position w:val="-52"/>
        </w:rPr>
        <w:drawing>
          <wp:inline distT="0" distB="0" distL="0" distR="0">
            <wp:extent cx="4425695" cy="1655064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25695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232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865"/>
        <w:spacing w:before="210" w:line="220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83" w:id="94"/>
      <w:bookmarkEnd w:id="94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6 2022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3"/>
        </w:rPr>
        <w:t>年中国互联网综合实力与报告数量分布</w:t>
      </w:r>
    </w:p>
    <w:p>
      <w:pPr>
        <w:pStyle w:val="BodyText"/>
        <w:spacing w:line="424" w:lineRule="auto"/>
        <w:rPr/>
      </w:pPr>
      <w:r/>
    </w:p>
    <w:p>
      <w:pPr>
        <w:ind w:left="466" w:right="114" w:firstLine="541"/>
        <w:spacing w:before="91" w:line="374" w:lineRule="auto"/>
        <w:jc w:val="both"/>
        <w:rPr>
          <w:rFonts w:ascii="FangSong" w:hAnsi="FangSong" w:eastAsia="FangSong" w:cs="FangSong"/>
          <w:sz w:val="28"/>
          <w:szCs w:val="28"/>
        </w:rPr>
      </w:pPr>
      <w:bookmarkStart w:name="bookmark84" w:id="95"/>
      <w:bookmarkEnd w:id="95"/>
      <w:r>
        <w:rPr>
          <w:rFonts w:ascii="FangSong" w:hAnsi="FangSong" w:eastAsia="FangSong" w:cs="FangSong"/>
          <w:sz w:val="28"/>
          <w:szCs w:val="28"/>
        </w:rPr>
        <w:t>纵向来看，不论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2021 </w:t>
      </w:r>
      <w:r>
        <w:rPr>
          <w:rFonts w:ascii="FangSong" w:hAnsi="FangSong" w:eastAsia="FangSong" w:cs="FangSong"/>
          <w:sz w:val="28"/>
          <w:szCs w:val="28"/>
        </w:rPr>
        <w:t>年还是</w:t>
      </w:r>
      <w:r>
        <w:rPr>
          <w:rFonts w:ascii="FangSong" w:hAnsi="FangSong" w:eastAsia="FangSong" w:cs="FangSong"/>
          <w:sz w:val="28"/>
          <w:szCs w:val="28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2022 </w:t>
      </w:r>
      <w:r>
        <w:rPr>
          <w:rFonts w:ascii="FangSong" w:hAnsi="FangSong" w:eastAsia="FangSong" w:cs="FangSong"/>
          <w:sz w:val="28"/>
          <w:szCs w:val="28"/>
        </w:rPr>
        <w:t>年，</w:t>
      </w:r>
      <w:r>
        <w:rPr>
          <w:rFonts w:ascii="SimHei" w:hAnsi="SimHei" w:eastAsia="SimHei" w:cs="SimHei"/>
          <w:sz w:val="28"/>
          <w:szCs w:val="28"/>
        </w:rPr>
        <w:t>综合实力前百家企业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5"/>
        </w:rPr>
        <w:t>中信息披露能力较强的企业综合实力也较强，</w:t>
      </w:r>
      <w:r>
        <w:rPr>
          <w:rFonts w:ascii="FangSong" w:hAnsi="FangSong" w:eastAsia="FangSong" w:cs="FangSong"/>
          <w:sz w:val="28"/>
          <w:szCs w:val="28"/>
          <w:spacing w:val="-5"/>
        </w:rPr>
        <w:t>排名前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25 </w:t>
      </w:r>
      <w:r>
        <w:rPr>
          <w:rFonts w:ascii="FangSong" w:hAnsi="FangSong" w:eastAsia="FangSong" w:cs="FangSong"/>
          <w:sz w:val="28"/>
          <w:szCs w:val="28"/>
          <w:spacing w:val="-5"/>
        </w:rPr>
        <w:t>名的互联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网企业的发布报告数是排名最后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25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名企业发布报告数量的近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7</w:t>
      </w:r>
      <w:r>
        <w:rPr>
          <w:rFonts w:ascii="Times New Roman" w:hAnsi="Times New Roman" w:eastAsia="Times New Roman" w:cs="Times New Roman"/>
          <w:sz w:val="28"/>
          <w:szCs w:val="28"/>
          <w:spacing w:val="-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倍</w:t>
      </w:r>
    </w:p>
    <w:p>
      <w:pPr>
        <w:spacing w:line="624" w:lineRule="exact"/>
        <w:jc w:val="right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  <w:position w:val="9"/>
        </w:rPr>
        <w:t>（见图</w:t>
      </w:r>
      <w:r>
        <w:rPr>
          <w:rFonts w:ascii="FangSong" w:hAnsi="FangSong" w:eastAsia="FangSong" w:cs="FangSong"/>
          <w:sz w:val="28"/>
          <w:szCs w:val="28"/>
          <w:spacing w:val="-6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  <w:position w:val="9"/>
        </w:rPr>
        <w:t>7</w:t>
      </w:r>
      <w:r>
        <w:rPr>
          <w:rFonts w:ascii="FangSong" w:hAnsi="FangSong" w:eastAsia="FangSong" w:cs="FangSong"/>
          <w:sz w:val="28"/>
          <w:szCs w:val="28"/>
          <w:spacing w:val="-1"/>
          <w:position w:val="9"/>
        </w:rPr>
        <w:t>）。累计发布报告超过</w:t>
      </w:r>
      <w:r>
        <w:rPr>
          <w:rFonts w:ascii="FangSong" w:hAnsi="FangSong" w:eastAsia="FangSong" w:cs="FangSong"/>
          <w:sz w:val="28"/>
          <w:szCs w:val="28"/>
          <w:spacing w:val="-38"/>
          <w:position w:val="9"/>
        </w:rPr>
        <w:t xml:space="preserve"> </w:t>
      </w:r>
      <w:hyperlink w:history="true" w:anchor="bookmark110">
        <w:r>
          <w:rPr>
            <w:rFonts w:ascii="Times New Roman" w:hAnsi="Times New Roman" w:eastAsia="Times New Roman" w:cs="Times New Roman"/>
            <w:sz w:val="28"/>
            <w:szCs w:val="28"/>
            <w:spacing w:val="-1"/>
            <w:position w:val="9"/>
          </w:rPr>
          <w:t>15 </w:t>
        </w:r>
        <w:r>
          <w:rPr>
            <w:rFonts w:ascii="FangSong" w:hAnsi="FangSong" w:eastAsia="FangSong" w:cs="FangSong"/>
            <w:sz w:val="28"/>
            <w:szCs w:val="28"/>
            <w:spacing w:val="-1"/>
            <w:position w:val="9"/>
          </w:rPr>
          <w:t>份的</w:t>
        </w:r>
        <w:r>
          <w:rPr>
            <w:rFonts w:ascii="FangSong" w:hAnsi="FangSong" w:eastAsia="FangSong" w:cs="FangSong"/>
            <w:sz w:val="28"/>
            <w:szCs w:val="28"/>
            <w:spacing w:val="-2"/>
            <w:position w:val="9"/>
          </w:rPr>
          <w:t>企业</w:t>
        </w:r>
        <w:r>
          <w:rPr>
            <w:rFonts w:ascii="Times New Roman" w:hAnsi="Times New Roman" w:eastAsia="Times New Roman" w:cs="Times New Roman"/>
            <w:sz w:val="18"/>
            <w:szCs w:val="18"/>
            <w:spacing w:val="-2"/>
            <w:position w:val="9"/>
          </w:rPr>
          <w:t>7</w:t>
        </w:r>
      </w:hyperlink>
      <w:r>
        <w:rPr>
          <w:rFonts w:ascii="FangSong" w:hAnsi="FangSong" w:eastAsia="FangSong" w:cs="FangSong"/>
          <w:sz w:val="28"/>
          <w:szCs w:val="28"/>
          <w:spacing w:val="-2"/>
          <w:position w:val="9"/>
        </w:rPr>
        <w:t>有阿里巴巴（中国）</w:t>
      </w:r>
    </w:p>
    <w:p>
      <w:pPr>
        <w:ind w:left="451"/>
        <w:spacing w:before="169" w:line="216" w:lineRule="auto"/>
        <w:rPr>
          <w:rFonts w:ascii="FangSong" w:hAnsi="FangSong" w:eastAsia="FangSong" w:cs="FangSong"/>
          <w:sz w:val="28"/>
          <w:szCs w:val="28"/>
        </w:rPr>
      </w:pPr>
      <w:bookmarkStart w:name="bookmark108" w:id="96"/>
      <w:bookmarkEnd w:id="96"/>
      <w:bookmarkStart w:name="bookmark109" w:id="97"/>
      <w:bookmarkEnd w:id="97"/>
      <w:bookmarkStart w:name="bookmark110" w:id="98"/>
      <w:bookmarkEnd w:id="98"/>
      <w:r>
        <w:rPr>
          <w:rFonts w:ascii="FangSong" w:hAnsi="FangSong" w:eastAsia="FangSong" w:cs="FangSong"/>
          <w:sz w:val="28"/>
          <w:szCs w:val="28"/>
          <w:spacing w:val="1"/>
        </w:rPr>
        <w:t>有限公司、深圳市腾讯计算机系统有限公司、百度公司、北京快</w:t>
      </w:r>
    </w:p>
    <w:p>
      <w:pPr>
        <w:pStyle w:val="BodyText"/>
        <w:spacing w:line="295" w:lineRule="auto"/>
        <w:rPr/>
      </w:pPr>
      <w:r/>
    </w:p>
    <w:p>
      <w:pPr>
        <w:pStyle w:val="BodyText"/>
        <w:spacing w:line="296" w:lineRule="auto"/>
        <w:rPr/>
      </w:pPr>
      <w:r>
        <w:pict>
          <v:shape id="_x0000_s58" style="position:absolute;margin-left:21.705pt;margin-top:10.3668pt;mso-position-vertical-relative:text;mso-position-horizontal-relative:text;width:144pt;height:0pt;z-index:251706368;" filled="false" strokecolor="#000000" strokeweight="0.00pt" coordsize="2880,0" coordorigin="0,0" path="m,l2880,0e">
            <v:stroke endcap="square" joinstyle="bevel" miterlimit="0"/>
          </v:shape>
        </w:pict>
      </w:r>
      <w:r/>
    </w:p>
    <w:p>
      <w:pPr>
        <w:ind w:left="439"/>
        <w:spacing w:before="59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5   </w:t>
      </w:r>
      <w:r>
        <w:rPr>
          <w:rFonts w:ascii="SimSun" w:hAnsi="SimSun" w:eastAsia="SimSun" w:cs="SimSun"/>
          <w:sz w:val="18"/>
          <w:szCs w:val="18"/>
        </w:rPr>
        <w:t>该累计数量指自</w:t>
      </w:r>
      <w:r>
        <w:rPr>
          <w:rFonts w:ascii="SimSun" w:hAnsi="SimSun" w:eastAsia="SimSun" w:cs="SimSun"/>
          <w:sz w:val="18"/>
          <w:szCs w:val="18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2010 </w:t>
      </w:r>
      <w:r>
        <w:rPr>
          <w:rFonts w:ascii="SimSun" w:hAnsi="SimSun" w:eastAsia="SimSun" w:cs="SimSun"/>
          <w:sz w:val="18"/>
          <w:szCs w:val="18"/>
        </w:rPr>
        <w:t>年至</w:t>
      </w:r>
      <w:r>
        <w:rPr>
          <w:rFonts w:ascii="SimSun" w:hAnsi="SimSun" w:eastAsia="SimSun" w:cs="SimSun"/>
          <w:sz w:val="18"/>
          <w:szCs w:val="18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202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1</w:t>
      </w:r>
      <w:r>
        <w:rPr>
          <w:rFonts w:ascii="Times New Roman" w:hAnsi="Times New Roman" w:eastAsia="Times New Roman" w:cs="Times New Roman"/>
          <w:sz w:val="18"/>
          <w:szCs w:val="18"/>
          <w:spacing w:val="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"/>
        </w:rPr>
        <w:t>年报告数量之和</w:t>
      </w:r>
    </w:p>
    <w:p>
      <w:pPr>
        <w:ind w:left="439"/>
        <w:spacing w:before="20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6   </w:t>
      </w:r>
      <w:r>
        <w:rPr>
          <w:rFonts w:ascii="SimSun" w:hAnsi="SimSun" w:eastAsia="SimSun" w:cs="SimSun"/>
          <w:sz w:val="18"/>
          <w:szCs w:val="18"/>
        </w:rPr>
        <w:t>该累计数量指自</w:t>
      </w:r>
      <w:r>
        <w:rPr>
          <w:rFonts w:ascii="SimSun" w:hAnsi="SimSun" w:eastAsia="SimSun" w:cs="SimSun"/>
          <w:sz w:val="18"/>
          <w:szCs w:val="18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2010 </w:t>
      </w:r>
      <w:r>
        <w:rPr>
          <w:rFonts w:ascii="SimSun" w:hAnsi="SimSun" w:eastAsia="SimSun" w:cs="SimSun"/>
          <w:sz w:val="18"/>
          <w:szCs w:val="18"/>
        </w:rPr>
        <w:t>年至</w:t>
      </w:r>
      <w:r>
        <w:rPr>
          <w:rFonts w:ascii="SimSun" w:hAnsi="SimSun" w:eastAsia="SimSun" w:cs="SimSun"/>
          <w:sz w:val="18"/>
          <w:szCs w:val="18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202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2</w:t>
      </w:r>
      <w:r>
        <w:rPr>
          <w:rFonts w:ascii="Times New Roman" w:hAnsi="Times New Roman" w:eastAsia="Times New Roman" w:cs="Times New Roman"/>
          <w:sz w:val="18"/>
          <w:szCs w:val="18"/>
          <w:spacing w:val="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"/>
        </w:rPr>
        <w:t>年报告数量之和</w:t>
      </w:r>
    </w:p>
    <w:p>
      <w:pPr>
        <w:ind w:left="438"/>
        <w:spacing w:before="21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spacing w:val="-1"/>
          <w:position w:val="6"/>
        </w:rPr>
        <w:t>7    </w:t>
      </w:r>
      <w:r>
        <w:rPr>
          <w:rFonts w:ascii="SimSun" w:hAnsi="SimSun" w:eastAsia="SimSun" w:cs="SimSun"/>
          <w:sz w:val="18"/>
          <w:szCs w:val="18"/>
          <w:spacing w:val="-1"/>
        </w:rPr>
        <w:t>以下企业名称均引用自《中国互联网企业综合实力指数（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2022 </w:t>
      </w:r>
      <w:r>
        <w:rPr>
          <w:rFonts w:ascii="SimSun" w:hAnsi="SimSun" w:eastAsia="SimSun" w:cs="SimSun"/>
          <w:sz w:val="18"/>
          <w:szCs w:val="18"/>
          <w:spacing w:val="-1"/>
        </w:rPr>
        <w:t>年）》</w:t>
      </w:r>
    </w:p>
    <w:p>
      <w:pPr>
        <w:spacing w:line="219" w:lineRule="auto"/>
        <w:sectPr>
          <w:headerReference w:type="default" r:id="rId44"/>
          <w:footerReference w:type="default" r:id="rId45"/>
          <w:pgSz w:w="11906" w:h="16839"/>
          <w:pgMar w:top="1134" w:right="1684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85" w:lineRule="auto"/>
        <w:rPr/>
      </w:pPr>
      <w:r/>
    </w:p>
    <w:p>
      <w:pPr>
        <w:ind w:right="13"/>
        <w:spacing w:before="91" w:line="215" w:lineRule="auto"/>
        <w:jc w:val="right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手科技有限公司、中钢网科技集团、小米集团等，</w:t>
      </w:r>
      <w:r>
        <w:rPr>
          <w:rFonts w:ascii="FangSong" w:hAnsi="FangSong" w:eastAsia="FangSong" w:cs="FangSong"/>
          <w:sz w:val="28"/>
          <w:szCs w:val="28"/>
        </w:rPr>
        <w:t>在官方网站上</w:t>
      </w:r>
    </w:p>
    <w:p>
      <w:pPr>
        <w:ind w:right="13"/>
        <w:spacing w:before="124" w:line="624" w:lineRule="exact"/>
        <w:jc w:val="right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125812</wp:posOffset>
            </wp:positionV>
            <wp:extent cx="5192565" cy="7977335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5"/>
          <w:position w:val="9"/>
        </w:rPr>
        <w:t>披露可持续发展、</w:t>
      </w:r>
      <w:hyperlink w:history="true" w:anchor="bookmark111">
        <w:r>
          <w:rPr>
            <w:rFonts w:ascii="FangSong" w:hAnsi="FangSong" w:eastAsia="FangSong" w:cs="FangSong"/>
            <w:sz w:val="28"/>
            <w:szCs w:val="28"/>
            <w:spacing w:val="-5"/>
            <w:position w:val="9"/>
          </w:rPr>
          <w:t>社会责任及</w:t>
        </w:r>
        <w:r>
          <w:rPr>
            <w:rFonts w:ascii="FangSong" w:hAnsi="FangSong" w:eastAsia="FangSong" w:cs="FangSong"/>
            <w:sz w:val="28"/>
            <w:szCs w:val="28"/>
            <w:spacing w:val="-72"/>
            <w:position w:val="9"/>
          </w:rPr>
          <w:t xml:space="preserve"> </w:t>
        </w:r>
        <w:r>
          <w:rPr>
            <w:rFonts w:ascii="Times New Roman" w:hAnsi="Times New Roman" w:eastAsia="Times New Roman" w:cs="Times New Roman"/>
            <w:sz w:val="28"/>
            <w:szCs w:val="28"/>
            <w:spacing w:val="-5"/>
            <w:position w:val="9"/>
          </w:rPr>
          <w:t>ESG </w:t>
        </w:r>
        <w:r>
          <w:rPr>
            <w:rFonts w:ascii="FangSong" w:hAnsi="FangSong" w:eastAsia="FangSong" w:cs="FangSong"/>
            <w:sz w:val="28"/>
            <w:szCs w:val="28"/>
            <w:spacing w:val="-5"/>
            <w:position w:val="9"/>
          </w:rPr>
          <w:t>政策及管理制</w:t>
        </w:r>
        <w:r>
          <w:rPr>
            <w:rFonts w:ascii="FangSong" w:hAnsi="FangSong" w:eastAsia="FangSong" w:cs="FangSong"/>
            <w:sz w:val="28"/>
            <w:szCs w:val="28"/>
            <w:spacing w:val="-6"/>
            <w:position w:val="9"/>
          </w:rPr>
          <w:t>度文件的企业</w:t>
        </w:r>
        <w:r>
          <w:rPr>
            <w:rFonts w:ascii="Times New Roman" w:hAnsi="Times New Roman" w:eastAsia="Times New Roman" w:cs="Times New Roman"/>
            <w:sz w:val="18"/>
            <w:szCs w:val="18"/>
            <w:spacing w:val="-6"/>
            <w:position w:val="9"/>
          </w:rPr>
          <w:t>8</w:t>
        </w:r>
      </w:hyperlink>
      <w:r>
        <w:rPr>
          <w:rFonts w:ascii="FangSong" w:hAnsi="FangSong" w:eastAsia="FangSong" w:cs="FangSong"/>
          <w:sz w:val="28"/>
          <w:szCs w:val="28"/>
          <w:spacing w:val="-6"/>
          <w:position w:val="9"/>
        </w:rPr>
        <w:t>有</w:t>
      </w:r>
    </w:p>
    <w:p>
      <w:pPr>
        <w:ind w:left="443" w:right="13" w:firstLine="21"/>
        <w:spacing w:before="167" w:line="40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阿里巴巴（中国）有限公司、深圳市腾讯计算机系统有限公司、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百度公司、北京三快在线科技有限公司、蚂蚁科技集团股份有限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公司、小米集团、三七文娱（广州）网络科技有限公司、同程旅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行控股有限公司、唯品会（中国）有限公司、好未来教育科技集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团等，基本上都是综合实力较强的互联网企业。</w:t>
      </w:r>
    </w:p>
    <w:p>
      <w:pPr>
        <w:ind w:firstLine="1701"/>
        <w:spacing w:line="3230" w:lineRule="exact"/>
        <w:rPr/>
      </w:pPr>
      <w:r>
        <w:rPr>
          <w:position w:val="-64"/>
        </w:rPr>
        <w:drawing>
          <wp:inline distT="0" distB="0" distL="0" distR="0">
            <wp:extent cx="3398520" cy="2051304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8520" cy="20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5"/>
        <w:spacing w:before="234" w:line="225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4"/>
        </w:rPr>
        <w:t>来源：</w:t>
      </w:r>
      <w:r>
        <w:rPr>
          <w:rFonts w:ascii="FangSong" w:hAnsi="FangSong" w:eastAsia="FangSong" w:cs="FangSong"/>
          <w:sz w:val="20"/>
          <w:szCs w:val="20"/>
          <w:spacing w:val="-4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4"/>
        </w:rPr>
        <w:t>中国信息通信研究院</w:t>
      </w:r>
    </w:p>
    <w:p>
      <w:pPr>
        <w:ind w:left="581"/>
        <w:spacing w:before="209" w:line="220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85" w:id="99"/>
      <w:bookmarkEnd w:id="99"/>
      <w:r>
        <w:rPr>
          <w:rFonts w:ascii="FangSong" w:hAnsi="FangSong" w:eastAsia="FangSong" w:cs="FangSong"/>
          <w:sz w:val="24"/>
          <w:szCs w:val="24"/>
          <w:spacing w:val="-2"/>
        </w:rPr>
        <w:t>图</w:t>
      </w:r>
      <w:r>
        <w:rPr>
          <w:rFonts w:ascii="FangSong" w:hAnsi="FangSong" w:eastAsia="FangSong" w:cs="FangSong"/>
          <w:sz w:val="24"/>
          <w:szCs w:val="24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7  </w:t>
      </w:r>
      <w:r>
        <w:rPr>
          <w:rFonts w:ascii="FangSong" w:hAnsi="FangSong" w:eastAsia="FangSong" w:cs="FangSong"/>
          <w:sz w:val="24"/>
          <w:szCs w:val="24"/>
          <w:spacing w:val="-2"/>
        </w:rPr>
        <w:t>互联网企业累计发布可持续发展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</w:t>
      </w:r>
      <w:r>
        <w:rPr>
          <w:rFonts w:ascii="FangSong" w:hAnsi="FangSong" w:eastAsia="FangSong" w:cs="FangSong"/>
          <w:sz w:val="24"/>
          <w:szCs w:val="24"/>
          <w:spacing w:val="-2"/>
        </w:rPr>
        <w:t>社会责任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/ESG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FangSong" w:hAnsi="FangSong" w:eastAsia="FangSong" w:cs="FangSong"/>
          <w:sz w:val="24"/>
          <w:szCs w:val="24"/>
          <w:spacing w:val="-2"/>
        </w:rPr>
        <w:t>报告（非专项）数量</w:t>
      </w:r>
    </w:p>
    <w:p>
      <w:pPr>
        <w:pStyle w:val="BodyText"/>
        <w:spacing w:line="425" w:lineRule="auto"/>
        <w:rPr/>
      </w:pPr>
      <w:r/>
    </w:p>
    <w:p>
      <w:pPr>
        <w:ind w:left="442" w:right="13" w:firstLine="564"/>
        <w:spacing w:before="92" w:line="407" w:lineRule="auto"/>
        <w:rPr>
          <w:rFonts w:ascii="FangSong" w:hAnsi="FangSong" w:eastAsia="FangSong" w:cs="FangSong"/>
          <w:sz w:val="28"/>
          <w:szCs w:val="28"/>
        </w:rPr>
      </w:pPr>
      <w:r>
        <w:pict>
          <v:shape id="_x0000_s60" style="position:absolute;margin-left:21.705pt;margin-top:225.331pt;mso-position-vertical-relative:text;mso-position-horizontal-relative:text;width:144pt;height:0pt;z-index:251708416;" filled="false" strokecolor="#000000" strokeweight="0.00pt" coordsize="2880,0" coordorigin="0,0" path="m,l2880,0e">
            <v:stroke endcap="square" joinstyle="bevel" miterlimit="0"/>
          </v:shape>
        </w:pict>
      </w:r>
      <w:bookmarkStart w:name="bookmark86" w:id="100"/>
      <w:bookmarkEnd w:id="100"/>
      <w:r>
        <w:rPr>
          <w:rFonts w:ascii="FangSong" w:hAnsi="FangSong" w:eastAsia="FangSong" w:cs="FangSong"/>
          <w:sz w:val="28"/>
          <w:szCs w:val="28"/>
          <w:spacing w:val="1"/>
        </w:rPr>
        <w:t>在政府监管、资本驱动、利益相关方参与关注等驱动力中，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资本市场对于互联网行业的推动影响在近些年越发显著。</w:t>
      </w:r>
      <w:r>
        <w:rPr>
          <w:rFonts w:ascii="FangSong" w:hAnsi="FangSong" w:eastAsia="FangSong" w:cs="FangSong"/>
          <w:sz w:val="28"/>
          <w:szCs w:val="28"/>
          <w:spacing w:val="1"/>
        </w:rPr>
        <w:t>互联网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企业，尤其是密切关注股价在资本市场表现的上市企业，希望吸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引尽可能多的存量或潜在市场资金的注入。随着证券交易所提出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愈发严格的可持续信息披露要求，以及更多投资机构将可持续发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展、社会责任及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表现纳入投资决策，互联网企业对可持续信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bookmarkStart w:name="bookmark111" w:id="101"/>
      <w:bookmarkEnd w:id="101"/>
      <w:r>
        <w:rPr>
          <w:rFonts w:ascii="FangSong" w:hAnsi="FangSong" w:eastAsia="FangSong" w:cs="FangSong"/>
          <w:sz w:val="28"/>
          <w:szCs w:val="28"/>
          <w:spacing w:val="-1"/>
        </w:rPr>
        <w:t>息披露越发重视，带动了整个行业信息披露水平的提升。</w:t>
      </w:r>
    </w:p>
    <w:p>
      <w:pPr>
        <w:ind w:left="441"/>
        <w:spacing w:before="244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spacing w:val="-1"/>
          <w:position w:val="6"/>
        </w:rPr>
        <w:t>8    </w:t>
      </w:r>
      <w:r>
        <w:rPr>
          <w:rFonts w:ascii="SimSun" w:hAnsi="SimSun" w:eastAsia="SimSun" w:cs="SimSun"/>
          <w:sz w:val="18"/>
          <w:szCs w:val="18"/>
          <w:spacing w:val="-1"/>
        </w:rPr>
        <w:t>以下企业名称均引用自《中国互联网企业综合实力指数（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2022 </w:t>
      </w:r>
      <w:r>
        <w:rPr>
          <w:rFonts w:ascii="SimSun" w:hAnsi="SimSun" w:eastAsia="SimSun" w:cs="SimSun"/>
          <w:sz w:val="18"/>
          <w:szCs w:val="18"/>
          <w:spacing w:val="-1"/>
        </w:rPr>
        <w:t>年）》</w:t>
      </w:r>
    </w:p>
    <w:p>
      <w:pPr>
        <w:spacing w:line="219" w:lineRule="auto"/>
        <w:sectPr>
          <w:headerReference w:type="default" r:id="rId27"/>
          <w:footerReference w:type="default" r:id="rId47"/>
          <w:pgSz w:w="11906" w:h="16839"/>
          <w:pgMar w:top="1134" w:right="1785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79" w:lineRule="auto"/>
        <w:rPr/>
      </w:pPr>
      <w:r/>
    </w:p>
    <w:p>
      <w:pPr>
        <w:ind w:left="438" w:firstLine="565"/>
        <w:spacing w:before="91" w:line="39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09440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392789</wp:posOffset>
            </wp:positionV>
            <wp:extent cx="5192565" cy="7977335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9"/>
        </w:rPr>
        <w:t>行业实践情况证实了来自资本市场的强大驱动力。首先，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  </w:t>
      </w:r>
      <w:r>
        <w:rPr>
          <w:rFonts w:ascii="SimHei" w:hAnsi="SimHei" w:eastAsia="SimHei" w:cs="SimHei"/>
          <w:sz w:val="28"/>
          <w:szCs w:val="28"/>
          <w:spacing w:val="-7"/>
        </w:rPr>
        <w:t>年可持续发展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/</w:t>
      </w:r>
      <w:r>
        <w:rPr>
          <w:rFonts w:ascii="SimHei" w:hAnsi="SimHei" w:eastAsia="SimHei" w:cs="SimHei"/>
          <w:sz w:val="28"/>
          <w:szCs w:val="28"/>
          <w:spacing w:val="-7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/ESG </w:t>
      </w:r>
      <w:r>
        <w:rPr>
          <w:rFonts w:ascii="SimHei" w:hAnsi="SimHei" w:eastAsia="SimHei" w:cs="SimHei"/>
          <w:sz w:val="28"/>
          <w:szCs w:val="28"/>
          <w:spacing w:val="-7"/>
        </w:rPr>
        <w:t>报告发布主体中，上市公司占比</w:t>
      </w:r>
      <w:r>
        <w:rPr>
          <w:rFonts w:ascii="SimHei" w:hAnsi="SimHei" w:eastAsia="SimHei" w:cs="SimHei"/>
          <w:sz w:val="28"/>
          <w:szCs w:val="28"/>
          <w:spacing w:val="-6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80%</w:t>
      </w:r>
      <w:r>
        <w:rPr>
          <w:rFonts w:ascii="SimHei" w:hAnsi="SimHei" w:eastAsia="SimHei" w:cs="SimHei"/>
          <w:sz w:val="28"/>
          <w:szCs w:val="28"/>
          <w:spacing w:val="-8"/>
        </w:rPr>
        <w:t>，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远高于综合实力前百家企业</w:t>
      </w:r>
      <w:r>
        <w:rPr>
          <w:rFonts w:ascii="SimHei" w:hAnsi="SimHei" w:eastAsia="SimHei" w:cs="SimHei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43%</w:t>
      </w:r>
      <w:r>
        <w:rPr>
          <w:rFonts w:ascii="SimHei" w:hAnsi="SimHei" w:eastAsia="SimHei" w:cs="SimHei"/>
          <w:sz w:val="28"/>
          <w:szCs w:val="28"/>
        </w:rPr>
        <w:t>平均披露率；</w:t>
      </w:r>
      <w:r>
        <w:rPr>
          <w:rFonts w:ascii="FangSong" w:hAnsi="FangSong" w:eastAsia="FangSong" w:cs="FangSong"/>
          <w:sz w:val="28"/>
          <w:szCs w:val="28"/>
        </w:rPr>
        <w:t>其次，</w:t>
      </w:r>
      <w:r>
        <w:rPr>
          <w:rFonts w:ascii="SimHei" w:hAnsi="SimHei" w:eastAsia="SimHei" w:cs="SimHei"/>
          <w:sz w:val="28"/>
          <w:szCs w:val="28"/>
        </w:rPr>
        <w:t>简单罗列式</w:t>
      </w:r>
      <w:r>
        <w:rPr>
          <w:rFonts w:ascii="SimHei" w:hAnsi="SimHei" w:eastAsia="SimHei" w:cs="SimHei"/>
          <w:sz w:val="28"/>
          <w:szCs w:val="28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2"/>
        </w:rPr>
        <w:t>信息披露参照依据中来自证券方面的要求占比排名第一</w:t>
      </w:r>
      <w:r>
        <w:rPr>
          <w:rFonts w:ascii="FangSong" w:hAnsi="FangSong" w:eastAsia="FangSong" w:cs="FangSong"/>
          <w:sz w:val="28"/>
          <w:szCs w:val="28"/>
          <w:spacing w:val="11"/>
        </w:rPr>
        <w:t>，包括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>42.86%</w:t>
      </w:r>
      <w:r>
        <w:rPr>
          <w:rFonts w:ascii="FangSong" w:hAnsi="FangSong" w:eastAsia="FangSong" w:cs="FangSong"/>
          <w:sz w:val="28"/>
          <w:szCs w:val="28"/>
          <w:spacing w:val="-11"/>
        </w:rPr>
        <w:t>报告使用了联交所《环境、社会及管治报告指引》及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>18.3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>7%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>
        <w:rPr>
          <w:rFonts w:ascii="FangSong" w:hAnsi="FangSong" w:eastAsia="FangSong" w:cs="FangSong"/>
          <w:sz w:val="28"/>
          <w:szCs w:val="28"/>
          <w:spacing w:val="1"/>
        </w:rPr>
        <w:t>报告使用了上海证券交易所（以下简称：上交所）、深圳证券交</w:t>
      </w:r>
    </w:p>
    <w:p>
      <w:pPr>
        <w:ind w:left="461"/>
        <w:spacing w:line="624" w:lineRule="exact"/>
        <w:rPr>
          <w:rFonts w:ascii="SimHei" w:hAnsi="SimHei" w:eastAsia="SimHei" w:cs="SimHei"/>
          <w:sz w:val="28"/>
          <w:szCs w:val="28"/>
        </w:rPr>
      </w:pPr>
      <w:hyperlink w:history="true" w:anchor="bookmark112">
        <w:r>
          <w:rPr>
            <w:rFonts w:ascii="FangSong" w:hAnsi="FangSong" w:eastAsia="FangSong" w:cs="FangSong"/>
            <w:sz w:val="28"/>
            <w:szCs w:val="28"/>
            <w:spacing w:val="-1"/>
            <w:position w:val="9"/>
          </w:rPr>
          <w:t>易所（以下简称：深交所）出台的相关指引</w:t>
        </w:r>
        <w:r>
          <w:rPr>
            <w:rFonts w:ascii="Times New Roman" w:hAnsi="Times New Roman" w:eastAsia="Times New Roman" w:cs="Times New Roman"/>
            <w:sz w:val="18"/>
            <w:szCs w:val="18"/>
            <w:spacing w:val="-1"/>
            <w:position w:val="9"/>
          </w:rPr>
          <w:t>9</w:t>
        </w:r>
      </w:hyperlink>
      <w:r>
        <w:rPr>
          <w:rFonts w:ascii="FangSong" w:hAnsi="FangSong" w:eastAsia="FangSong" w:cs="FangSong"/>
          <w:sz w:val="28"/>
          <w:szCs w:val="28"/>
          <w:spacing w:val="-1"/>
          <w:position w:val="9"/>
        </w:rPr>
        <w:t>（见</w:t>
      </w:r>
      <w:r>
        <w:rPr>
          <w:rFonts w:ascii="FangSong" w:hAnsi="FangSong" w:eastAsia="FangSong" w:cs="FangSong"/>
          <w:sz w:val="28"/>
          <w:szCs w:val="28"/>
          <w:spacing w:val="-2"/>
          <w:position w:val="9"/>
        </w:rPr>
        <w:t>图</w:t>
      </w:r>
      <w:r>
        <w:rPr>
          <w:rFonts w:ascii="FangSong" w:hAnsi="FangSong" w:eastAsia="FangSong" w:cs="FangSong"/>
          <w:sz w:val="28"/>
          <w:szCs w:val="28"/>
          <w:spacing w:val="-54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  <w:position w:val="9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spacing w:val="-32"/>
          <w:position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2"/>
          <w:position w:val="9"/>
        </w:rPr>
        <w:t>），</w:t>
      </w:r>
      <w:r>
        <w:rPr>
          <w:rFonts w:ascii="SimHei" w:hAnsi="SimHei" w:eastAsia="SimHei" w:cs="SimHei"/>
          <w:sz w:val="28"/>
          <w:szCs w:val="28"/>
          <w:spacing w:val="-2"/>
          <w:position w:val="9"/>
        </w:rPr>
        <w:t>指标索</w:t>
      </w:r>
    </w:p>
    <w:p>
      <w:pPr>
        <w:ind w:left="445" w:right="135" w:firstLine="24"/>
        <w:spacing w:before="174" w:line="38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7"/>
        </w:rPr>
        <w:t>引式信息披露参照依据最高占比同样是联交所指引要求</w:t>
      </w:r>
      <w:r>
        <w:rPr>
          <w:rFonts w:ascii="FangSong" w:hAnsi="FangSong" w:eastAsia="FangSong" w:cs="FangSong"/>
          <w:sz w:val="28"/>
          <w:szCs w:val="28"/>
          <w:spacing w:val="-7"/>
        </w:rPr>
        <w:t>（见图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9</w:t>
      </w:r>
      <w:r>
        <w:rPr>
          <w:rFonts w:ascii="FangSong" w:hAnsi="FangSong" w:eastAsia="FangSong" w:cs="FangSong"/>
          <w:sz w:val="28"/>
          <w:szCs w:val="28"/>
          <w:spacing w:val="-71"/>
          <w:w w:val="91"/>
        </w:rPr>
        <w:t>）；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最后，一些综合实力排名较为靠后的互联网企业报告虽未提供官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方网站下载渠道，但可</w:t>
      </w:r>
      <w:r>
        <w:rPr>
          <w:rFonts w:ascii="SimHei" w:hAnsi="SimHei" w:eastAsia="SimHei" w:cs="SimHei"/>
          <w:sz w:val="28"/>
          <w:szCs w:val="28"/>
          <w:spacing w:val="1"/>
        </w:rPr>
        <w:t>从深圳证券交易所法定信息披露平台的巨</w:t>
      </w:r>
      <w:r>
        <w:rPr>
          <w:rFonts w:ascii="SimHei" w:hAnsi="SimHei" w:eastAsia="SimHei" w:cs="SimHei"/>
          <w:sz w:val="28"/>
          <w:szCs w:val="28"/>
          <w:spacing w:val="6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6"/>
        </w:rPr>
        <w:t>潮资讯网查询获得</w:t>
      </w:r>
      <w:r>
        <w:rPr>
          <w:rFonts w:ascii="FangSong" w:hAnsi="FangSong" w:eastAsia="FangSong" w:cs="FangSong"/>
          <w:sz w:val="28"/>
          <w:szCs w:val="28"/>
          <w:spacing w:val="-6"/>
        </w:rPr>
        <w:t>，侧面证明了资本市场是企业的重要披露对象。</w:t>
      </w:r>
    </w:p>
    <w:p>
      <w:pPr>
        <w:ind w:firstLine="1900"/>
        <w:spacing w:line="4648" w:lineRule="exact"/>
        <w:rPr/>
      </w:pPr>
      <w:r>
        <w:rPr>
          <w:position w:val="-92"/>
        </w:rPr>
        <w:drawing>
          <wp:inline distT="0" distB="0" distL="0" distR="0">
            <wp:extent cx="3145535" cy="2951987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5535" cy="29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146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985"/>
        <w:spacing w:before="132" w:line="221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88" w:id="102"/>
      <w:bookmarkEnd w:id="102"/>
      <w:bookmarkStart w:name="bookmark87" w:id="103"/>
      <w:bookmarkEnd w:id="103"/>
      <w:r>
        <w:rPr>
          <w:rFonts w:ascii="FangSong" w:hAnsi="FangSong" w:eastAsia="FangSong" w:cs="FangSong"/>
          <w:sz w:val="24"/>
          <w:szCs w:val="24"/>
          <w:spacing w:val="-5"/>
        </w:rPr>
        <w:t>图</w:t>
      </w:r>
      <w:r>
        <w:rPr>
          <w:rFonts w:ascii="FangSong" w:hAnsi="FangSong" w:eastAsia="FangSong" w:cs="FangSong"/>
          <w:sz w:val="24"/>
          <w:szCs w:val="24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8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FangSong" w:hAnsi="FangSong" w:eastAsia="FangSong" w:cs="FangSong"/>
          <w:sz w:val="24"/>
          <w:szCs w:val="24"/>
          <w:spacing w:val="-5"/>
        </w:rPr>
        <w:t>简单罗列式信息披露参照依据及披露占比</w:t>
      </w:r>
    </w:p>
    <w:p>
      <w:pPr>
        <w:pStyle w:val="BodyText"/>
        <w:spacing w:line="326" w:lineRule="auto"/>
        <w:rPr/>
      </w:pPr>
      <w:r/>
    </w:p>
    <w:p>
      <w:pPr>
        <w:pStyle w:val="BodyText"/>
        <w:spacing w:line="327" w:lineRule="auto"/>
        <w:rPr/>
      </w:pPr>
      <w:r>
        <w:pict>
          <v:shape id="_x0000_s64" style="position:absolute;margin-left:21.705pt;margin-top:11.9486pt;mso-position-vertical-relative:text;mso-position-horizontal-relative:text;width:144pt;height:0pt;z-index:251710464;" filled="false" strokecolor="#000000" strokeweight="0.00pt" coordsize="2880,0" coordorigin="0,0" path="m,l2880,0e">
            <v:stroke endcap="square" joinstyle="bevel" miterlimit="0"/>
          </v:shape>
        </w:pict>
      </w:r>
      <w:r/>
    </w:p>
    <w:p>
      <w:pPr>
        <w:ind w:left="440" w:right="244" w:hanging="2"/>
        <w:spacing w:before="59" w:line="234" w:lineRule="auto"/>
        <w:jc w:val="both"/>
        <w:rPr>
          <w:rFonts w:ascii="SimSun" w:hAnsi="SimSun" w:eastAsia="SimSun" w:cs="SimSun"/>
          <w:sz w:val="18"/>
          <w:szCs w:val="18"/>
        </w:rPr>
      </w:pPr>
      <w:bookmarkStart w:name="bookmark112" w:id="104"/>
      <w:bookmarkEnd w:id="104"/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9   </w:t>
      </w:r>
      <w:r>
        <w:rPr>
          <w:rFonts w:ascii="SimSun" w:hAnsi="SimSun" w:eastAsia="SimSun" w:cs="SimSun"/>
          <w:sz w:val="18"/>
          <w:szCs w:val="18"/>
        </w:rPr>
        <w:t>指引包括：《深圳证券交易所上市公司自律监管指引第 </w:t>
      </w:r>
      <w:r>
        <w:rPr>
          <w:rFonts w:ascii="Times New Roman" w:hAnsi="Times New Roman" w:eastAsia="Times New Roman" w:cs="Times New Roman"/>
          <w:sz w:val="18"/>
          <w:szCs w:val="18"/>
        </w:rPr>
        <w:t>1</w:t>
      </w:r>
      <w:r>
        <w:rPr>
          <w:rFonts w:ascii="Times New Roman" w:hAnsi="Times New Roman" w:eastAsia="Times New Roman" w:cs="Times New Roman"/>
          <w:sz w:val="18"/>
          <w:szCs w:val="18"/>
          <w:spacing w:val="5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号——主板上市公司规</w:t>
      </w:r>
      <w:r>
        <w:rPr>
          <w:rFonts w:ascii="SimSun" w:hAnsi="SimSun" w:eastAsia="SimSun" w:cs="SimSun"/>
          <w:sz w:val="18"/>
          <w:szCs w:val="18"/>
          <w:spacing w:val="-1"/>
        </w:rPr>
        <w:t>范运作》《深圳</w:t>
      </w:r>
      <w:r>
        <w:rPr>
          <w:rFonts w:ascii="SimSun" w:hAnsi="SimSun" w:eastAsia="SimSun" w:cs="SimSun"/>
          <w:sz w:val="18"/>
          <w:szCs w:val="18"/>
          <w:spacing w:val="1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证券交易所上市公司自律监管指引第 </w:t>
      </w:r>
      <w:r>
        <w:rPr>
          <w:rFonts w:ascii="Times New Roman" w:hAnsi="Times New Roman" w:eastAsia="Times New Roman" w:cs="Times New Roman"/>
          <w:sz w:val="18"/>
          <w:szCs w:val="18"/>
        </w:rPr>
        <w:t>2  </w:t>
      </w:r>
      <w:r>
        <w:rPr>
          <w:rFonts w:ascii="SimSun" w:hAnsi="SimSun" w:eastAsia="SimSun" w:cs="SimSun"/>
          <w:sz w:val="18"/>
          <w:szCs w:val="18"/>
        </w:rPr>
        <w:t>号——创业板上市公司规范运作》《</w:t>
      </w:r>
      <w:r>
        <w:rPr>
          <w:rFonts w:ascii="SimSun" w:hAnsi="SimSun" w:eastAsia="SimSun" w:cs="SimSun"/>
          <w:sz w:val="18"/>
          <w:szCs w:val="18"/>
          <w:spacing w:val="-1"/>
        </w:rPr>
        <w:t>上海证券交易所上市公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"/>
        </w:rPr>
        <w:t>司自律监管指引第</w:t>
      </w:r>
      <w:r>
        <w:rPr>
          <w:rFonts w:ascii="SimSun" w:hAnsi="SimSun" w:eastAsia="SimSun" w:cs="SimSun"/>
          <w:sz w:val="18"/>
          <w:szCs w:val="1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1 </w:t>
      </w:r>
      <w:r>
        <w:rPr>
          <w:rFonts w:ascii="SimSun" w:hAnsi="SimSun" w:eastAsia="SimSun" w:cs="SimSun"/>
          <w:sz w:val="18"/>
          <w:szCs w:val="18"/>
          <w:spacing w:val="-1"/>
        </w:rPr>
        <w:t>号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--</w:t>
      </w:r>
      <w:r>
        <w:rPr>
          <w:rFonts w:ascii="SimSun" w:hAnsi="SimSun" w:eastAsia="SimSun" w:cs="SimSun"/>
          <w:sz w:val="18"/>
          <w:szCs w:val="18"/>
          <w:spacing w:val="-1"/>
        </w:rPr>
        <w:t>规范运作》《上海证券交易所上市公司环境信息披露指引》及深圳证券交易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"/>
        </w:rPr>
        <w:t>所《上市公司社会责任指引》</w:t>
      </w:r>
    </w:p>
    <w:p>
      <w:pPr>
        <w:spacing w:line="234" w:lineRule="auto"/>
        <w:sectPr>
          <w:headerReference w:type="default" r:id="rId49"/>
          <w:footerReference w:type="default" r:id="rId50"/>
          <w:pgSz w:w="11906" w:h="16839"/>
          <w:pgMar w:top="1134" w:right="1581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17" w:lineRule="auto"/>
        <w:rPr/>
      </w:pPr>
      <w:r/>
    </w:p>
    <w:p>
      <w:pPr>
        <w:ind w:firstLine="1466"/>
        <w:spacing w:line="3946" w:lineRule="exact"/>
        <w:rPr/>
      </w:pPr>
      <w:r>
        <w:rPr>
          <w:position w:val="-78"/>
        </w:rPr>
        <w:drawing>
          <wp:inline distT="0" distB="0" distL="0" distR="0">
            <wp:extent cx="3692652" cy="250538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92652" cy="25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225" w:line="225" w:lineRule="auto"/>
        <w:rPr>
          <w:rFonts w:ascii="FangSong" w:hAnsi="FangSong" w:eastAsia="FangSong" w:cs="FangSong"/>
          <w:sz w:val="20"/>
          <w:szCs w:val="20"/>
        </w:rPr>
      </w:pPr>
      <w:r>
        <w:drawing>
          <wp:anchor distT="0" distB="0" distL="0" distR="0" simplePos="0" relativeHeight="251711488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-2071734</wp:posOffset>
            </wp:positionV>
            <wp:extent cx="5192565" cy="7977335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2225"/>
        <w:spacing w:before="208" w:line="222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89" w:id="105"/>
      <w:bookmarkEnd w:id="105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9  </w:t>
      </w:r>
      <w:r>
        <w:rPr>
          <w:rFonts w:ascii="FangSong" w:hAnsi="FangSong" w:eastAsia="FangSong" w:cs="FangSong"/>
          <w:sz w:val="24"/>
          <w:szCs w:val="24"/>
          <w:spacing w:val="-3"/>
        </w:rPr>
        <w:t>指标索引式信息披露参照依据及披露占比</w:t>
      </w:r>
    </w:p>
    <w:p>
      <w:pPr>
        <w:pStyle w:val="BodyText"/>
        <w:spacing w:line="397" w:lineRule="auto"/>
        <w:rPr/>
      </w:pPr>
      <w:r/>
    </w:p>
    <w:p>
      <w:pPr>
        <w:ind w:left="1112"/>
        <w:spacing w:before="100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26" w:id="106"/>
      <w:bookmarkEnd w:id="106"/>
      <w:bookmarkStart w:name="bookmark90" w:id="107"/>
      <w:bookmarkEnd w:id="107"/>
      <w:bookmarkStart w:name="bookmark25" w:id="108"/>
      <w:bookmarkEnd w:id="108"/>
      <w:r>
        <w:rPr>
          <w:rFonts w:ascii="KaiTi" w:hAnsi="KaiTi" w:eastAsia="KaiTi" w:cs="KaiTi"/>
          <w:sz w:val="31"/>
          <w:szCs w:val="31"/>
          <w:b/>
          <w:bCs/>
          <w:spacing w:val="6"/>
        </w:rPr>
        <w:t>（五）主题披露偏重特色，可持续趋向系统全面</w:t>
      </w:r>
    </w:p>
    <w:p>
      <w:pPr>
        <w:ind w:left="443" w:right="216" w:firstLine="555"/>
        <w:spacing w:before="320" w:line="40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2022 </w:t>
      </w:r>
      <w:r>
        <w:rPr>
          <w:rFonts w:ascii="FangSong" w:hAnsi="FangSong" w:eastAsia="FangSong" w:cs="FangSong"/>
          <w:sz w:val="28"/>
          <w:szCs w:val="28"/>
          <w:spacing w:val="-2"/>
        </w:rPr>
        <w:t>年互联网行业</w:t>
      </w:r>
      <w:r>
        <w:rPr>
          <w:rFonts w:ascii="FangSong" w:hAnsi="FangSong" w:eastAsia="FangSong" w:cs="FangSong"/>
          <w:sz w:val="28"/>
          <w:szCs w:val="28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18 </w:t>
      </w:r>
      <w:r>
        <w:rPr>
          <w:rFonts w:ascii="FangSong" w:hAnsi="FangSong" w:eastAsia="FangSong" w:cs="FangSong"/>
          <w:sz w:val="28"/>
          <w:szCs w:val="28"/>
          <w:spacing w:val="-2"/>
        </w:rPr>
        <w:t>个核心主题披露情况较</w:t>
      </w:r>
      <w:r>
        <w:rPr>
          <w:rFonts w:ascii="FangSong" w:hAnsi="FangSong" w:eastAsia="FangSong" w:cs="FangSong"/>
          <w:sz w:val="28"/>
          <w:szCs w:val="28"/>
          <w:spacing w:val="-7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2021 </w:t>
      </w:r>
      <w:r>
        <w:rPr>
          <w:rFonts w:ascii="FangSong" w:hAnsi="FangSong" w:eastAsia="FangSong" w:cs="FangSong"/>
          <w:sz w:val="28"/>
          <w:szCs w:val="28"/>
          <w:spacing w:val="-2"/>
        </w:rPr>
        <w:t>年有了一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定变化（见图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10</w:t>
      </w:r>
      <w:r>
        <w:rPr>
          <w:rFonts w:ascii="FangSong" w:hAnsi="FangSong" w:eastAsia="FangSong" w:cs="FangSong"/>
          <w:sz w:val="28"/>
          <w:szCs w:val="28"/>
          <w:spacing w:val="7"/>
        </w:rPr>
        <w:t>），</w:t>
      </w:r>
      <w:r>
        <w:rPr>
          <w:rFonts w:ascii="SimHei" w:hAnsi="SimHei" w:eastAsia="SimHei" w:cs="SimHei"/>
          <w:sz w:val="28"/>
          <w:szCs w:val="28"/>
          <w:spacing w:val="-3"/>
        </w:rPr>
        <w:t>互联网行业通用主题的披露情况仍好于行业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特色主题，但特色主题信息披露明显增强，充分体现了越来越多</w:t>
      </w:r>
      <w:r>
        <w:rPr>
          <w:rFonts w:ascii="SimHei" w:hAnsi="SimHei" w:eastAsia="SimHei" w:cs="SimHei"/>
          <w:sz w:val="28"/>
          <w:szCs w:val="28"/>
          <w:spacing w:val="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3"/>
        </w:rPr>
        <w:t>的企业逐渐加深对可持续发展、社会责任及</w:t>
      </w:r>
      <w:r>
        <w:rPr>
          <w:rFonts w:ascii="SimHei" w:hAnsi="SimHei" w:eastAsia="SimHei" w:cs="SimHei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SimHei" w:hAnsi="SimHei" w:eastAsia="SimHei" w:cs="SimHei"/>
          <w:sz w:val="28"/>
          <w:szCs w:val="28"/>
          <w:spacing w:val="-3"/>
        </w:rPr>
        <w:t>概念的理解，不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断提升着披露内容的实质性。互联网行业正逐步从实践中走出具</w:t>
      </w:r>
      <w:r>
        <w:rPr>
          <w:rFonts w:ascii="SimHei" w:hAnsi="SimHei" w:eastAsia="SimHei" w:cs="SimHei"/>
          <w:sz w:val="28"/>
          <w:szCs w:val="28"/>
          <w:spacing w:val="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备行业特色的可持续信息披露之路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</w:p>
    <w:p>
      <w:pPr>
        <w:ind w:left="1012"/>
        <w:spacing w:before="40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具体而言，一是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2021 </w:t>
      </w:r>
      <w:r>
        <w:rPr>
          <w:rFonts w:ascii="SimHei" w:hAnsi="SimHei" w:eastAsia="SimHei" w:cs="SimHei"/>
          <w:sz w:val="28"/>
          <w:szCs w:val="28"/>
        </w:rPr>
        <w:t>年高披露率主题在</w:t>
      </w:r>
      <w:r>
        <w:rPr>
          <w:rFonts w:ascii="SimHei" w:hAnsi="SimHei" w:eastAsia="SimHei" w:cs="SimHei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2022 </w:t>
      </w:r>
      <w:r>
        <w:rPr>
          <w:rFonts w:ascii="SimHei" w:hAnsi="SimHei" w:eastAsia="SimHei" w:cs="SimHei"/>
          <w:sz w:val="28"/>
          <w:szCs w:val="28"/>
        </w:rPr>
        <w:t>年有所回落</w:t>
      </w:r>
      <w:r>
        <w:rPr>
          <w:rFonts w:ascii="FangSong" w:hAnsi="FangSong" w:eastAsia="FangSong" w:cs="FangSong"/>
          <w:sz w:val="28"/>
          <w:szCs w:val="28"/>
        </w:rPr>
        <w:t>，</w:t>
      </w:r>
    </w:p>
    <w:p>
      <w:pPr>
        <w:ind w:left="445" w:hanging="5"/>
        <w:spacing w:before="292" w:line="40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2021 </w:t>
      </w:r>
      <w:r>
        <w:rPr>
          <w:rFonts w:ascii="FangSong" w:hAnsi="FangSong" w:eastAsia="FangSong" w:cs="FangSong"/>
          <w:sz w:val="28"/>
          <w:szCs w:val="28"/>
          <w:spacing w:val="-1"/>
        </w:rPr>
        <w:t>年排名前四的核心主题披露率均有所下降，分别是员工权益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</w:rPr>
        <w:t>与关爱由</w:t>
      </w:r>
      <w:r>
        <w:rPr>
          <w:rFonts w:ascii="Times New Roman" w:hAnsi="Times New Roman" w:eastAsia="Times New Roman" w:cs="Times New Roman"/>
          <w:sz w:val="28"/>
          <w:szCs w:val="28"/>
        </w:rPr>
        <w:t>100%</w:t>
      </w:r>
      <w:r>
        <w:rPr>
          <w:rFonts w:ascii="FangSong" w:hAnsi="FangSong" w:eastAsia="FangSong" w:cs="FangSong"/>
          <w:sz w:val="28"/>
          <w:szCs w:val="28"/>
        </w:rPr>
        <w:t>下降至</w:t>
      </w:r>
      <w:r>
        <w:rPr>
          <w:rFonts w:ascii="Times New Roman" w:hAnsi="Times New Roman" w:eastAsia="Times New Roman" w:cs="Times New Roman"/>
          <w:sz w:val="28"/>
          <w:szCs w:val="28"/>
        </w:rPr>
        <w:t>95.83%</w:t>
      </w:r>
      <w:r>
        <w:rPr>
          <w:rFonts w:ascii="FangSong" w:hAnsi="FangSong" w:eastAsia="FangSong" w:cs="FangSong"/>
          <w:sz w:val="28"/>
          <w:szCs w:val="28"/>
        </w:rPr>
        <w:t>、公益慈善由</w:t>
      </w:r>
      <w:r>
        <w:rPr>
          <w:rFonts w:ascii="Times New Roman" w:hAnsi="Times New Roman" w:eastAsia="Times New Roman" w:cs="Times New Roman"/>
          <w:sz w:val="28"/>
          <w:szCs w:val="28"/>
        </w:rPr>
        <w:t>97.67%</w:t>
      </w:r>
      <w:r>
        <w:rPr>
          <w:rFonts w:ascii="FangSong" w:hAnsi="FangSong" w:eastAsia="FangSong" w:cs="FangSong"/>
          <w:sz w:val="28"/>
          <w:szCs w:val="28"/>
        </w:rPr>
        <w:t>下降至</w:t>
      </w:r>
      <w:r>
        <w:rPr>
          <w:rFonts w:ascii="Times New Roman" w:hAnsi="Times New Roman" w:eastAsia="Times New Roman" w:cs="Times New Roman"/>
          <w:sz w:val="28"/>
          <w:szCs w:val="28"/>
        </w:rPr>
        <w:t>91.67%</w:t>
      </w:r>
      <w:r>
        <w:rPr>
          <w:rFonts w:ascii="Times New Roman" w:hAnsi="Times New Roman" w:eastAsia="Times New Roman" w:cs="Times New Roman"/>
          <w:sz w:val="28"/>
          <w:szCs w:val="28"/>
          <w:spacing w:val="-27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用户权益保障与体验提升由</w:t>
      </w:r>
      <w:r>
        <w:rPr>
          <w:rFonts w:ascii="FangSong" w:hAnsi="FangSong" w:eastAsia="FangSong" w:cs="FangSong"/>
          <w:sz w:val="28"/>
          <w:szCs w:val="28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88.37%</w:t>
      </w:r>
      <w:r>
        <w:rPr>
          <w:rFonts w:ascii="FangSong" w:hAnsi="FangSong" w:eastAsia="FangSong" w:cs="FangSong"/>
          <w:sz w:val="28"/>
          <w:szCs w:val="28"/>
          <w:spacing w:val="2"/>
        </w:rPr>
        <w:t>下降至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85.42%</w:t>
      </w:r>
      <w:r>
        <w:rPr>
          <w:rFonts w:ascii="FangSong" w:hAnsi="FangSong" w:eastAsia="FangSong" w:cs="FangSong"/>
          <w:sz w:val="28"/>
          <w:szCs w:val="28"/>
          <w:spacing w:val="2"/>
        </w:rPr>
        <w:t>、绿色运营由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88.37%</w:t>
      </w:r>
      <w:r>
        <w:rPr>
          <w:rFonts w:ascii="FangSong" w:hAnsi="FangSong" w:eastAsia="FangSong" w:cs="FangSong"/>
          <w:sz w:val="28"/>
          <w:szCs w:val="28"/>
          <w:spacing w:val="-5"/>
        </w:rPr>
        <w:t>微降至</w:t>
      </w:r>
      <w:r>
        <w:rPr>
          <w:rFonts w:ascii="FangSong" w:hAnsi="FangSong" w:eastAsia="FangSong" w:cs="FangSong"/>
          <w:sz w:val="28"/>
          <w:szCs w:val="28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87.50%</w:t>
      </w:r>
      <w:r>
        <w:rPr>
          <w:rFonts w:ascii="FangSong" w:hAnsi="FangSong" w:eastAsia="FangSong" w:cs="FangSong"/>
          <w:sz w:val="28"/>
          <w:szCs w:val="28"/>
          <w:spacing w:val="-5"/>
        </w:rPr>
        <w:t>。二是</w:t>
      </w:r>
      <w:r>
        <w:rPr>
          <w:rFonts w:ascii="SimHei" w:hAnsi="SimHei" w:eastAsia="SimHei" w:cs="SimHei"/>
          <w:sz w:val="28"/>
          <w:szCs w:val="28"/>
          <w:spacing w:val="-5"/>
        </w:rPr>
        <w:t>通用可持续发展主题披露率下降明显</w:t>
      </w:r>
      <w:r>
        <w:rPr>
          <w:rFonts w:ascii="FangSong" w:hAnsi="FangSong" w:eastAsia="FangSong" w:cs="FangSong"/>
          <w:sz w:val="28"/>
          <w:szCs w:val="28"/>
          <w:spacing w:val="-5"/>
        </w:rPr>
        <w:t>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除上文提及的前四个核心主题之外，商业道德也大幅下降了</w:t>
      </w:r>
      <w:r>
        <w:rPr>
          <w:rFonts w:ascii="FangSong" w:hAnsi="FangSong" w:eastAsia="FangSong" w:cs="FangSong"/>
          <w:sz w:val="28"/>
          <w:szCs w:val="28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8%</w:t>
      </w:r>
      <w:r>
        <w:rPr>
          <w:rFonts w:ascii="Times New Roman" w:hAnsi="Times New Roman" w:eastAsia="Times New Roman" w:cs="Times New Roman"/>
          <w:sz w:val="28"/>
          <w:szCs w:val="28"/>
          <w:spacing w:val="-4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0"/>
        </w:rPr>
        <w:t>三是</w:t>
      </w:r>
      <w:r>
        <w:rPr>
          <w:rFonts w:ascii="SimHei" w:hAnsi="SimHei" w:eastAsia="SimHei" w:cs="SimHei"/>
          <w:sz w:val="28"/>
          <w:szCs w:val="28"/>
          <w:spacing w:val="20"/>
        </w:rPr>
        <w:t>行业特色主题披露率进步显著</w:t>
      </w:r>
      <w:r>
        <w:rPr>
          <w:rFonts w:ascii="FangSong" w:hAnsi="FangSong" w:eastAsia="FangSong" w:cs="FangSong"/>
          <w:sz w:val="28"/>
          <w:szCs w:val="28"/>
          <w:spacing w:val="20"/>
        </w:rPr>
        <w:t>，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0"/>
        </w:rPr>
        <w:t>其中网络安全披露率由</w:t>
      </w:r>
    </w:p>
    <w:p>
      <w:pPr>
        <w:spacing w:line="407" w:lineRule="auto"/>
        <w:sectPr>
          <w:headerReference w:type="default" r:id="rId52"/>
          <w:footerReference w:type="default" r:id="rId53"/>
          <w:pgSz w:w="11906" w:h="16839"/>
          <w:pgMar w:top="1134" w:right="1582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1" w:lineRule="auto"/>
        <w:rPr/>
      </w:pPr>
      <w:r/>
    </w:p>
    <w:p>
      <w:pPr>
        <w:ind w:left="457" w:right="13" w:hanging="12"/>
        <w:spacing w:before="91" w:line="402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13536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392597</wp:posOffset>
            </wp:positionV>
            <wp:extent cx="5192565" cy="7977335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32.56%</w:t>
      </w:r>
      <w:r>
        <w:rPr>
          <w:rFonts w:ascii="FangSong" w:hAnsi="FangSong" w:eastAsia="FangSong" w:cs="FangSong"/>
          <w:sz w:val="28"/>
          <w:szCs w:val="28"/>
          <w:spacing w:val="2"/>
        </w:rPr>
        <w:t>大幅增至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62.50%</w:t>
      </w:r>
      <w:r>
        <w:rPr>
          <w:rFonts w:ascii="FangSong" w:hAnsi="FangSong" w:eastAsia="FangSong" w:cs="FangSong"/>
          <w:sz w:val="28"/>
          <w:szCs w:val="28"/>
          <w:spacing w:val="2"/>
        </w:rPr>
        <w:t>、内容真实健康披露率由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48.84%</w:t>
      </w:r>
      <w:r>
        <w:rPr>
          <w:rFonts w:ascii="FangSong" w:hAnsi="FangSong" w:eastAsia="FangSong" w:cs="FangSong"/>
          <w:sz w:val="28"/>
          <w:szCs w:val="28"/>
          <w:spacing w:val="2"/>
        </w:rPr>
        <w:t>大幅增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至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72.92%</w:t>
      </w:r>
      <w:r>
        <w:rPr>
          <w:rFonts w:ascii="Times New Roman" w:hAnsi="Times New Roman" w:eastAsia="Times New Roman" w:cs="Times New Roman"/>
          <w:sz w:val="28"/>
          <w:szCs w:val="28"/>
          <w:spacing w:val="-3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，另外科技创新、技术伦理、数据安全、产业融合发展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等特色议题披露率均有微增。</w:t>
      </w:r>
    </w:p>
    <w:p>
      <w:pPr>
        <w:ind w:left="434" w:right="11" w:firstLine="576"/>
        <w:spacing w:before="42" w:line="39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4"/>
        </w:rPr>
        <w:t>通过研究上述主题的信息披露变化，结合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2022 </w:t>
      </w:r>
      <w:r>
        <w:rPr>
          <w:rFonts w:ascii="FangSong" w:hAnsi="FangSong" w:eastAsia="FangSong" w:cs="FangSong"/>
          <w:sz w:val="28"/>
          <w:szCs w:val="28"/>
          <w:spacing w:val="-4"/>
        </w:rPr>
        <w:t>年可持续发展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FangSong" w:hAnsi="FangSong" w:eastAsia="FangSong" w:cs="FangSong"/>
          <w:sz w:val="28"/>
          <w:szCs w:val="28"/>
          <w:spacing w:val="1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报告超过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65%</w:t>
      </w:r>
      <w:r>
        <w:rPr>
          <w:rFonts w:ascii="FangSong" w:hAnsi="FangSong" w:eastAsia="FangSong" w:cs="FangSong"/>
          <w:sz w:val="28"/>
          <w:szCs w:val="28"/>
          <w:spacing w:val="1"/>
        </w:rPr>
        <w:t>的</w:t>
      </w:r>
      <w:r>
        <w:rPr>
          <w:rFonts w:ascii="FangSong" w:hAnsi="FangSong" w:eastAsia="FangSong" w:cs="FangSong"/>
          <w:sz w:val="28"/>
          <w:szCs w:val="28"/>
          <w:spacing w:val="-9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“实质性议题分析</w:t>
      </w:r>
      <w:r>
        <w:rPr>
          <w:rFonts w:ascii="FangSong" w:hAnsi="FangSong" w:eastAsia="FangSong" w:cs="FangSong"/>
          <w:sz w:val="28"/>
          <w:szCs w:val="28"/>
        </w:rPr>
        <w:t>结果”披露率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（见图</w:t>
      </w:r>
      <w:r>
        <w:rPr>
          <w:rFonts w:ascii="FangSong" w:hAnsi="FangSong" w:eastAsia="FangSong" w:cs="FangSong"/>
          <w:sz w:val="28"/>
          <w:szCs w:val="28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spacing w:val="-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），</w:t>
      </w:r>
      <w:r>
        <w:rPr>
          <w:rFonts w:ascii="FangSong" w:hAnsi="FangSong" w:eastAsia="FangSong" w:cs="FangSong"/>
          <w:sz w:val="28"/>
          <w:szCs w:val="28"/>
          <w:spacing w:val="3"/>
        </w:rPr>
        <w:t>充分说明越来越多互联网企业逐渐意识到，披露工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作并非模式化符合强制性要求或简单的标准对标，而须立足自身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可持续发展，切实响应利益相关方需求和期待，从</w:t>
      </w:r>
      <w:r>
        <w:rPr>
          <w:rFonts w:ascii="FangSong" w:hAnsi="FangSong" w:eastAsia="FangSong" w:cs="FangSong"/>
          <w:sz w:val="28"/>
          <w:szCs w:val="28"/>
          <w:spacing w:val="-93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“对利益相关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方的重要性”“对本企业的重要性”“企业具体表现”等方面识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别与自身实际工作相关的实质性主题，并持续开展信息披露。</w:t>
      </w:r>
    </w:p>
    <w:p>
      <w:pPr>
        <w:ind w:firstLine="796"/>
        <w:spacing w:line="4358" w:lineRule="exact"/>
        <w:rPr/>
      </w:pPr>
      <w:r>
        <w:rPr>
          <w:position w:val="-87"/>
        </w:rPr>
        <w:drawing>
          <wp:inline distT="0" distB="0" distL="0" distR="0">
            <wp:extent cx="4546092" cy="2767583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6092" cy="27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5"/>
        <w:spacing w:before="133" w:line="225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2885"/>
        <w:spacing w:before="209" w:line="222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91" w:id="109"/>
      <w:bookmarkEnd w:id="109"/>
      <w:r>
        <w:rPr>
          <w:rFonts w:ascii="FangSong" w:hAnsi="FangSong" w:eastAsia="FangSong" w:cs="FangSong"/>
          <w:sz w:val="24"/>
          <w:szCs w:val="24"/>
          <w:spacing w:val="-4"/>
        </w:rPr>
        <w:t>图</w:t>
      </w:r>
      <w:r>
        <w:rPr>
          <w:rFonts w:ascii="FangSong" w:hAnsi="FangSong" w:eastAsia="FangSong" w:cs="FangSong"/>
          <w:sz w:val="24"/>
          <w:szCs w:val="24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10  </w:t>
      </w:r>
      <w:r>
        <w:rPr>
          <w:rFonts w:ascii="FangSong" w:hAnsi="FangSong" w:eastAsia="FangSong" w:cs="FangSong"/>
          <w:sz w:val="24"/>
          <w:szCs w:val="24"/>
          <w:spacing w:val="-4"/>
        </w:rPr>
        <w:t>可持续发展核心主题披露率</w:t>
      </w:r>
    </w:p>
    <w:p>
      <w:pPr>
        <w:pStyle w:val="BodyText"/>
        <w:spacing w:line="421" w:lineRule="auto"/>
        <w:rPr/>
      </w:pPr>
      <w:r/>
    </w:p>
    <w:p>
      <w:pPr>
        <w:ind w:left="448" w:right="11" w:firstLine="564"/>
        <w:spacing w:before="91" w:line="402" w:lineRule="auto"/>
        <w:jc w:val="both"/>
        <w:rPr>
          <w:rFonts w:ascii="FangSong" w:hAnsi="FangSong" w:eastAsia="FangSong" w:cs="FangSong"/>
          <w:sz w:val="28"/>
          <w:szCs w:val="28"/>
        </w:rPr>
      </w:pPr>
      <w:bookmarkStart w:name="bookmark92" w:id="110"/>
      <w:bookmarkEnd w:id="110"/>
      <w:r>
        <w:rPr>
          <w:rFonts w:ascii="FangSong" w:hAnsi="FangSong" w:eastAsia="FangSong" w:cs="FangSong"/>
          <w:sz w:val="28"/>
          <w:szCs w:val="28"/>
          <w:spacing w:val="2"/>
        </w:rPr>
        <w:t>为进一步分析环境（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</w:t>
      </w:r>
      <w:r>
        <w:rPr>
          <w:rFonts w:ascii="FangSong" w:hAnsi="FangSong" w:eastAsia="FangSong" w:cs="FangSong"/>
          <w:sz w:val="28"/>
          <w:szCs w:val="28"/>
          <w:spacing w:val="2"/>
        </w:rPr>
        <w:t>）、社会（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FangSong" w:hAnsi="FangSong" w:eastAsia="FangSong" w:cs="FangSong"/>
          <w:sz w:val="28"/>
          <w:szCs w:val="28"/>
          <w:spacing w:val="2"/>
        </w:rPr>
        <w:t>）、治理（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</w:t>
      </w:r>
      <w:r>
        <w:rPr>
          <w:rFonts w:ascii="FangSong" w:hAnsi="FangSong" w:eastAsia="FangSong" w:cs="FangSong"/>
          <w:sz w:val="28"/>
          <w:szCs w:val="28"/>
          <w:spacing w:val="2"/>
        </w:rPr>
        <w:t>）议题各主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题的披露情况，本报告基于具体主题在可持续发展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SG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报告里的披露位置，以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“单独披露”“仅内容提及”两种方式进</w:t>
      </w:r>
    </w:p>
    <w:p>
      <w:pPr>
        <w:spacing w:line="402" w:lineRule="auto"/>
        <w:sectPr>
          <w:headerReference w:type="default" r:id="rId27"/>
          <w:footerReference w:type="default" r:id="rId55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3" w:lineRule="auto"/>
        <w:rPr/>
      </w:pPr>
      <w:r/>
    </w:p>
    <w:p>
      <w:pPr>
        <w:ind w:left="457" w:right="13" w:hanging="12"/>
        <w:spacing w:before="91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15584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393187</wp:posOffset>
            </wp:positionV>
            <wp:extent cx="5192565" cy="7977335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1"/>
        </w:rPr>
        <w:t>行统计。其中，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“仅内容提及”可能仅为一句话或一个案例，披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露信息较为简单分散，</w:t>
      </w:r>
      <w:r>
        <w:rPr>
          <w:rFonts w:ascii="FangSong" w:hAnsi="FangSong" w:eastAsia="FangSong" w:cs="FangSong"/>
          <w:sz w:val="28"/>
          <w:szCs w:val="28"/>
          <w:spacing w:val="-9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“单独披露”通常以更多篇幅披露更为系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统全面的信息。</w:t>
      </w:r>
    </w:p>
    <w:p>
      <w:pPr>
        <w:ind w:left="438" w:right="13" w:firstLine="565"/>
        <w:spacing w:before="54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1"/>
        </w:rPr>
        <w:t>环境议题披露情况基本平稳</w:t>
      </w:r>
      <w:r>
        <w:rPr>
          <w:rFonts w:ascii="FangSong" w:hAnsi="FangSong" w:eastAsia="FangSong" w:cs="FangSong"/>
          <w:sz w:val="28"/>
          <w:szCs w:val="28"/>
          <w:spacing w:val="-1"/>
        </w:rPr>
        <w:t>（见图</w:t>
      </w:r>
      <w:r>
        <w:rPr>
          <w:rFonts w:ascii="FangSong" w:hAnsi="FangSong" w:eastAsia="FangSong" w:cs="FangSong"/>
          <w:sz w:val="28"/>
          <w:szCs w:val="28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10</w:t>
      </w:r>
      <w:r>
        <w:rPr>
          <w:rFonts w:ascii="FangSong" w:hAnsi="FangSong" w:eastAsia="FangSong" w:cs="FangSong"/>
          <w:sz w:val="28"/>
          <w:szCs w:val="28"/>
          <w:spacing w:val="-1"/>
        </w:rPr>
        <w:t>、图</w:t>
      </w:r>
      <w:r>
        <w:rPr>
          <w:rFonts w:ascii="FangSong" w:hAnsi="FangSong" w:eastAsia="FangSong" w:cs="FangSong"/>
          <w:sz w:val="28"/>
          <w:szCs w:val="28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11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），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年环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境议题两个主题平均披露率为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77.09%</w:t>
      </w:r>
      <w:r>
        <w:rPr>
          <w:rFonts w:ascii="FangSong" w:hAnsi="FangSong" w:eastAsia="FangSong" w:cs="FangSong"/>
          <w:sz w:val="28"/>
          <w:szCs w:val="28"/>
          <w:spacing w:val="-2"/>
        </w:rPr>
        <w:t>，环境产品及绿色理念传播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披露率较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2021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年微增</w:t>
      </w:r>
      <w:r>
        <w:rPr>
          <w:rFonts w:ascii="FangSong" w:hAnsi="FangSong" w:eastAsia="FangSong" w:cs="FangSong"/>
          <w:sz w:val="28"/>
          <w:szCs w:val="28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1.55%</w:t>
      </w:r>
      <w:r>
        <w:rPr>
          <w:rFonts w:ascii="FangSong" w:hAnsi="FangSong" w:eastAsia="FangSong" w:cs="FangSong"/>
          <w:sz w:val="28"/>
          <w:szCs w:val="28"/>
        </w:rPr>
        <w:t>，绿色运营披露率较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2021 </w:t>
      </w:r>
      <w:r>
        <w:rPr>
          <w:rFonts w:ascii="FangSong" w:hAnsi="FangSong" w:eastAsia="FangSong" w:cs="FangSong"/>
          <w:sz w:val="28"/>
          <w:szCs w:val="28"/>
        </w:rPr>
        <w:t>年虽微降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0.87%</w:t>
      </w:r>
      <w:r>
        <w:rPr>
          <w:rFonts w:ascii="FangSong" w:hAnsi="FangSong" w:eastAsia="FangSong" w:cs="FangSong"/>
          <w:sz w:val="28"/>
          <w:szCs w:val="28"/>
          <w:spacing w:val="-6"/>
        </w:rPr>
        <w:t>，但“单独披露”率小幅增长至近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70%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，即越来越多的企业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逐渐重视并更加体系化披露企业业务运营中的气候变化、能源使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用、污染废弃物管理、资源节约及循环利用等内容。绿色运营中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碳信息是当前可持续发展的关注重点之一，一些国际信息披露框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架正将其向强制性的方向推动，实践中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90.91%</w:t>
      </w:r>
      <w:r>
        <w:rPr>
          <w:rFonts w:ascii="FangSong" w:hAnsi="FangSong" w:eastAsia="FangSong" w:cs="FangSong"/>
          <w:sz w:val="28"/>
          <w:szCs w:val="28"/>
          <w:spacing w:val="-2"/>
        </w:rPr>
        <w:t>互联网企业披露或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提及碳信息相关内容，因此，本报告将其作为重点主题，在第六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章进行深入分析。</w:t>
      </w:r>
    </w:p>
    <w:p>
      <w:pPr>
        <w:ind w:firstLine="986"/>
        <w:spacing w:line="1927" w:lineRule="exact"/>
        <w:rPr/>
      </w:pPr>
      <w:r>
        <w:rPr>
          <w:position w:val="-38"/>
        </w:rPr>
        <w:drawing>
          <wp:inline distT="0" distB="0" distL="0" distR="0">
            <wp:extent cx="4302252" cy="1223772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2252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5"/>
        <w:spacing w:before="258" w:line="225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450"/>
        <w:spacing w:before="209" w:line="221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93" w:id="111"/>
      <w:bookmarkEnd w:id="111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11  </w:t>
      </w:r>
      <w:r>
        <w:rPr>
          <w:rFonts w:ascii="FangSong" w:hAnsi="FangSong" w:eastAsia="FangSong" w:cs="FangSong"/>
          <w:sz w:val="24"/>
          <w:szCs w:val="24"/>
          <w:spacing w:val="-3"/>
        </w:rPr>
        <w:t>互联网行业环境议题各核心主题信息披露程度占比</w:t>
      </w:r>
    </w:p>
    <w:p>
      <w:pPr>
        <w:pStyle w:val="BodyText"/>
        <w:spacing w:line="424" w:lineRule="auto"/>
        <w:rPr/>
      </w:pPr>
      <w:r/>
    </w:p>
    <w:p>
      <w:pPr>
        <w:ind w:left="440" w:right="13" w:firstLine="567"/>
        <w:spacing w:before="91" w:line="404" w:lineRule="auto"/>
        <w:jc w:val="both"/>
        <w:rPr>
          <w:rFonts w:ascii="FangSong" w:hAnsi="FangSong" w:eastAsia="FangSong" w:cs="FangSong"/>
          <w:sz w:val="28"/>
          <w:szCs w:val="28"/>
        </w:rPr>
      </w:pPr>
      <w:bookmarkStart w:name="bookmark94" w:id="112"/>
      <w:bookmarkEnd w:id="112"/>
      <w:r>
        <w:rPr>
          <w:rFonts w:ascii="SimHei" w:hAnsi="SimHei" w:eastAsia="SimHei" w:cs="SimHei"/>
          <w:sz w:val="28"/>
          <w:szCs w:val="28"/>
          <w:spacing w:val="-10"/>
        </w:rPr>
        <w:t>治理议题信息披露全面发展提升显著</w:t>
      </w:r>
      <w:r>
        <w:rPr>
          <w:rFonts w:ascii="FangSong" w:hAnsi="FangSong" w:eastAsia="FangSong" w:cs="FangSong"/>
          <w:sz w:val="28"/>
          <w:szCs w:val="28"/>
          <w:spacing w:val="-10"/>
        </w:rPr>
        <w:t>（</w:t>
      </w:r>
      <w:r>
        <w:rPr>
          <w:rFonts w:ascii="FangSong" w:hAnsi="FangSong" w:eastAsia="FangSong" w:cs="FangSong"/>
          <w:sz w:val="28"/>
          <w:szCs w:val="28"/>
          <w:spacing w:val="-6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0"/>
        </w:rPr>
        <w:t>见图</w:t>
      </w:r>
      <w:r>
        <w:rPr>
          <w:rFonts w:ascii="FangSong" w:hAnsi="FangSong" w:eastAsia="FangSong" w:cs="FangSong"/>
          <w:sz w:val="28"/>
          <w:szCs w:val="28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>10</w:t>
      </w:r>
      <w:r>
        <w:rPr>
          <w:rFonts w:ascii="Times New Roman" w:hAnsi="Times New Roman" w:eastAsia="Times New Roman" w:cs="Times New Roman"/>
          <w:sz w:val="28"/>
          <w:szCs w:val="28"/>
          <w:spacing w:val="-3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0"/>
        </w:rPr>
        <w:t>、图</w:t>
      </w:r>
      <w:r>
        <w:rPr>
          <w:rFonts w:ascii="FangSong" w:hAnsi="FangSong" w:eastAsia="FangSong" w:cs="FangSong"/>
          <w:sz w:val="28"/>
          <w:szCs w:val="2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>12</w:t>
      </w:r>
      <w:r>
        <w:rPr>
          <w:rFonts w:ascii="FangSong" w:hAnsi="FangSong" w:eastAsia="FangSong" w:cs="FangSong"/>
          <w:sz w:val="28"/>
          <w:szCs w:val="28"/>
          <w:spacing w:val="-10"/>
        </w:rPr>
        <w:t>）</w:t>
      </w:r>
      <w:r>
        <w:rPr>
          <w:rFonts w:ascii="SimHei" w:hAnsi="SimHei" w:eastAsia="SimHei" w:cs="SimHei"/>
          <w:sz w:val="28"/>
          <w:szCs w:val="28"/>
          <w:spacing w:val="-10"/>
        </w:rPr>
        <w:t>。</w:t>
      </w:r>
      <w:r>
        <w:rPr>
          <w:rFonts w:ascii="FangSong" w:hAnsi="FangSong" w:eastAsia="FangSong" w:cs="FangSong"/>
          <w:sz w:val="28"/>
          <w:szCs w:val="28"/>
          <w:spacing w:val="-10"/>
        </w:rPr>
        <w:t>一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是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4 </w:t>
      </w:r>
      <w:r>
        <w:rPr>
          <w:rFonts w:ascii="FangSong" w:hAnsi="FangSong" w:eastAsia="FangSong" w:cs="FangSong"/>
          <w:sz w:val="28"/>
          <w:szCs w:val="28"/>
          <w:spacing w:val="1"/>
        </w:rPr>
        <w:t>个核心主题中治理体系、社会责任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管理、风险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FangSong" w:hAnsi="FangSong" w:eastAsia="FangSong" w:cs="FangSong"/>
          <w:sz w:val="28"/>
          <w:szCs w:val="28"/>
          <w:spacing w:val="1"/>
        </w:rPr>
        <w:t>合规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FangSong" w:hAnsi="FangSong" w:eastAsia="FangSong" w:cs="FangSong"/>
          <w:sz w:val="28"/>
          <w:szCs w:val="28"/>
          <w:spacing w:val="1"/>
        </w:rPr>
        <w:t>内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控管理的披露率均有明显提升，尤其是风险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合规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内控管理主题大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幅提升</w:t>
      </w:r>
      <w:r>
        <w:rPr>
          <w:rFonts w:ascii="FangSong" w:hAnsi="FangSong" w:eastAsia="FangSong" w:cs="FangSong"/>
          <w:sz w:val="28"/>
          <w:szCs w:val="2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17.49%</w:t>
      </w:r>
      <w:r>
        <w:rPr>
          <w:rFonts w:ascii="FangSong" w:hAnsi="FangSong" w:eastAsia="FangSong" w:cs="FangSong"/>
          <w:sz w:val="28"/>
          <w:szCs w:val="28"/>
          <w:spacing w:val="-6"/>
        </w:rPr>
        <w:t>（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见图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10</w:t>
      </w:r>
      <w:r>
        <w:rPr>
          <w:rFonts w:ascii="FangSong" w:hAnsi="FangSong" w:eastAsia="FangSong" w:cs="FangSong"/>
          <w:sz w:val="28"/>
          <w:szCs w:val="28"/>
          <w:spacing w:val="-34"/>
        </w:rPr>
        <w:t>），</w:t>
      </w:r>
      <w:r>
        <w:rPr>
          <w:rFonts w:ascii="FangSong" w:hAnsi="FangSong" w:eastAsia="FangSong" w:cs="FangSong"/>
          <w:sz w:val="28"/>
          <w:szCs w:val="28"/>
          <w:spacing w:val="-6"/>
        </w:rPr>
        <w:t>说明治理议题的披露愈发受</w:t>
      </w:r>
      <w:r>
        <w:rPr>
          <w:rFonts w:ascii="FangSong" w:hAnsi="FangSong" w:eastAsia="FangSong" w:cs="FangSong"/>
          <w:sz w:val="28"/>
          <w:szCs w:val="28"/>
          <w:spacing w:val="-7"/>
        </w:rPr>
        <w:t>到互联网</w:t>
      </w:r>
    </w:p>
    <w:p>
      <w:pPr>
        <w:spacing w:line="404" w:lineRule="auto"/>
        <w:sectPr>
          <w:footerReference w:type="default" r:id="rId57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6" w:lineRule="auto"/>
        <w:rPr/>
      </w:pPr>
      <w:r/>
    </w:p>
    <w:p>
      <w:pPr>
        <w:ind w:left="439" w:right="13" w:firstLine="5"/>
        <w:spacing w:before="91" w:line="400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17632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390787</wp:posOffset>
            </wp:positionV>
            <wp:extent cx="5192565" cy="7977335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1"/>
        </w:rPr>
        <w:t>行业关注。二是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4 </w:t>
      </w:r>
      <w:r>
        <w:rPr>
          <w:rFonts w:ascii="FangSong" w:hAnsi="FangSong" w:eastAsia="FangSong" w:cs="FangSong"/>
          <w:sz w:val="28"/>
          <w:szCs w:val="28"/>
          <w:spacing w:val="-1"/>
        </w:rPr>
        <w:t>个核心主题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“单独披露”率均有所提升，说明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以可持续发展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FangSong" w:hAnsi="FangSong" w:eastAsia="FangSong" w:cs="FangSong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报告作为披露载体的</w:t>
      </w:r>
      <w:r>
        <w:rPr>
          <w:rFonts w:ascii="FangSong" w:hAnsi="FangSong" w:eastAsia="FangSong" w:cs="FangSong"/>
          <w:sz w:val="28"/>
          <w:szCs w:val="28"/>
          <w:spacing w:val="3"/>
        </w:rPr>
        <w:t>互联网企业正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逐渐构建体系化管理能力。</w:t>
      </w:r>
    </w:p>
    <w:p>
      <w:pPr>
        <w:ind w:firstLine="950"/>
        <w:spacing w:line="3799" w:lineRule="exact"/>
        <w:rPr/>
      </w:pPr>
      <w:r>
        <w:rPr>
          <w:position w:val="-75"/>
        </w:rPr>
        <w:drawing>
          <wp:inline distT="0" distB="0" distL="0" distR="0">
            <wp:extent cx="4352544" cy="2412491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2544" cy="24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5"/>
        <w:spacing w:before="263" w:line="225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445"/>
        <w:spacing w:before="132" w:line="221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95" w:id="113"/>
      <w:bookmarkEnd w:id="113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12  </w:t>
      </w:r>
      <w:r>
        <w:rPr>
          <w:rFonts w:ascii="FangSong" w:hAnsi="FangSong" w:eastAsia="FangSong" w:cs="FangSong"/>
          <w:sz w:val="24"/>
          <w:szCs w:val="24"/>
          <w:spacing w:val="-3"/>
        </w:rPr>
        <w:t>互联网行业治理议题各核心主题信息披露程度占比</w:t>
      </w:r>
    </w:p>
    <w:p>
      <w:pPr>
        <w:pStyle w:val="BodyText"/>
        <w:spacing w:line="352" w:lineRule="auto"/>
        <w:rPr/>
      </w:pPr>
      <w:r/>
    </w:p>
    <w:p>
      <w:pPr>
        <w:ind w:left="441" w:right="13" w:firstLine="561"/>
        <w:spacing w:before="91" w:line="408" w:lineRule="auto"/>
        <w:rPr>
          <w:rFonts w:ascii="FangSong" w:hAnsi="FangSong" w:eastAsia="FangSong" w:cs="FangSong"/>
          <w:sz w:val="28"/>
          <w:szCs w:val="28"/>
        </w:rPr>
      </w:pPr>
      <w:bookmarkStart w:name="bookmark96" w:id="114"/>
      <w:bookmarkEnd w:id="114"/>
      <w:r>
        <w:rPr>
          <w:rFonts w:ascii="SimHei" w:hAnsi="SimHei" w:eastAsia="SimHei" w:cs="SimHei"/>
          <w:sz w:val="28"/>
          <w:szCs w:val="28"/>
          <w:spacing w:val="1"/>
        </w:rPr>
        <w:t>社会议题</w:t>
      </w:r>
      <w:r>
        <w:rPr>
          <w:rFonts w:ascii="FangSong" w:hAnsi="FangSong" w:eastAsia="FangSong" w:cs="FangSong"/>
          <w:sz w:val="28"/>
          <w:szCs w:val="28"/>
          <w:spacing w:val="1"/>
        </w:rPr>
        <w:t>含义广泛，</w:t>
      </w:r>
      <w:r>
        <w:rPr>
          <w:rFonts w:ascii="SimHei" w:hAnsi="SimHei" w:eastAsia="SimHei" w:cs="SimHei"/>
          <w:sz w:val="28"/>
          <w:szCs w:val="28"/>
          <w:spacing w:val="1"/>
        </w:rPr>
        <w:t>各核心主题披露率呈现快速增长趋势，</w:t>
      </w:r>
      <w:r>
        <w:rPr>
          <w:rFonts w:ascii="SimHei" w:hAnsi="SimHei" w:eastAsia="SimHei" w:cs="SimHei"/>
          <w:sz w:val="28"/>
          <w:szCs w:val="28"/>
          <w:spacing w:val="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7"/>
        </w:rPr>
        <w:t>“单独披露”率虽有反复但整体向好发展</w:t>
      </w:r>
      <w:r>
        <w:rPr>
          <w:rFonts w:ascii="FangSong" w:hAnsi="FangSong" w:eastAsia="FangSong" w:cs="FangSong"/>
          <w:sz w:val="28"/>
          <w:szCs w:val="28"/>
          <w:spacing w:val="-7"/>
        </w:rPr>
        <w:t>（见图</w:t>
      </w:r>
      <w:r>
        <w:rPr>
          <w:rFonts w:ascii="FangSong" w:hAnsi="FangSong" w:eastAsia="FangSong" w:cs="FangSong"/>
          <w:sz w:val="28"/>
          <w:szCs w:val="28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10</w:t>
      </w:r>
      <w:r>
        <w:rPr>
          <w:rFonts w:ascii="Times New Roman" w:hAnsi="Times New Roman" w:eastAsia="Times New Roman" w:cs="Times New Roman"/>
          <w:sz w:val="28"/>
          <w:szCs w:val="28"/>
          <w:spacing w:val="-3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、图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12</w:t>
      </w:r>
      <w:r>
        <w:rPr>
          <w:rFonts w:ascii="FangSong" w:hAnsi="FangSong" w:eastAsia="FangSong" w:cs="FangSong"/>
          <w:sz w:val="28"/>
          <w:szCs w:val="28"/>
          <w:spacing w:val="-7"/>
        </w:rPr>
        <w:t>）。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12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个主题中共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8 </w:t>
      </w:r>
      <w:r>
        <w:rPr>
          <w:rFonts w:ascii="FangSong" w:hAnsi="FangSong" w:eastAsia="FangSong" w:cs="FangSong"/>
          <w:sz w:val="28"/>
          <w:szCs w:val="28"/>
        </w:rPr>
        <w:t>个主题信息披露率增长（平均增长</w:t>
      </w:r>
      <w:r>
        <w:rPr>
          <w:rFonts w:ascii="FangSong" w:hAnsi="FangSong" w:eastAsia="FangSong" w:cs="FangSong"/>
          <w:sz w:val="28"/>
          <w:szCs w:val="28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11.4%</w:t>
      </w:r>
      <w:r>
        <w:rPr>
          <w:rFonts w:ascii="FangSong" w:hAnsi="FangSong" w:eastAsia="FangSong" w:cs="FangSong"/>
          <w:sz w:val="28"/>
          <w:szCs w:val="28"/>
          <w:spacing w:val="14"/>
        </w:rPr>
        <w:t>），</w:t>
      </w:r>
      <w:r>
        <w:rPr>
          <w:rFonts w:ascii="FangSong" w:hAnsi="FangSong" w:eastAsia="FangSong" w:cs="FangSong"/>
          <w:sz w:val="28"/>
          <w:szCs w:val="28"/>
        </w:rPr>
        <w:t>平均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披露率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73.44%</w:t>
      </w:r>
      <w:r>
        <w:rPr>
          <w:rFonts w:ascii="FangSong" w:hAnsi="FangSong" w:eastAsia="FangSong" w:cs="FangSong"/>
          <w:sz w:val="28"/>
          <w:szCs w:val="28"/>
          <w:spacing w:val="-2"/>
        </w:rPr>
        <w:t>，披露率增长的主题数和平均披露率均创</w:t>
      </w:r>
      <w:r>
        <w:rPr>
          <w:rFonts w:ascii="FangSong" w:hAnsi="FangSong" w:eastAsia="FangSong" w:cs="FangSong"/>
          <w:sz w:val="28"/>
          <w:szCs w:val="28"/>
          <w:spacing w:val="-3"/>
        </w:rPr>
        <w:t>新高。其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中，客户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FangSong" w:hAnsi="FangSong" w:eastAsia="FangSong" w:cs="FangSong"/>
          <w:sz w:val="28"/>
          <w:szCs w:val="28"/>
          <w:spacing w:val="3"/>
        </w:rPr>
        <w:t>用户沟通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FangSong" w:hAnsi="FangSong" w:eastAsia="FangSong" w:cs="FangSong"/>
          <w:sz w:val="28"/>
          <w:szCs w:val="28"/>
          <w:spacing w:val="3"/>
        </w:rPr>
        <w:t>交流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FangSong" w:hAnsi="FangSong" w:eastAsia="FangSong" w:cs="FangSong"/>
          <w:sz w:val="28"/>
          <w:szCs w:val="28"/>
          <w:spacing w:val="3"/>
        </w:rPr>
        <w:t>申投诉、科技创新、网络</w:t>
      </w:r>
      <w:r>
        <w:rPr>
          <w:rFonts w:ascii="FangSong" w:hAnsi="FangSong" w:eastAsia="FangSong" w:cs="FangSong"/>
          <w:sz w:val="28"/>
          <w:szCs w:val="28"/>
          <w:spacing w:val="2"/>
        </w:rPr>
        <w:t>安全主题在披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露率和</w:t>
      </w:r>
      <w:r>
        <w:rPr>
          <w:rFonts w:ascii="FangSong" w:hAnsi="FangSong" w:eastAsia="FangSong" w:cs="FangSong"/>
          <w:sz w:val="28"/>
          <w:szCs w:val="28"/>
          <w:spacing w:val="-9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“单独披露”率均实现了较为强势的双增长（客户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用户沟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6"/>
        </w:rPr>
        <w:t>通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/</w:t>
      </w:r>
      <w:r>
        <w:rPr>
          <w:rFonts w:ascii="FangSong" w:hAnsi="FangSong" w:eastAsia="FangSong" w:cs="FangSong"/>
          <w:sz w:val="28"/>
          <w:szCs w:val="28"/>
          <w:spacing w:val="6"/>
        </w:rPr>
        <w:t>交流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/</w:t>
      </w:r>
      <w:r>
        <w:rPr>
          <w:rFonts w:ascii="FangSong" w:hAnsi="FangSong" w:eastAsia="FangSong" w:cs="FangSong"/>
          <w:sz w:val="28"/>
          <w:szCs w:val="28"/>
          <w:spacing w:val="6"/>
        </w:rPr>
        <w:t>申投诉分别增长</w:t>
      </w:r>
      <w:r>
        <w:rPr>
          <w:rFonts w:ascii="FangSong" w:hAnsi="FangSong" w:eastAsia="FangSong" w:cs="FangSong"/>
          <w:sz w:val="28"/>
          <w:szCs w:val="28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16.38%</w:t>
      </w:r>
      <w:r>
        <w:rPr>
          <w:rFonts w:ascii="FangSong" w:hAnsi="FangSong" w:eastAsia="FangSong" w:cs="FangSong"/>
          <w:sz w:val="28"/>
          <w:szCs w:val="28"/>
          <w:spacing w:val="6"/>
        </w:rPr>
        <w:t>和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34.1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1%</w:t>
      </w:r>
      <w:r>
        <w:rPr>
          <w:rFonts w:ascii="FangSong" w:hAnsi="FangSong" w:eastAsia="FangSong" w:cs="FangSong"/>
          <w:sz w:val="28"/>
          <w:szCs w:val="28"/>
          <w:spacing w:val="5"/>
        </w:rPr>
        <w:t>，科技创新分别增长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9.16%</w:t>
      </w:r>
      <w:r>
        <w:rPr>
          <w:rFonts w:ascii="FangSong" w:hAnsi="FangSong" w:eastAsia="FangSong" w:cs="FangSong"/>
          <w:sz w:val="28"/>
          <w:szCs w:val="28"/>
          <w:spacing w:val="-1"/>
        </w:rPr>
        <w:t>和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20.68%</w:t>
      </w:r>
      <w:r>
        <w:rPr>
          <w:rFonts w:ascii="FangSong" w:hAnsi="FangSong" w:eastAsia="FangSong" w:cs="FangSong"/>
          <w:sz w:val="28"/>
          <w:szCs w:val="28"/>
          <w:spacing w:val="-1"/>
        </w:rPr>
        <w:t>，网络安全分别增长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29.94%</w:t>
      </w:r>
      <w:r>
        <w:rPr>
          <w:rFonts w:ascii="FangSong" w:hAnsi="FangSong" w:eastAsia="FangSong" w:cs="FangSong"/>
          <w:sz w:val="28"/>
          <w:szCs w:val="28"/>
          <w:spacing w:val="-1"/>
        </w:rPr>
        <w:t>和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6.19%</w:t>
      </w:r>
      <w:r>
        <w:rPr>
          <w:rFonts w:ascii="FangSong" w:hAnsi="FangSong" w:eastAsia="FangSong" w:cs="FangSong"/>
          <w:sz w:val="28"/>
          <w:szCs w:val="28"/>
          <w:spacing w:val="13"/>
        </w:rPr>
        <w:t>）；</w:t>
      </w:r>
      <w:r>
        <w:rPr>
          <w:rFonts w:ascii="FangSong" w:hAnsi="FangSong" w:eastAsia="FangSong" w:cs="FangSong"/>
          <w:sz w:val="28"/>
          <w:szCs w:val="28"/>
          <w:spacing w:val="-1"/>
        </w:rPr>
        <w:t>用户隐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私保护虽披露率微降</w:t>
      </w:r>
      <w:r>
        <w:rPr>
          <w:rFonts w:ascii="FangSong" w:hAnsi="FangSong" w:eastAsia="FangSong" w:cs="FangSong"/>
          <w:sz w:val="28"/>
          <w:szCs w:val="28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1.5%</w:t>
      </w:r>
      <w:r>
        <w:rPr>
          <w:rFonts w:ascii="FangSong" w:hAnsi="FangSong" w:eastAsia="FangSong" w:cs="FangSong"/>
          <w:sz w:val="28"/>
          <w:szCs w:val="28"/>
          <w:spacing w:val="-3"/>
        </w:rPr>
        <w:t>，但随着《个人信息保护法》明确提及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“个人信息保护社会责任报告”这一信息披露方式</w:t>
      </w:r>
      <w:r>
        <w:rPr>
          <w:rFonts w:ascii="FangSong" w:hAnsi="FangSong" w:eastAsia="FangSong" w:cs="FangSong"/>
          <w:sz w:val="28"/>
          <w:szCs w:val="28"/>
          <w:spacing w:val="-1"/>
        </w:rPr>
        <w:t>，其</w:t>
      </w:r>
      <w:r>
        <w:rPr>
          <w:rFonts w:ascii="FangSong" w:hAnsi="FangSong" w:eastAsia="FangSong" w:cs="FangSong"/>
          <w:sz w:val="28"/>
          <w:szCs w:val="28"/>
          <w:spacing w:val="-9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“单独披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露”率大幅提升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26.34%</w:t>
      </w:r>
      <w:r>
        <w:rPr>
          <w:rFonts w:ascii="Times New Roman" w:hAnsi="Times New Roman" w:eastAsia="Times New Roman" w:cs="Times New Roman"/>
          <w:sz w:val="28"/>
          <w:szCs w:val="28"/>
          <w:spacing w:val="-3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，说明行业披露系统性提升明显，因此，</w:t>
      </w:r>
    </w:p>
    <w:p>
      <w:pPr>
        <w:spacing w:line="408" w:lineRule="auto"/>
        <w:sectPr>
          <w:footerReference w:type="default" r:id="rId59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1" w:lineRule="auto"/>
        <w:rPr/>
      </w:pPr>
      <w:r/>
    </w:p>
    <w:p>
      <w:pPr>
        <w:ind w:left="436" w:right="100" w:firstLine="8"/>
        <w:spacing w:before="91" w:line="39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19680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391188</wp:posOffset>
            </wp:positionV>
            <wp:extent cx="5192565" cy="7977335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1"/>
        </w:rPr>
        <w:t>本报告将其作为重点主题，在第四章进行深入分析；</w:t>
      </w:r>
      <w:r>
        <w:rPr>
          <w:rFonts w:ascii="FangSong" w:hAnsi="FangSong" w:eastAsia="FangSong" w:cs="FangSong"/>
          <w:sz w:val="28"/>
          <w:szCs w:val="28"/>
          <w:spacing w:val="-7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内容真实健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康披露率大幅增长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24.08%</w:t>
      </w:r>
      <w:r>
        <w:rPr>
          <w:rFonts w:ascii="FangSong" w:hAnsi="FangSong" w:eastAsia="FangSong" w:cs="FangSong"/>
          <w:sz w:val="28"/>
          <w:szCs w:val="28"/>
          <w:spacing w:val="1"/>
        </w:rPr>
        <w:t>，但</w:t>
      </w:r>
      <w:r>
        <w:rPr>
          <w:rFonts w:ascii="FangSong" w:hAnsi="FangSong" w:eastAsia="FangSong" w:cs="FangSong"/>
          <w:sz w:val="28"/>
          <w:szCs w:val="28"/>
          <w:spacing w:val="-9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“单独披露”率与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2021 </w:t>
      </w:r>
      <w:r>
        <w:rPr>
          <w:rFonts w:ascii="FangSong" w:hAnsi="FangSong" w:eastAsia="FangSong" w:cs="FangSong"/>
          <w:sz w:val="28"/>
          <w:szCs w:val="28"/>
        </w:rPr>
        <w:t>年基本持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平，说明企业虽对该主题的披露意识显著提升，但内容有待进一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0"/>
        </w:rPr>
        <w:t>步充实；</w:t>
      </w:r>
      <w:r>
        <w:rPr>
          <w:rFonts w:ascii="FangSong" w:hAnsi="FangSong" w:eastAsia="FangSong" w:cs="FangSong"/>
          <w:sz w:val="28"/>
          <w:szCs w:val="28"/>
          <w:spacing w:val="-7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0"/>
        </w:rPr>
        <w:t>科技伦理作为披露率最低的主题，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0"/>
        </w:rPr>
        <w:t>虽由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11.63%</w:t>
      </w:r>
      <w:r>
        <w:rPr>
          <w:rFonts w:ascii="FangSong" w:hAnsi="FangSong" w:eastAsia="FangSong" w:cs="FangSong"/>
          <w:sz w:val="28"/>
          <w:szCs w:val="28"/>
          <w:spacing w:val="10"/>
        </w:rPr>
        <w:t>增至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16.67%</w:t>
      </w:r>
      <w:r>
        <w:rPr>
          <w:rFonts w:ascii="Times New Roman" w:hAnsi="Times New Roman" w:eastAsia="Times New Roman" w:cs="Times New Roman"/>
          <w:sz w:val="28"/>
          <w:szCs w:val="28"/>
          <w:spacing w:val="-2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，但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“单独披露”率大幅下降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25%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，说明科技伦理在信息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披露层面仍未达成共识；其他议题，如公益慈善、员工权益与关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爱、生态伙伴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/</w:t>
      </w:r>
      <w:r>
        <w:rPr>
          <w:rFonts w:ascii="FangSong" w:hAnsi="FangSong" w:eastAsia="FangSong" w:cs="FangSong"/>
          <w:sz w:val="28"/>
          <w:szCs w:val="28"/>
          <w:spacing w:val="-1"/>
        </w:rPr>
        <w:t>供应商管理与合作、产业融合发展等</w:t>
      </w:r>
      <w:r>
        <w:rPr>
          <w:rFonts w:ascii="FangSong" w:hAnsi="FangSong" w:eastAsia="FangSong" w:cs="FangSong"/>
          <w:sz w:val="28"/>
          <w:szCs w:val="28"/>
          <w:spacing w:val="-2"/>
        </w:rPr>
        <w:t>主题的披露率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和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“单独披露”率均处于较为平稳发展阶段。</w:t>
      </w:r>
    </w:p>
    <w:p>
      <w:pPr>
        <w:ind w:firstLine="434"/>
        <w:spacing w:line="7449" w:lineRule="exact"/>
        <w:rPr/>
      </w:pPr>
      <w:r>
        <w:rPr>
          <w:position w:val="-148"/>
        </w:rPr>
        <w:drawing>
          <wp:inline distT="0" distB="0" distL="0" distR="0">
            <wp:extent cx="5071871" cy="4730495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1871" cy="47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148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445"/>
        <w:spacing w:before="132" w:line="221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98" w:id="115"/>
      <w:bookmarkEnd w:id="115"/>
      <w:bookmarkStart w:name="bookmark97" w:id="116"/>
      <w:bookmarkEnd w:id="116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13  </w:t>
      </w:r>
      <w:r>
        <w:rPr>
          <w:rFonts w:ascii="FangSong" w:hAnsi="FangSong" w:eastAsia="FangSong" w:cs="FangSong"/>
          <w:sz w:val="24"/>
          <w:szCs w:val="24"/>
          <w:spacing w:val="-3"/>
        </w:rPr>
        <w:t>互联网行业社会议题各核心主题信息披露程度占比</w:t>
      </w:r>
    </w:p>
    <w:p>
      <w:pPr>
        <w:spacing w:line="221" w:lineRule="auto"/>
        <w:sectPr>
          <w:headerReference w:type="default" r:id="rId61"/>
          <w:footerReference w:type="default" r:id="rId62"/>
          <w:pgSz w:w="11906" w:h="16839"/>
          <w:pgMar w:top="1134" w:right="1698" w:bottom="1156" w:left="1785" w:header="862" w:footer="994" w:gutter="0"/>
        </w:sectPr>
        <w:rPr>
          <w:rFonts w:ascii="FangSong" w:hAnsi="FangSong" w:eastAsia="FangSong" w:cs="FangSong"/>
          <w:sz w:val="24"/>
          <w:szCs w:val="24"/>
        </w:rPr>
      </w:pPr>
    </w:p>
    <w:p>
      <w:pPr>
        <w:pStyle w:val="BodyText"/>
        <w:spacing w:line="357" w:lineRule="auto"/>
        <w:rPr/>
      </w:pPr>
      <w:r/>
    </w:p>
    <w:p>
      <w:pPr>
        <w:ind w:left="1106"/>
        <w:spacing w:before="100" w:line="223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27" w:id="117"/>
      <w:bookmarkEnd w:id="117"/>
      <w:r>
        <w:rPr>
          <w:rFonts w:ascii="SimHei" w:hAnsi="SimHei" w:eastAsia="SimHei" w:cs="SimHei"/>
          <w:sz w:val="31"/>
          <w:szCs w:val="31"/>
          <w:spacing w:val="8"/>
        </w:rPr>
        <w:t>四、主题实践之个人信息保护信息披露逐步发展</w:t>
      </w:r>
    </w:p>
    <w:p>
      <w:pPr>
        <w:ind w:left="1112"/>
        <w:spacing w:before="248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28" w:id="118"/>
      <w:bookmarkEnd w:id="118"/>
      <w:bookmarkStart w:name="bookmark30" w:id="119"/>
      <w:bookmarkEnd w:id="119"/>
      <w:bookmarkStart w:name="bookmark29" w:id="120"/>
      <w:bookmarkEnd w:id="120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（一）主题报告法规明确，行业实践共识较高</w:t>
      </w:r>
    </w:p>
    <w:p>
      <w:pPr>
        <w:ind w:left="445" w:right="138" w:firstLine="559"/>
        <w:spacing w:before="325" w:line="39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本报告基于主题定位，从要求层面和实践层面考虑，将</w:t>
      </w:r>
      <w:r>
        <w:rPr>
          <w:rFonts w:ascii="SimHei" w:hAnsi="SimHei" w:eastAsia="SimHei" w:cs="SimHei"/>
          <w:sz w:val="28"/>
          <w:szCs w:val="28"/>
          <w:spacing w:val="1"/>
        </w:rPr>
        <w:t>个人</w:t>
      </w:r>
      <w:r>
        <w:rPr>
          <w:rFonts w:ascii="SimHei" w:hAnsi="SimHei" w:eastAsia="SimHei" w:cs="SimHei"/>
          <w:sz w:val="28"/>
          <w:szCs w:val="28"/>
          <w:spacing w:val="9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信息及用户隐私保护</w:t>
      </w:r>
      <w:r>
        <w:rPr>
          <w:rFonts w:ascii="FangSong" w:hAnsi="FangSong" w:eastAsia="FangSong" w:cs="FangSong"/>
          <w:sz w:val="28"/>
          <w:szCs w:val="28"/>
          <w:spacing w:val="1"/>
        </w:rPr>
        <w:t>（简称：个保）作为本年度的重点主题，深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入分析行业的信息披露实践情况。具体为：</w:t>
      </w:r>
    </w:p>
    <w:p>
      <w:pPr>
        <w:ind w:left="434" w:right="137" w:firstLine="578"/>
        <w:spacing w:before="50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8"/>
        </w:rPr>
        <w:t>首先，个保是</w:t>
      </w:r>
      <w:r>
        <w:rPr>
          <w:rFonts w:ascii="SimHei" w:hAnsi="SimHei" w:eastAsia="SimHei" w:cs="SimHei"/>
          <w:sz w:val="28"/>
          <w:szCs w:val="28"/>
          <w:spacing w:val="18"/>
        </w:rPr>
        <w:t>互联网行业可持续发展特色核心主题</w:t>
      </w:r>
      <w:r>
        <w:rPr>
          <w:rFonts w:ascii="FangSong" w:hAnsi="FangSong" w:eastAsia="FangSong" w:cs="FangSong"/>
          <w:sz w:val="28"/>
          <w:szCs w:val="28"/>
          <w:spacing w:val="18"/>
        </w:rPr>
        <w:t>，</w:t>
      </w:r>
      <w:r>
        <w:rPr>
          <w:rFonts w:ascii="Times New Roman" w:hAnsi="Times New Roman" w:eastAsia="Times New Roman" w:cs="Times New Roman"/>
          <w:sz w:val="28"/>
          <w:szCs w:val="28"/>
        </w:rPr>
        <w:t>ISO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6"/>
        </w:rPr>
        <w:t>26000</w:t>
      </w:r>
      <w:r>
        <w:rPr>
          <w:rFonts w:ascii="FangSong" w:hAnsi="FangSong" w:eastAsia="FangSong" w:cs="FangSong"/>
          <w:sz w:val="28"/>
          <w:szCs w:val="28"/>
          <w:spacing w:val="-16"/>
        </w:rPr>
        <w:t>《社会责任指南》、</w:t>
      </w:r>
      <w:r>
        <w:rPr>
          <w:rFonts w:ascii="Times New Roman" w:hAnsi="Times New Roman" w:eastAsia="Times New Roman" w:cs="Times New Roman"/>
          <w:sz w:val="28"/>
          <w:szCs w:val="28"/>
          <w:spacing w:val="-16"/>
        </w:rPr>
        <w:t>GB/T 36000</w:t>
      </w:r>
      <w:r>
        <w:rPr>
          <w:rFonts w:ascii="FangSong" w:hAnsi="FangSong" w:eastAsia="FangSong" w:cs="FangSong"/>
          <w:sz w:val="28"/>
          <w:szCs w:val="28"/>
          <w:spacing w:val="-16"/>
        </w:rPr>
        <w:t>《社会责任指南》、</w:t>
      </w:r>
      <w:r>
        <w:rPr>
          <w:rFonts w:ascii="Times New Roman" w:hAnsi="Times New Roman" w:eastAsia="Times New Roman" w:cs="Times New Roman"/>
          <w:sz w:val="28"/>
          <w:szCs w:val="28"/>
          <w:spacing w:val="-16"/>
        </w:rPr>
        <w:t>GB/T 36001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《社会责任报告编写指南》、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YD/T 3836</w:t>
      </w:r>
      <w:r>
        <w:rPr>
          <w:rFonts w:ascii="FangSong" w:hAnsi="FangSong" w:eastAsia="FangSong" w:cs="FangSong"/>
          <w:sz w:val="28"/>
          <w:szCs w:val="28"/>
          <w:spacing w:val="-4"/>
        </w:rPr>
        <w:t>《信息通信行业企业社会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责任管理体系要求》均明确提出消费者信息保护与隐私是可持续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发展核心议题，同时明晟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ESG </w:t>
      </w:r>
      <w:r>
        <w:rPr>
          <w:rFonts w:ascii="FangSong" w:hAnsi="FangSong" w:eastAsia="FangSong" w:cs="FangSong"/>
          <w:sz w:val="28"/>
          <w:szCs w:val="28"/>
          <w:spacing w:val="-2"/>
        </w:rPr>
        <w:t>评级、道琼</w:t>
      </w:r>
      <w:r>
        <w:rPr>
          <w:rFonts w:ascii="FangSong" w:hAnsi="FangSong" w:eastAsia="FangSong" w:cs="FangSong"/>
          <w:sz w:val="28"/>
          <w:szCs w:val="28"/>
          <w:spacing w:val="-3"/>
        </w:rPr>
        <w:t>斯可持续发展指数等也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关注相关指标。</w:t>
      </w:r>
    </w:p>
    <w:p>
      <w:pPr>
        <w:ind w:left="439" w:firstLine="564"/>
        <w:spacing w:before="49" w:line="40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其次，要求层面个保信息披露法律法规逐步明确，具体内容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进一步规范。一是</w:t>
      </w:r>
      <w:r>
        <w:rPr>
          <w:rFonts w:ascii="SimHei" w:hAnsi="SimHei" w:eastAsia="SimHei" w:cs="SimHei"/>
          <w:sz w:val="28"/>
          <w:szCs w:val="28"/>
          <w:spacing w:val="1"/>
        </w:rPr>
        <w:t>国内近两年出台多个法律法规文件明确了“个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"/>
        </w:rPr>
        <w:t>人信息保护社会责任报告”信息披露形式</w:t>
      </w:r>
      <w:r>
        <w:rPr>
          <w:rFonts w:ascii="FangSong" w:hAnsi="FangSong" w:eastAsia="FangSong" w:cs="FangSong"/>
          <w:sz w:val="28"/>
          <w:szCs w:val="28"/>
          <w:spacing w:val="1"/>
        </w:rPr>
        <w:t>，《个人信息保护法》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8"/>
        </w:rPr>
        <w:t>作为我国个人信息保护领域的专门立法，第五</w:t>
      </w:r>
      <w:r>
        <w:rPr>
          <w:rFonts w:ascii="FangSong" w:hAnsi="FangSong" w:eastAsia="FangSong" w:cs="FangSong"/>
          <w:sz w:val="28"/>
          <w:szCs w:val="28"/>
          <w:spacing w:val="-9"/>
        </w:rPr>
        <w:t>十八条明确提出“提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供重要互联网平台服务、用户数量巨大、业务类型复杂的个人信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"/>
        </w:rPr>
        <w:t>息处理者，应当履行下列义务：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……（四）定期发布个人信息保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护社会责任报告，接受社会监督”；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2023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月，国家互联网信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3"/>
        </w:rPr>
        <w:t>息办公室发布的《个人信息保护合规审计管理办法（征求意见稿）》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第三十一条要求大型互联网平台运营者应当每年发布个人信息保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护社会责任报告，并提出重点审查的披露内容。二是</w:t>
      </w:r>
      <w:r>
        <w:rPr>
          <w:rFonts w:ascii="SimHei" w:hAnsi="SimHei" w:eastAsia="SimHei" w:cs="SimHei"/>
          <w:sz w:val="28"/>
          <w:szCs w:val="28"/>
          <w:spacing w:val="1"/>
        </w:rPr>
        <w:t>当前已陆续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1"/>
        </w:rPr>
        <w:t>制定或发布标准规范了个保相关的可持续信息披露具体要求</w:t>
      </w:r>
      <w:r>
        <w:rPr>
          <w:rFonts w:ascii="FangSong" w:hAnsi="FangSong" w:eastAsia="FangSong" w:cs="FangSong"/>
          <w:sz w:val="28"/>
          <w:szCs w:val="28"/>
          <w:spacing w:val="11"/>
        </w:rPr>
        <w:t>，</w:t>
      </w:r>
    </w:p>
    <w:p>
      <w:pPr>
        <w:spacing w:line="409" w:lineRule="auto"/>
        <w:sectPr>
          <w:headerReference w:type="default" r:id="rId64"/>
          <w:footerReference w:type="default" r:id="rId65"/>
          <w:pgSz w:w="11906" w:h="16839"/>
          <w:pgMar w:top="1134" w:right="1660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34" w:firstLine="5"/>
        <w:spacing w:before="91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2023 </w:t>
      </w:r>
      <w:r>
        <w:rPr>
          <w:rFonts w:ascii="FangSong" w:hAnsi="FangSong" w:eastAsia="FangSong" w:cs="FangSong"/>
          <w:sz w:val="28"/>
          <w:szCs w:val="28"/>
          <w:spacing w:val="-1"/>
        </w:rPr>
        <w:t>年发布了由中国信息通信研究院牵头编制的《个人信息保护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社会责任报告编写指南》（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T/TAF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179—2023</w:t>
      </w:r>
      <w:r>
        <w:rPr>
          <w:rFonts w:ascii="Times New Roman" w:hAnsi="Times New Roman" w:eastAsia="Times New Roman" w:cs="Times New Roman"/>
          <w:sz w:val="28"/>
          <w:szCs w:val="28"/>
          <w:spacing w:val="-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），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3"/>
        </w:rPr>
        <w:t>发布了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由中国网络安全产业联盟数据安全工作委员会组织委员单位编制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23"/>
        </w:rPr>
        <w:t>的联盟技术规范《数据安全和个人信息保护社会责任指南》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2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T/CCIA 002</w:t>
      </w:r>
      <w:r>
        <w:rPr>
          <w:rFonts w:ascii="FangSong" w:hAnsi="FangSong" w:eastAsia="FangSong" w:cs="FangSong"/>
          <w:sz w:val="28"/>
          <w:szCs w:val="28"/>
          <w:spacing w:val="-2"/>
        </w:rPr>
        <w:t>—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  <w:spacing w:val="-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），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月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25  </w:t>
      </w:r>
      <w:r>
        <w:rPr>
          <w:rFonts w:ascii="FangSong" w:hAnsi="FangSong" w:eastAsia="FangSong" w:cs="FangSong"/>
          <w:sz w:val="28"/>
          <w:szCs w:val="28"/>
          <w:spacing w:val="-2"/>
        </w:rPr>
        <w:t>日，全国信息安全标准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3"/>
        </w:rPr>
        <w:t>化技术委员会发布《关于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2023 </w:t>
      </w:r>
      <w:r>
        <w:rPr>
          <w:rFonts w:ascii="FangSong" w:hAnsi="FangSong" w:eastAsia="FangSong" w:cs="FangSong"/>
          <w:sz w:val="28"/>
          <w:szCs w:val="28"/>
          <w:spacing w:val="-3"/>
        </w:rPr>
        <w:t>年第一批网络安全国家</w:t>
      </w:r>
      <w:r>
        <w:rPr>
          <w:rFonts w:ascii="FangSong" w:hAnsi="FangSong" w:eastAsia="FangSong" w:cs="FangSong"/>
          <w:sz w:val="28"/>
          <w:szCs w:val="28"/>
          <w:spacing w:val="-4"/>
        </w:rPr>
        <w:t>标准项目立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3"/>
        </w:rPr>
        <w:t>项的通知》，国家标准《数据安全和个人信</w:t>
      </w:r>
      <w:r>
        <w:rPr>
          <w:rFonts w:ascii="FangSong" w:hAnsi="FangSong" w:eastAsia="FangSong" w:cs="FangSong"/>
          <w:sz w:val="28"/>
          <w:szCs w:val="28"/>
          <w:spacing w:val="-4"/>
        </w:rPr>
        <w:t>息保护社会责任指南》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也正式立项。</w:t>
      </w:r>
    </w:p>
    <w:p>
      <w:pPr>
        <w:ind w:left="450" w:right="57" w:firstLine="560"/>
        <w:spacing w:before="42" w:line="40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6"/>
        </w:rPr>
        <w:t>最后，实践层面行业共识较高，披露意识和</w:t>
      </w:r>
      <w:r>
        <w:rPr>
          <w:rFonts w:ascii="FangSong" w:hAnsi="FangSong" w:eastAsia="FangSong" w:cs="FangSong"/>
          <w:sz w:val="28"/>
          <w:szCs w:val="28"/>
          <w:spacing w:val="-7"/>
        </w:rPr>
        <w:t>全面性表现较好。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一是</w:t>
      </w:r>
      <w:r>
        <w:rPr>
          <w:rFonts w:ascii="SimHei" w:hAnsi="SimHei" w:eastAsia="SimHei" w:cs="SimHei"/>
          <w:sz w:val="28"/>
          <w:szCs w:val="28"/>
          <w:spacing w:val="-6"/>
        </w:rPr>
        <w:t>个保主题整体披露率为</w:t>
      </w:r>
      <w:r>
        <w:rPr>
          <w:rFonts w:ascii="SimHei" w:hAnsi="SimHei" w:eastAsia="SimHei" w:cs="SimHei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71.43%</w:t>
      </w:r>
      <w:r>
        <w:rPr>
          <w:rFonts w:ascii="FangSong" w:hAnsi="FangSong" w:eastAsia="FangSong" w:cs="FangSong"/>
          <w:sz w:val="28"/>
          <w:szCs w:val="28"/>
          <w:spacing w:val="-6"/>
        </w:rPr>
        <w:t>（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见图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10</w:t>
      </w:r>
      <w:r>
        <w:rPr>
          <w:rFonts w:ascii="FangSong" w:hAnsi="FangSong" w:eastAsia="FangSong" w:cs="FangSong"/>
          <w:sz w:val="28"/>
          <w:szCs w:val="28"/>
          <w:spacing w:val="-30"/>
        </w:rPr>
        <w:t>），</w:t>
      </w:r>
      <w:r>
        <w:rPr>
          <w:rFonts w:ascii="FangSong" w:hAnsi="FangSong" w:eastAsia="FangSong" w:cs="FangSong"/>
          <w:sz w:val="28"/>
          <w:szCs w:val="28"/>
          <w:spacing w:val="-6"/>
        </w:rPr>
        <w:t>在行业特色主题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中排名第二，</w:t>
      </w:r>
      <w:r>
        <w:rPr>
          <w:rFonts w:ascii="FangSong" w:hAnsi="FangSong" w:eastAsia="FangSong" w:cs="FangSong"/>
          <w:sz w:val="28"/>
          <w:szCs w:val="28"/>
          <w:spacing w:val="-81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</w:t>
      </w:r>
      <w:r>
        <w:rPr>
          <w:rFonts w:ascii="SimHei" w:hAnsi="SimHei" w:eastAsia="SimHei" w:cs="SimHei"/>
          <w:sz w:val="28"/>
          <w:szCs w:val="28"/>
        </w:rPr>
        <w:t>仅内容提及”披露率由</w:t>
      </w:r>
      <w:r>
        <w:rPr>
          <w:rFonts w:ascii="SimHei" w:hAnsi="SimHei" w:eastAsia="SimHei" w:cs="SimHei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2021 </w:t>
      </w:r>
      <w:r>
        <w:rPr>
          <w:rFonts w:ascii="SimHei" w:hAnsi="SimHei" w:eastAsia="SimHei" w:cs="SimHei"/>
          <w:sz w:val="28"/>
          <w:szCs w:val="28"/>
        </w:rPr>
        <w:t>年</w:t>
      </w:r>
      <w:r>
        <w:rPr>
          <w:rFonts w:ascii="SimHei" w:hAnsi="SimHei" w:eastAsia="SimHei" w:cs="SimHei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40.63%</w:t>
      </w:r>
      <w:r>
        <w:rPr>
          <w:rFonts w:ascii="SimHei" w:hAnsi="SimHei" w:eastAsia="SimHei" w:cs="SimHei"/>
          <w:sz w:val="28"/>
          <w:szCs w:val="28"/>
        </w:rPr>
        <w:t>大幅降至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14.29%</w:t>
      </w:r>
      <w:r>
        <w:rPr>
          <w:rFonts w:ascii="FangSong" w:hAnsi="FangSong" w:eastAsia="FangSong" w:cs="FangSong"/>
          <w:sz w:val="28"/>
          <w:szCs w:val="28"/>
          <w:spacing w:val="-2"/>
        </w:rPr>
        <w:t>（见图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12</w:t>
      </w:r>
      <w:r>
        <w:rPr>
          <w:rFonts w:ascii="FangSong" w:hAnsi="FangSong" w:eastAsia="FangSong" w:cs="FangSong"/>
          <w:sz w:val="28"/>
          <w:szCs w:val="28"/>
          <w:spacing w:val="5"/>
        </w:rPr>
        <w:t>），</w:t>
      </w:r>
      <w:r>
        <w:rPr>
          <w:rFonts w:ascii="FangSong" w:hAnsi="FangSong" w:eastAsia="FangSong" w:cs="FangSong"/>
          <w:sz w:val="28"/>
          <w:szCs w:val="28"/>
          <w:spacing w:val="-2"/>
        </w:rPr>
        <w:t>说明信息披露的系统性也有了一定的进步；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二是</w:t>
      </w:r>
      <w:r>
        <w:rPr>
          <w:rFonts w:ascii="SimHei" w:hAnsi="SimHei" w:eastAsia="SimHei" w:cs="SimHei"/>
          <w:sz w:val="28"/>
          <w:szCs w:val="28"/>
          <w:spacing w:val="1"/>
        </w:rPr>
        <w:t>近三年行业内已发布该主题专项报告</w:t>
      </w:r>
      <w:r>
        <w:rPr>
          <w:rFonts w:ascii="FangSong" w:hAnsi="FangSong" w:eastAsia="FangSong" w:cs="FangSong"/>
          <w:sz w:val="28"/>
          <w:szCs w:val="28"/>
          <w:spacing w:val="1"/>
        </w:rPr>
        <w:t>，个保披露意识提</w:t>
      </w:r>
      <w:r>
        <w:rPr>
          <w:rFonts w:ascii="FangSong" w:hAnsi="FangSong" w:eastAsia="FangSong" w:cs="FangSong"/>
          <w:sz w:val="28"/>
          <w:szCs w:val="28"/>
        </w:rPr>
        <w:t>升显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著。</w:t>
      </w:r>
    </w:p>
    <w:p>
      <w:pPr>
        <w:ind w:left="1112"/>
        <w:spacing w:before="88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32" w:id="121"/>
      <w:bookmarkEnd w:id="121"/>
      <w:bookmarkStart w:name="bookmark31" w:id="122"/>
      <w:bookmarkEnd w:id="122"/>
      <w:r>
        <w:rPr>
          <w:rFonts w:ascii="KaiTi" w:hAnsi="KaiTi" w:eastAsia="KaiTi" w:cs="KaiTi"/>
          <w:sz w:val="31"/>
          <w:szCs w:val="31"/>
          <w:b/>
          <w:bCs/>
          <w:spacing w:val="6"/>
        </w:rPr>
        <w:t>（二）信息点披露仍需提升，组织治理差异较大</w:t>
      </w:r>
    </w:p>
    <w:p>
      <w:pPr>
        <w:ind w:left="436" w:right="74" w:firstLine="567"/>
        <w:spacing w:before="323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6"/>
        </w:rPr>
        <w:t>本报告参考《个人信息保护社会责任报告编写</w:t>
      </w:r>
      <w:r>
        <w:rPr>
          <w:rFonts w:ascii="FangSong" w:hAnsi="FangSong" w:eastAsia="FangSong" w:cs="FangSong"/>
          <w:sz w:val="28"/>
          <w:szCs w:val="28"/>
          <w:spacing w:val="-7"/>
        </w:rPr>
        <w:t>指南》（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T/TAF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179</w:t>
      </w:r>
      <w:r>
        <w:rPr>
          <w:rFonts w:ascii="FangSong" w:hAnsi="FangSong" w:eastAsia="FangSong" w:cs="FangSong"/>
          <w:sz w:val="28"/>
          <w:szCs w:val="28"/>
          <w:spacing w:val="-8"/>
        </w:rPr>
        <w:t>—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-3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5"/>
        </w:rPr>
        <w:t>），</w:t>
      </w:r>
      <w:r>
        <w:rPr>
          <w:rFonts w:ascii="FangSong" w:hAnsi="FangSong" w:eastAsia="FangSong" w:cs="FangSong"/>
          <w:sz w:val="28"/>
          <w:szCs w:val="28"/>
          <w:spacing w:val="-8"/>
        </w:rPr>
        <w:t>从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5 </w:t>
      </w:r>
      <w:r>
        <w:rPr>
          <w:rFonts w:ascii="FangSong" w:hAnsi="FangSong" w:eastAsia="FangSong" w:cs="FangSong"/>
          <w:sz w:val="28"/>
          <w:szCs w:val="28"/>
          <w:spacing w:val="-8"/>
        </w:rPr>
        <w:t>个维度、共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22 </w:t>
      </w:r>
      <w:r>
        <w:rPr>
          <w:rFonts w:ascii="FangSong" w:hAnsi="FangSong" w:eastAsia="FangSong" w:cs="FangSong"/>
          <w:sz w:val="28"/>
          <w:szCs w:val="28"/>
          <w:spacing w:val="-8"/>
        </w:rPr>
        <w:t>个关键信息披露点（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以下简称：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信息点）详细分析了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2022 </w:t>
      </w:r>
      <w:r>
        <w:rPr>
          <w:rFonts w:ascii="FangSong" w:hAnsi="FangSong" w:eastAsia="FangSong" w:cs="FangSong"/>
          <w:sz w:val="28"/>
          <w:szCs w:val="28"/>
          <w:spacing w:val="-1"/>
        </w:rPr>
        <w:t>年综合实力前百家互联网企业的可持续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FangSong" w:hAnsi="FangSong" w:eastAsia="FangSong" w:cs="FangSong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报告中个人信息保护、用户隐私保护</w:t>
      </w:r>
      <w:r>
        <w:rPr>
          <w:rFonts w:ascii="FangSong" w:hAnsi="FangSong" w:eastAsia="FangSong" w:cs="FangSong"/>
          <w:sz w:val="28"/>
          <w:szCs w:val="28"/>
          <w:spacing w:val="3"/>
        </w:rPr>
        <w:t>等相关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内容（如图</w:t>
      </w:r>
      <w:r>
        <w:rPr>
          <w:rFonts w:ascii="FangSong" w:hAnsi="FangSong" w:eastAsia="FangSong" w:cs="FangSong"/>
          <w:sz w:val="28"/>
          <w:szCs w:val="2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14</w:t>
      </w:r>
      <w:r>
        <w:rPr>
          <w:rFonts w:ascii="FangSong" w:hAnsi="FangSong" w:eastAsia="FangSong" w:cs="FangSong"/>
          <w:sz w:val="28"/>
          <w:szCs w:val="28"/>
          <w:spacing w:val="-4"/>
        </w:rPr>
        <w:t>）。</w:t>
      </w:r>
    </w:p>
    <w:p>
      <w:pPr>
        <w:ind w:left="442" w:right="138" w:firstLine="612"/>
        <w:spacing w:before="42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目前个保行业实践虽共识较高，但</w:t>
      </w:r>
      <w:r>
        <w:rPr>
          <w:rFonts w:ascii="SimHei" w:hAnsi="SimHei" w:eastAsia="SimHei" w:cs="SimHei"/>
          <w:sz w:val="28"/>
          <w:szCs w:val="28"/>
          <w:spacing w:val="-1"/>
        </w:rPr>
        <w:t>信息点披露情况仍有较大</w:t>
      </w:r>
      <w:r>
        <w:rPr>
          <w:rFonts w:ascii="SimHei" w:hAnsi="SimHei" w:eastAsia="SimHei" w:cs="SimHei"/>
          <w:sz w:val="28"/>
          <w:szCs w:val="28"/>
          <w:spacing w:val="10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4"/>
        </w:rPr>
        <w:t>提升空间</w:t>
      </w:r>
      <w:r>
        <w:rPr>
          <w:rFonts w:ascii="FangSong" w:hAnsi="FangSong" w:eastAsia="FangSong" w:cs="FangSong"/>
          <w:sz w:val="28"/>
          <w:szCs w:val="28"/>
          <w:spacing w:val="4"/>
        </w:rPr>
        <w:t>。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22 </w:t>
      </w:r>
      <w:r>
        <w:rPr>
          <w:rFonts w:ascii="FangSong" w:hAnsi="FangSong" w:eastAsia="FangSong" w:cs="FangSong"/>
          <w:sz w:val="28"/>
          <w:szCs w:val="28"/>
          <w:spacing w:val="4"/>
        </w:rPr>
        <w:t>个信息点的平均披露率仅为</w:t>
      </w:r>
      <w:r>
        <w:rPr>
          <w:rFonts w:ascii="FangSong" w:hAnsi="FangSong" w:eastAsia="FangSong" w:cs="FangSong"/>
          <w:sz w:val="28"/>
          <w:szCs w:val="28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39.67%</w:t>
      </w:r>
      <w:r>
        <w:rPr>
          <w:rFonts w:ascii="FangSong" w:hAnsi="FangSong" w:eastAsia="FangSong" w:cs="FangSong"/>
          <w:sz w:val="28"/>
          <w:szCs w:val="28"/>
          <w:spacing w:val="4"/>
        </w:rPr>
        <w:t>，披露率高于</w:t>
      </w:r>
    </w:p>
    <w:p>
      <w:pPr>
        <w:spacing w:line="396" w:lineRule="auto"/>
        <w:sectPr>
          <w:footerReference w:type="default" r:id="rId66"/>
          <w:pgSz w:w="11906" w:h="16839"/>
          <w:pgMar w:top="1134" w:right="1660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4" w:lineRule="auto"/>
        <w:rPr/>
      </w:pPr>
      <w:r/>
    </w:p>
    <w:p>
      <w:pPr>
        <w:ind w:left="448" w:right="112" w:hanging="2"/>
        <w:spacing w:before="91" w:line="37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25824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391143</wp:posOffset>
            </wp:positionV>
            <wp:extent cx="5192565" cy="7977335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60%</w:t>
      </w:r>
      <w:r>
        <w:rPr>
          <w:rFonts w:ascii="FangSong" w:hAnsi="FangSong" w:eastAsia="FangSong" w:cs="FangSong"/>
          <w:sz w:val="28"/>
          <w:szCs w:val="28"/>
          <w:spacing w:val="-3"/>
        </w:rPr>
        <w:t>的关键信息披露点仅为使命理念、内审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自评估及第三方评估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认证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审计，且消费者保护、生态圈及供应链发展两个维度的披露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率均不足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25%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，相关内容实质性和信息全面</w:t>
      </w:r>
      <w:r>
        <w:rPr>
          <w:rFonts w:ascii="FangSong" w:hAnsi="FangSong" w:eastAsia="FangSong" w:cs="FangSong"/>
          <w:sz w:val="28"/>
          <w:szCs w:val="28"/>
          <w:spacing w:val="-3"/>
        </w:rPr>
        <w:t>性较难保证。</w:t>
      </w:r>
    </w:p>
    <w:p>
      <w:pPr>
        <w:ind w:firstLine="666"/>
        <w:spacing w:line="3400" w:lineRule="exact"/>
        <w:rPr/>
      </w:pPr>
      <w:r>
        <w:rPr>
          <w:position w:val="-68"/>
        </w:rPr>
        <w:drawing>
          <wp:inline distT="0" distB="0" distL="0" distR="0">
            <wp:extent cx="4710683" cy="2159508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10683" cy="2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92"/>
        <w:spacing w:before="153" w:line="22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1805"/>
        <w:spacing w:before="208" w:line="221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99" w:id="123"/>
      <w:bookmarkEnd w:id="123"/>
      <w:r>
        <w:rPr>
          <w:rFonts w:ascii="FangSong" w:hAnsi="FangSong" w:eastAsia="FangSong" w:cs="FangSong"/>
          <w:sz w:val="24"/>
          <w:szCs w:val="24"/>
          <w:spacing w:val="-3"/>
        </w:rPr>
        <w:t>图</w:t>
      </w:r>
      <w:r>
        <w:rPr>
          <w:rFonts w:ascii="FangSong" w:hAnsi="FangSong" w:eastAsia="FangSong" w:cs="FangSong"/>
          <w:sz w:val="24"/>
          <w:szCs w:val="24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14  </w:t>
      </w:r>
      <w:r>
        <w:rPr>
          <w:rFonts w:ascii="FangSong" w:hAnsi="FangSong" w:eastAsia="FangSong" w:cs="FangSong"/>
          <w:sz w:val="24"/>
          <w:szCs w:val="24"/>
          <w:spacing w:val="-3"/>
        </w:rPr>
        <w:t>个人信息及用户隐私保护各信息点披露占比</w:t>
      </w:r>
    </w:p>
    <w:p>
      <w:pPr>
        <w:pStyle w:val="BodyText"/>
        <w:spacing w:line="427" w:lineRule="auto"/>
        <w:rPr/>
      </w:pPr>
      <w:r/>
    </w:p>
    <w:p>
      <w:pPr>
        <w:ind w:left="445" w:right="112" w:firstLine="558"/>
        <w:spacing w:before="92" w:line="405" w:lineRule="auto"/>
        <w:jc w:val="both"/>
        <w:rPr>
          <w:rFonts w:ascii="FangSong" w:hAnsi="FangSong" w:eastAsia="FangSong" w:cs="FangSong"/>
          <w:sz w:val="28"/>
          <w:szCs w:val="28"/>
        </w:rPr>
      </w:pPr>
      <w:bookmarkStart w:name="bookmark100" w:id="124"/>
      <w:bookmarkEnd w:id="124"/>
      <w:r>
        <w:rPr>
          <w:rFonts w:ascii="SimHei" w:hAnsi="SimHei" w:eastAsia="SimHei" w:cs="SimHei"/>
          <w:sz w:val="28"/>
          <w:szCs w:val="28"/>
          <w:spacing w:val="1"/>
        </w:rPr>
        <w:t>组织治理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维度关注企业层面对个人信息及用户隐私保护重视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程度，重点分析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“使命理念”“履责承诺”“管</w:t>
      </w:r>
      <w:r>
        <w:rPr>
          <w:rFonts w:ascii="FangSong" w:hAnsi="FangSong" w:eastAsia="FangSong" w:cs="FangSong"/>
          <w:sz w:val="28"/>
          <w:szCs w:val="28"/>
          <w:spacing w:val="-1"/>
        </w:rPr>
        <w:t>理职责及组织架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构”共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3 </w:t>
      </w:r>
      <w:r>
        <w:rPr>
          <w:rFonts w:ascii="FangSong" w:hAnsi="FangSong" w:eastAsia="FangSong" w:cs="FangSong"/>
          <w:sz w:val="28"/>
          <w:szCs w:val="28"/>
          <w:spacing w:val="1"/>
        </w:rPr>
        <w:t>个信息点的披露情况。整体看，组织治理</w:t>
      </w:r>
      <w:r>
        <w:rPr>
          <w:rFonts w:ascii="FangSong" w:hAnsi="FangSong" w:eastAsia="FangSong" w:cs="FangSong"/>
          <w:sz w:val="28"/>
          <w:szCs w:val="28"/>
        </w:rPr>
        <w:t>维度的信息披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露情况良莠不齐，既有披露率最高的信息点，又有排名较为靠后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的信息点。</w:t>
      </w:r>
    </w:p>
    <w:p>
      <w:pPr>
        <w:ind w:left="446" w:right="112" w:firstLine="577"/>
        <w:spacing w:before="44" w:line="40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5"/>
        </w:rPr>
        <w:t>“使命理念”作为个人信息及用户隐私保护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22 </w:t>
      </w:r>
      <w:r>
        <w:rPr>
          <w:rFonts w:ascii="FangSong" w:hAnsi="FangSong" w:eastAsia="FangSong" w:cs="FangSong"/>
          <w:sz w:val="28"/>
          <w:szCs w:val="28"/>
          <w:spacing w:val="-5"/>
        </w:rPr>
        <w:t>个信息点中披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露率最高的信息点（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75%</w:t>
      </w:r>
      <w:r>
        <w:rPr>
          <w:rFonts w:ascii="FangSong" w:hAnsi="FangSong" w:eastAsia="FangSong" w:cs="FangSong"/>
          <w:sz w:val="28"/>
          <w:szCs w:val="28"/>
          <w:spacing w:val="10"/>
        </w:rPr>
        <w:t>），</w:t>
      </w:r>
      <w:r>
        <w:rPr>
          <w:rFonts w:ascii="FangSong" w:hAnsi="FangSong" w:eastAsia="FangSong" w:cs="FangSong"/>
          <w:sz w:val="28"/>
          <w:szCs w:val="28"/>
          <w:spacing w:val="1"/>
        </w:rPr>
        <w:t>行业实践中</w:t>
      </w:r>
      <w:r>
        <w:rPr>
          <w:rFonts w:ascii="SimHei" w:hAnsi="SimHei" w:eastAsia="SimHei" w:cs="SimHei"/>
          <w:sz w:val="28"/>
          <w:szCs w:val="28"/>
          <w:spacing w:val="1"/>
        </w:rPr>
        <w:t>多以简</w:t>
      </w:r>
      <w:r>
        <w:rPr>
          <w:rFonts w:ascii="SimHei" w:hAnsi="SimHei" w:eastAsia="SimHei" w:cs="SimHei"/>
          <w:sz w:val="28"/>
          <w:szCs w:val="28"/>
        </w:rPr>
        <w:t>单的、宏观的、</w:t>
      </w:r>
      <w:r>
        <w:rPr>
          <w:rFonts w:ascii="SimHei" w:hAnsi="SimHei" w:eastAsia="SimHei" w:cs="SimHei"/>
          <w:sz w:val="28"/>
          <w:szCs w:val="28"/>
          <w:spacing w:val="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口号式的语言</w:t>
      </w:r>
      <w:r>
        <w:rPr>
          <w:rFonts w:ascii="FangSong" w:hAnsi="FangSong" w:eastAsia="FangSong" w:cs="FangSong"/>
          <w:sz w:val="28"/>
          <w:szCs w:val="28"/>
          <w:spacing w:val="1"/>
        </w:rPr>
        <w:t>呈现企业所制定并发布的相关战略、规划、方针、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愿景、使命、理念等。</w:t>
      </w:r>
    </w:p>
    <w:p>
      <w:pPr>
        <w:spacing w:line="37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1" w:hRule="atLeast"/>
        </w:trPr>
        <w:tc>
          <w:tcPr>
            <w:tcW w:w="8106" w:type="dxa"/>
            <w:vAlign w:val="top"/>
          </w:tcPr>
          <w:p>
            <w:pPr>
              <w:ind w:left="2369"/>
              <w:spacing w:before="177" w:line="216" w:lineRule="auto"/>
              <w:rPr>
                <w:rFonts w:ascii="FangSong" w:hAnsi="FangSong" w:eastAsia="FangSong" w:cs="FangSong"/>
                <w:sz w:val="28"/>
                <w:szCs w:val="28"/>
              </w:rPr>
            </w:pPr>
            <w:r>
              <w:rPr>
                <w:rFonts w:ascii="FangSong" w:hAnsi="FangSong" w:eastAsia="FangSong" w:cs="FangSong"/>
                <w:sz w:val="28"/>
                <w:szCs w:val="28"/>
                <w:b/>
                <w:bCs/>
                <w:spacing w:val="-5"/>
              </w:rPr>
              <w:t>案例</w:t>
            </w:r>
            <w:r>
              <w:rPr>
                <w:rFonts w:ascii="FangSong" w:hAnsi="FangSong" w:eastAsia="FangSong" w:cs="FangSong"/>
                <w:sz w:val="28"/>
                <w:szCs w:val="28"/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-5"/>
              </w:rPr>
              <w:t>1</w:t>
            </w:r>
            <w:r>
              <w:rPr>
                <w:rFonts w:ascii="FangSong" w:hAnsi="FangSong" w:eastAsia="FangSong" w:cs="FangSong"/>
                <w:sz w:val="28"/>
                <w:szCs w:val="28"/>
                <w:b/>
                <w:bCs/>
                <w:spacing w:val="-5"/>
              </w:rPr>
              <w:t>：组织治理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-5"/>
              </w:rPr>
              <w:t>-</w:t>
            </w:r>
            <w:r>
              <w:rPr>
                <w:rFonts w:ascii="FangSong" w:hAnsi="FangSong" w:eastAsia="FangSong" w:cs="FangSong"/>
                <w:sz w:val="28"/>
                <w:szCs w:val="28"/>
                <w:b/>
                <w:bCs/>
                <w:spacing w:val="-5"/>
              </w:rPr>
              <w:t>使命理念</w:t>
            </w:r>
          </w:p>
        </w:tc>
      </w:tr>
      <w:tr>
        <w:trPr>
          <w:trHeight w:val="639" w:hRule="atLeast"/>
        </w:trPr>
        <w:tc>
          <w:tcPr>
            <w:tcW w:w="8106" w:type="dxa"/>
            <w:vAlign w:val="top"/>
          </w:tcPr>
          <w:p>
            <w:pPr>
              <w:ind w:left="140"/>
              <w:spacing w:before="174" w:line="221" w:lineRule="auto"/>
              <w:rPr>
                <w:rFonts w:ascii="FangSong" w:hAnsi="FangSong" w:eastAsia="FangSong" w:cs="FangSong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4"/>
              </w:rPr>
              <w:t>1.   </w:t>
            </w:r>
            <w:r>
              <w:rPr>
                <w:rFonts w:ascii="SimHei" w:hAnsi="SimHei" w:eastAsia="SimHei" w:cs="SimHei"/>
                <w:sz w:val="28"/>
                <w:szCs w:val="28"/>
                <w:spacing w:val="-4"/>
              </w:rPr>
              <w:t>认可重要作用：</w:t>
            </w:r>
            <w:r>
              <w:rPr>
                <w:rFonts w:ascii="FangSong" w:hAnsi="FangSong" w:eastAsia="FangSong" w:cs="FangSong"/>
                <w:sz w:val="28"/>
                <w:szCs w:val="28"/>
                <w:spacing w:val="-4"/>
              </w:rPr>
              <w:t>保护用户数据隐私是创造安全和优质用户体验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67"/>
          <w:footerReference w:type="default" r:id="rId68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375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6" w:right="60" w:firstLine="20"/>
              <w:spacing w:before="178" w:line="397" w:lineRule="auto"/>
              <w:rPr/>
            </w:pPr>
            <w:r>
              <w:rPr>
                <w:spacing w:val="-3"/>
              </w:rPr>
              <w:t>的首要前提；隐私保护是数字时代信任的基</w:t>
            </w:r>
            <w:r>
              <w:rPr>
                <w:spacing w:val="-4"/>
              </w:rPr>
              <w:t>本前提，是用户、</w:t>
            </w:r>
            <w:r>
              <w:rPr/>
              <w:t xml:space="preserve"> </w:t>
            </w:r>
            <w:r>
              <w:rPr/>
              <w:t>客户和其他利益相关者最关注的议题之一</w:t>
            </w:r>
          </w:p>
          <w:p>
            <w:pPr>
              <w:pStyle w:val="TableText"/>
              <w:ind w:left="113"/>
              <w:spacing w:before="41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制定企业价值观：</w:t>
            </w:r>
            <w:r>
              <w:rPr>
                <w:spacing w:val="-3"/>
              </w:rPr>
              <w:t>秉持公开透明、合法必要、用户</w:t>
            </w:r>
            <w:r>
              <w:rPr>
                <w:spacing w:val="-4"/>
              </w:rPr>
              <w:t>可控、安全</w:t>
            </w:r>
          </w:p>
          <w:p>
            <w:pPr>
              <w:pStyle w:val="TableText"/>
              <w:ind w:left="561"/>
              <w:spacing w:before="289" w:line="216" w:lineRule="auto"/>
              <w:rPr/>
            </w:pPr>
            <w:r>
              <w:rPr>
                <w:spacing w:val="-2"/>
              </w:rPr>
              <w:t>至上、持续保护隐私的保护价值观</w:t>
            </w:r>
          </w:p>
          <w:p>
            <w:pPr>
              <w:pStyle w:val="TableText"/>
              <w:ind w:left="119"/>
              <w:spacing w:before="293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构建个保方针：</w:t>
            </w:r>
            <w:r>
              <w:rPr>
                <w:spacing w:val="-3"/>
              </w:rPr>
              <w:t>严格遵守全球适用的法律</w:t>
            </w:r>
            <w:r>
              <w:rPr>
                <w:spacing w:val="-4"/>
              </w:rPr>
              <w:t>法规，构建自身的数</w:t>
            </w:r>
          </w:p>
          <w:p>
            <w:pPr>
              <w:pStyle w:val="TableText"/>
              <w:ind w:left="546"/>
              <w:spacing w:before="290" w:line="216" w:lineRule="auto"/>
              <w:rPr/>
            </w:pPr>
            <w:r>
              <w:rPr>
                <w:spacing w:val="-2"/>
              </w:rPr>
              <w:t>据安全和隐私保护治理体系</w:t>
            </w:r>
          </w:p>
        </w:tc>
      </w:tr>
    </w:tbl>
    <w:p>
      <w:pPr>
        <w:ind w:left="434" w:right="37" w:firstLine="588"/>
        <w:spacing w:before="324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“履责承诺”作为组织治理维度中披露率最低的信息点，仅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有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20.45%</w:t>
      </w:r>
      <w:r>
        <w:rPr>
          <w:rFonts w:ascii="FangSong" w:hAnsi="FangSong" w:eastAsia="FangSong" w:cs="FangSong"/>
          <w:sz w:val="28"/>
          <w:szCs w:val="28"/>
          <w:spacing w:val="-4"/>
        </w:rPr>
        <w:t>企业在</w:t>
      </w:r>
      <w:r>
        <w:rPr>
          <w:rFonts w:ascii="FangSong" w:hAnsi="FangSong" w:eastAsia="FangSong" w:cs="FangSong"/>
          <w:sz w:val="28"/>
          <w:szCs w:val="28"/>
          <w:spacing w:val="-10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“管理层致辞”“高管声明”中提及了</w:t>
      </w:r>
      <w:r>
        <w:rPr>
          <w:rFonts w:ascii="FangSong" w:hAnsi="FangSong" w:eastAsia="FangSong" w:cs="FangSong"/>
          <w:sz w:val="28"/>
          <w:szCs w:val="28"/>
          <w:spacing w:val="-10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“个人信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息保护”“用户隐私”等内容。虽该信息点的披露难度较低，但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披露情况较差，原因在于一是部分中小企业可持续发展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社会责任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>/ESG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0"/>
        </w:rPr>
        <w:t>报告缺乏整体“履责承诺”；二是可持续发展核心主题较多，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最高管理层的承诺并未提及该主题，重视程度存在不足；三是报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告周期内部分企业在该主题并未涌现较为亮眼的成果，从而缺失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了对应的履责承诺。</w:t>
      </w:r>
    </w:p>
    <w:p>
      <w:pPr>
        <w:ind w:left="436" w:right="112" w:firstLine="586"/>
        <w:spacing w:before="43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“管理职责及组织架构”作为组织治理维度中披露率居中的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信息点，不同于</w:t>
      </w:r>
      <w:r>
        <w:rPr>
          <w:rFonts w:ascii="FangSong" w:hAnsi="FangSong" w:eastAsia="FangSong" w:cs="FangSong"/>
          <w:sz w:val="28"/>
          <w:szCs w:val="28"/>
          <w:spacing w:val="-8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“使命理念”和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“履责承诺”，需要企业实际成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立相关的组织架构，更能体现企业在个人信息及用户隐私保护方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面的管理能力和实践积累。当前，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50%</w:t>
      </w:r>
      <w:r>
        <w:rPr>
          <w:rFonts w:ascii="FangSong" w:hAnsi="FangSong" w:eastAsia="FangSong" w:cs="FangSong"/>
          <w:sz w:val="28"/>
          <w:szCs w:val="28"/>
          <w:spacing w:val="3"/>
        </w:rPr>
        <w:t>报告披露了董事会（适用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时）、管理层、执行层、独立监督机构等组织架构、管理职责及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岗位分工，披露情况表现较好。</w:t>
      </w:r>
    </w:p>
    <w:p>
      <w:pPr>
        <w:spacing w:line="407" w:lineRule="auto"/>
        <w:sectPr>
          <w:headerReference w:type="default" r:id="rId70"/>
          <w:footerReference w:type="default" r:id="rId71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666"/>
              <w:spacing w:before="177" w:line="218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2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管理职责及组织架构</w:t>
            </w:r>
          </w:p>
        </w:tc>
      </w:tr>
      <w:tr>
        <w:trPr>
          <w:trHeight w:val="1217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1" w:right="106" w:hanging="401"/>
              <w:spacing w:before="169" w:line="403" w:lineRule="auto"/>
              <w:rPr/>
            </w:pPr>
            <w:r>
              <w:drawing>
                <wp:anchor distT="0" distB="0" distL="0" distR="0" simplePos="0" relativeHeight="251729920" behindDoc="0" locked="0" layoutInCell="1" allowOverlap="1">
                  <wp:simplePos x="0" y="0"/>
                  <wp:positionH relativeFrom="column">
                    <wp:posOffset>-157374</wp:posOffset>
                  </wp:positionH>
                  <wp:positionV relativeFrom="paragraph">
                    <wp:posOffset>32855</wp:posOffset>
                  </wp:positionV>
                  <wp:extent cx="5192565" cy="7977335"/>
                  <wp:effectExtent l="0" t="0" r="0" b="0"/>
                  <wp:wrapNone/>
                  <wp:docPr id="66" name="IM 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" name="IM 6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92565" cy="797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eastAsia="Times New Roman" w:cs="Times New Roman"/>
                <w:spacing w:val="-1"/>
              </w:rPr>
              <w:t>1.   </w:t>
            </w:r>
            <w:r>
              <w:rPr>
                <w:rFonts w:ascii="SimHei" w:hAnsi="SimHei" w:eastAsia="SimHei" w:cs="SimHei"/>
                <w:spacing w:val="-1"/>
              </w:rPr>
              <w:t>构建委员会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</w:t>
            </w:r>
            <w:r>
              <w:rPr>
                <w:rFonts w:ascii="SimHei" w:hAnsi="SimHei" w:eastAsia="SimHei" w:cs="SimHei"/>
                <w:spacing w:val="-1"/>
              </w:rPr>
              <w:t>专班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</w:t>
            </w:r>
            <w:r>
              <w:rPr>
                <w:rFonts w:ascii="SimHei" w:hAnsi="SimHei" w:eastAsia="SimHei" w:cs="SimHei"/>
                <w:spacing w:val="-1"/>
              </w:rPr>
              <w:t>工作组等组织架构，同</w:t>
            </w:r>
            <w:r>
              <w:rPr>
                <w:rFonts w:ascii="SimHei" w:hAnsi="SimHei" w:eastAsia="SimHei" w:cs="SimHei"/>
                <w:spacing w:val="-2"/>
              </w:rPr>
              <w:t>时涉及最高决策层、</w:t>
            </w:r>
            <w:r>
              <w:rPr>
                <w:rFonts w:ascii="SimHei" w:hAnsi="SimHei" w:eastAsia="SimHei" w:cs="SimHei"/>
              </w:rPr>
              <w:t xml:space="preserve"> </w:t>
            </w:r>
            <w:r>
              <w:rPr>
                <w:rFonts w:ascii="SimHei" w:hAnsi="SimHei" w:eastAsia="SimHei" w:cs="SimHei"/>
                <w:spacing w:val="-4"/>
              </w:rPr>
              <w:t>业务层、执行层等多层次：</w:t>
            </w:r>
            <w:r>
              <w:rPr>
                <w:spacing w:val="-4"/>
              </w:rPr>
              <w:t>设立安全与风控委员会，是信</w:t>
            </w:r>
            <w:r>
              <w:rPr>
                <w:spacing w:val="-5"/>
              </w:rPr>
              <w:t>息安</w:t>
            </w:r>
            <w:r>
              <w:rPr/>
              <w:t xml:space="preserve"> </w:t>
            </w:r>
            <w:r>
              <w:rPr>
                <w:spacing w:val="-5"/>
              </w:rPr>
              <w:t>全与隐私保护的最高管理机构，由首席合规官（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CCO</w:t>
            </w:r>
            <w:r>
              <w:rPr>
                <w:spacing w:val="-5"/>
              </w:rPr>
              <w:t>）担任负</w:t>
            </w:r>
            <w:r>
              <w:rPr>
                <w:spacing w:val="15"/>
              </w:rPr>
              <w:t xml:space="preserve"> </w:t>
            </w:r>
            <w:r>
              <w:rPr>
                <w:spacing w:val="-4"/>
              </w:rPr>
              <w:t>责人，各业务技术副总裁担任委员；安全与风控委员会下</w:t>
            </w:r>
            <w:r>
              <w:rPr>
                <w:spacing w:val="-5"/>
              </w:rPr>
              <w:t>设数</w:t>
            </w:r>
            <w:r>
              <w:rPr/>
              <w:t xml:space="preserve"> </w:t>
            </w:r>
            <w:r>
              <w:rPr>
                <w:spacing w:val="-1"/>
              </w:rPr>
              <w:t>据安全隐私合规工作组与安全执行工作小组</w:t>
            </w:r>
          </w:p>
          <w:p>
            <w:pPr>
              <w:ind w:firstLine="1051"/>
              <w:spacing w:line="2591" w:lineRule="exact"/>
              <w:rPr/>
            </w:pPr>
            <w:r>
              <w:rPr>
                <w:position w:val="-51"/>
              </w:rPr>
              <w:drawing>
                <wp:inline distT="0" distB="0" distL="0" distR="0">
                  <wp:extent cx="3810000" cy="1645919"/>
                  <wp:effectExtent l="0" t="0" r="0" b="0"/>
                  <wp:docPr id="68" name="IM 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" name="IM 6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10000" cy="164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547" w:right="106" w:hanging="434"/>
              <w:spacing w:before="280" w:line="406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设置岗位职责、绩效考核和汇报频次：</w:t>
            </w:r>
            <w:r>
              <w:rPr>
                <w:spacing w:val="-3"/>
              </w:rPr>
              <w:t>安全与风控</w:t>
            </w:r>
            <w:r>
              <w:rPr>
                <w:spacing w:val="-4"/>
              </w:rPr>
              <w:t>委员会定期</w:t>
            </w:r>
            <w:r>
              <w:rPr/>
              <w:t xml:space="preserve"> </w:t>
            </w:r>
            <w:r>
              <w:rPr>
                <w:spacing w:val="-4"/>
              </w:rPr>
              <w:t>向董事会和战略执行委员会汇报工作；信息安</w:t>
            </w:r>
            <w:r>
              <w:rPr>
                <w:spacing w:val="-5"/>
              </w:rPr>
              <w:t>全部负责日常运</w:t>
            </w:r>
            <w:r>
              <w:rPr/>
              <w:t xml:space="preserve"> </w:t>
            </w:r>
            <w:r>
              <w:rPr>
                <w:spacing w:val="-4"/>
              </w:rPr>
              <w:t>营工作，每月召集委员召开例会审议重大事项</w:t>
            </w:r>
            <w:r>
              <w:rPr>
                <w:spacing w:val="-5"/>
              </w:rPr>
              <w:t>，并定期向董事</w:t>
            </w:r>
            <w:r>
              <w:rPr/>
              <w:t xml:space="preserve"> </w:t>
            </w:r>
            <w:r>
              <w:rPr>
                <w:spacing w:val="3"/>
              </w:rPr>
              <w:t>会和战略执行委员会汇报；在各事业部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项目部指定数据安全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员，负责本事业部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</w:t>
            </w:r>
            <w:r>
              <w:rPr>
                <w:spacing w:val="-1"/>
              </w:rPr>
              <w:t>项目部数据安全及合规事宜</w:t>
            </w:r>
          </w:p>
          <w:p>
            <w:pPr>
              <w:pStyle w:val="TableText"/>
              <w:ind w:left="538" w:right="72" w:hanging="419"/>
              <w:spacing w:before="43" w:line="388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3.   </w:t>
            </w:r>
            <w:r>
              <w:rPr>
                <w:rFonts w:ascii="SimHei" w:hAnsi="SimHei" w:eastAsia="SimHei" w:cs="SimHei"/>
                <w:spacing w:val="6"/>
              </w:rPr>
              <w:t>设立由外部利益相关方组成的管</w:t>
            </w:r>
            <w:r>
              <w:rPr>
                <w:rFonts w:ascii="SimHei" w:hAnsi="SimHei" w:eastAsia="SimHei" w:cs="SimHei"/>
                <w:spacing w:val="5"/>
              </w:rPr>
              <w:t>理或研究机构履行监督建议</w:t>
            </w:r>
            <w:r>
              <w:rPr>
                <w:rFonts w:ascii="SimHei" w:hAnsi="SimHei" w:eastAsia="SimHei" w:cs="SimHei"/>
              </w:rPr>
              <w:t xml:space="preserve"> </w:t>
            </w:r>
            <w:r>
              <w:rPr>
                <w:rFonts w:ascii="SimHei" w:hAnsi="SimHei" w:eastAsia="SimHei" w:cs="SimHei"/>
                <w:spacing w:val="6"/>
              </w:rPr>
              <w:t>职责：</w:t>
            </w:r>
            <w:r>
              <w:rPr>
                <w:spacing w:val="6"/>
              </w:rPr>
              <w:t>设立了由外部专家组成的个人信息保护监督委员会及</w:t>
            </w:r>
            <w:r>
              <w:rPr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</w:rPr>
              <w:t>ESG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</w:rPr>
              <w:t xml:space="preserve"> </w:t>
            </w:r>
            <w:r>
              <w:rPr>
                <w:spacing w:val="-6"/>
              </w:rPr>
              <w:t>可持续发展顾问委员会，作为独立机构对集团个人信息保</w:t>
            </w:r>
            <w:r>
              <w:rPr/>
              <w:t xml:space="preserve"> </w:t>
            </w:r>
            <w:r>
              <w:rPr>
                <w:spacing w:val="-3"/>
              </w:rPr>
              <w:t>护情况进行监督；成立数据算法及个人信息保护的研究组织，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积极沟通交流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67"/>
          <w:footerReference w:type="default" r:id="rId72"/>
          <w:pgSz w:w="11906" w:h="16839"/>
          <w:pgMar w:top="1134" w:right="1687" w:bottom="1156" w:left="1785" w:header="862" w:footer="994" w:gutter="0"/>
        </w:sectPr>
        <w:rPr/>
      </w:pPr>
    </w:p>
    <w:p>
      <w:pPr>
        <w:pStyle w:val="BodyText"/>
        <w:spacing w:line="355" w:lineRule="auto"/>
        <w:rPr/>
      </w:pPr>
      <w:r/>
    </w:p>
    <w:p>
      <w:pPr>
        <w:ind w:left="1112"/>
        <w:spacing w:before="101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34" w:id="125"/>
      <w:bookmarkEnd w:id="125"/>
      <w:bookmarkStart w:name="bookmark33" w:id="126"/>
      <w:bookmarkEnd w:id="126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（三）管理欠缺制度数据，行业实践亟需转化</w:t>
      </w:r>
    </w:p>
    <w:p>
      <w:pPr>
        <w:ind w:left="445" w:right="63" w:firstLine="558"/>
        <w:spacing w:before="322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组织管理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维度关注企业对个人信息及用户隐私保护的实质性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管理水平，该部分内容需要一定的实践工作作为信息披露基础，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重点分析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“个人信息管理情况”“合规要求识别</w:t>
      </w:r>
      <w:r>
        <w:rPr>
          <w:rFonts w:ascii="FangSong" w:hAnsi="FangSong" w:eastAsia="FangSong" w:cs="FangSong"/>
          <w:sz w:val="28"/>
          <w:szCs w:val="28"/>
          <w:spacing w:val="-1"/>
        </w:rPr>
        <w:t>及落实”“事件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处置、应急响应及预警演练”“</w:t>
      </w:r>
      <w:r>
        <w:rPr>
          <w:rFonts w:ascii="FangSong" w:hAnsi="FangSong" w:eastAsia="FangSong" w:cs="FangSong"/>
          <w:sz w:val="28"/>
          <w:szCs w:val="28"/>
          <w:spacing w:val="-8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内审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FangSong" w:hAnsi="FangSong" w:eastAsia="FangSong" w:cs="FangSong"/>
          <w:sz w:val="28"/>
          <w:szCs w:val="28"/>
          <w:spacing w:val="1"/>
        </w:rPr>
        <w:t>自评估及第三方评估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/</w:t>
      </w:r>
      <w:r>
        <w:rPr>
          <w:rFonts w:ascii="FangSong" w:hAnsi="FangSong" w:eastAsia="FangSong" w:cs="FangSong"/>
          <w:sz w:val="28"/>
          <w:szCs w:val="28"/>
        </w:rPr>
        <w:t>认证</w:t>
      </w:r>
      <w:r>
        <w:rPr>
          <w:rFonts w:ascii="Times New Roman" w:hAnsi="Times New Roman" w:eastAsia="Times New Roman" w:cs="Times New Roman"/>
          <w:sz w:val="28"/>
          <w:szCs w:val="28"/>
        </w:rPr>
        <w:t>/  </w:t>
      </w:r>
      <w:r>
        <w:rPr>
          <w:rFonts w:ascii="FangSong" w:hAnsi="FangSong" w:eastAsia="FangSong" w:cs="FangSong"/>
          <w:sz w:val="28"/>
          <w:szCs w:val="28"/>
          <w:spacing w:val="-5"/>
        </w:rPr>
        <w:t>审计”和</w:t>
      </w:r>
      <w:r>
        <w:rPr>
          <w:rFonts w:ascii="FangSong" w:hAnsi="FangSong" w:eastAsia="FangSong" w:cs="FangSong"/>
          <w:sz w:val="28"/>
          <w:szCs w:val="28"/>
          <w:spacing w:val="-10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“</w:t>
      </w:r>
      <w:r>
        <w:rPr>
          <w:rFonts w:ascii="FangSong" w:hAnsi="FangSong" w:eastAsia="FangSong" w:cs="FangSong"/>
          <w:sz w:val="28"/>
          <w:szCs w:val="28"/>
          <w:spacing w:val="-8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内部意识提升及教育培训”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5 </w:t>
      </w:r>
      <w:r>
        <w:rPr>
          <w:rFonts w:ascii="FangSong" w:hAnsi="FangSong" w:eastAsia="FangSong" w:cs="FangSong"/>
          <w:sz w:val="28"/>
          <w:szCs w:val="28"/>
          <w:spacing w:val="-5"/>
        </w:rPr>
        <w:t>个方面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10 </w:t>
      </w:r>
      <w:r>
        <w:rPr>
          <w:rFonts w:ascii="FangSong" w:hAnsi="FangSong" w:eastAsia="FangSong" w:cs="FangSong"/>
          <w:sz w:val="28"/>
          <w:szCs w:val="28"/>
          <w:spacing w:val="-5"/>
        </w:rPr>
        <w:t>个信息点的披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露情况。整体看，组织管理维度的信息披露情况与其他维度相比，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披露率表现较好，但具体制度、数据、案例层面仍有一定提升空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间。</w:t>
      </w:r>
    </w:p>
    <w:p>
      <w:pPr>
        <w:ind w:left="439" w:right="138" w:firstLine="583"/>
        <w:spacing w:before="44" w:line="40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“个人信息管理情况”作为个保主题中最集中、最核心的信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息点集合，涉及到</w:t>
      </w:r>
      <w:r>
        <w:rPr>
          <w:rFonts w:ascii="SimHei" w:hAnsi="SimHei" w:eastAsia="SimHei" w:cs="SimHei"/>
          <w:sz w:val="28"/>
          <w:szCs w:val="28"/>
          <w:spacing w:val="1"/>
        </w:rPr>
        <w:t>个人信息管理的全流程，</w:t>
      </w:r>
      <w:r>
        <w:rPr>
          <w:rFonts w:ascii="FangSong" w:hAnsi="FangSong" w:eastAsia="FangSong" w:cs="FangSong"/>
          <w:sz w:val="28"/>
          <w:szCs w:val="28"/>
          <w:spacing w:val="1"/>
        </w:rPr>
        <w:t>包括收集、存储（存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储、备份、恢复）、使用（访问控制、使用）、加工、传输、提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供、公开和删除（删除、留存）等各阶段。</w:t>
      </w:r>
    </w:p>
    <w:p>
      <w:pPr>
        <w:ind w:left="443" w:firstLine="610"/>
        <w:spacing w:before="52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目前，互联网行业在该部分的信息披露实践良莠不齐。一是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2"/>
        </w:rPr>
        <w:t>多数中小型企业</w:t>
      </w:r>
      <w:r>
        <w:rPr>
          <w:rFonts w:ascii="SimHei" w:hAnsi="SimHei" w:eastAsia="SimHei" w:cs="SimHei"/>
          <w:sz w:val="28"/>
          <w:szCs w:val="28"/>
          <w:spacing w:val="2"/>
        </w:rPr>
        <w:t>仅通过简单一段话阐明个人信息管理全部情况</w:t>
      </w:r>
      <w:r>
        <w:rPr>
          <w:rFonts w:ascii="FangSong" w:hAnsi="FangSong" w:eastAsia="FangSong" w:cs="FangSong"/>
          <w:sz w:val="28"/>
          <w:szCs w:val="28"/>
          <w:spacing w:val="2"/>
        </w:rPr>
        <w:t>，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如：企业建立了一套涵盖个人信息收集、存储、使用、传输等全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生命周期的隐私信息安全管理体系，为用户隐私信息保驾护航；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4"/>
        </w:rPr>
        <w:t>二是各阶段披露情况并不平衡，通常</w:t>
      </w:r>
      <w:r>
        <w:rPr>
          <w:rFonts w:ascii="SimHei" w:hAnsi="SimHei" w:eastAsia="SimHei" w:cs="SimHei"/>
          <w:sz w:val="28"/>
          <w:szCs w:val="28"/>
          <w:spacing w:val="-4"/>
        </w:rPr>
        <w:t>更关注收集阶段</w:t>
      </w:r>
      <w:r>
        <w:rPr>
          <w:rFonts w:ascii="FangSong" w:hAnsi="FangSong" w:eastAsia="FangSong" w:cs="FangSong"/>
          <w:sz w:val="28"/>
          <w:szCs w:val="28"/>
          <w:spacing w:val="-4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59.09%</w:t>
      </w:r>
      <w:r>
        <w:rPr>
          <w:rFonts w:ascii="FangSong" w:hAnsi="FangSong" w:eastAsia="FangSong" w:cs="FangSong"/>
          <w:sz w:val="28"/>
          <w:szCs w:val="28"/>
          <w:spacing w:val="-4"/>
        </w:rPr>
        <w:t>）</w:t>
      </w:r>
      <w:r>
        <w:rPr>
          <w:rFonts w:ascii="SimHei" w:hAnsi="SimHei" w:eastAsia="SimHei" w:cs="SimHei"/>
          <w:sz w:val="28"/>
          <w:szCs w:val="28"/>
          <w:spacing w:val="-4"/>
        </w:rPr>
        <w:t>、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5"/>
        </w:rPr>
        <w:t>使用阶段</w:t>
      </w:r>
      <w:r>
        <w:rPr>
          <w:rFonts w:ascii="FangSong" w:hAnsi="FangSong" w:eastAsia="FangSong" w:cs="FangSong"/>
          <w:sz w:val="28"/>
          <w:szCs w:val="28"/>
          <w:spacing w:val="-15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>54.55%</w:t>
      </w:r>
      <w:r>
        <w:rPr>
          <w:rFonts w:ascii="FangSong" w:hAnsi="FangSong" w:eastAsia="FangSong" w:cs="FangSong"/>
          <w:sz w:val="28"/>
          <w:szCs w:val="28"/>
          <w:spacing w:val="-76"/>
          <w:w w:val="97"/>
        </w:rPr>
        <w:t>），</w:t>
      </w:r>
      <w:r>
        <w:rPr>
          <w:rFonts w:ascii="FangSong" w:hAnsi="FangSong" w:eastAsia="FangSong" w:cs="FangSong"/>
          <w:sz w:val="28"/>
          <w:szCs w:val="28"/>
          <w:spacing w:val="-15"/>
        </w:rPr>
        <w:t>而对加工阶段（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>34.09%</w:t>
      </w:r>
      <w:r>
        <w:rPr>
          <w:rFonts w:ascii="FangSong" w:hAnsi="FangSong" w:eastAsia="FangSong" w:cs="FangSong"/>
          <w:sz w:val="28"/>
          <w:szCs w:val="28"/>
          <w:spacing w:val="-15"/>
        </w:rPr>
        <w:t>）、删除阶段（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>43.18%</w:t>
      </w:r>
      <w:r>
        <w:rPr>
          <w:rFonts w:ascii="FangSong" w:hAnsi="FangSong" w:eastAsia="FangSong" w:cs="FangSong"/>
          <w:sz w:val="28"/>
          <w:szCs w:val="28"/>
          <w:spacing w:val="-15"/>
        </w:rPr>
        <w:t>）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等披露较弱；三是企业多披露原则性内容，而</w:t>
      </w:r>
      <w:r>
        <w:rPr>
          <w:rFonts w:ascii="SimHei" w:hAnsi="SimHei" w:eastAsia="SimHei" w:cs="SimHei"/>
          <w:sz w:val="28"/>
          <w:szCs w:val="28"/>
          <w:spacing w:val="-4"/>
        </w:rPr>
        <w:t>较少披露管理制度、</w:t>
      </w:r>
      <w:r>
        <w:rPr>
          <w:rFonts w:ascii="SimHei" w:hAnsi="SimHei" w:eastAsia="SimHei" w:cs="SimHei"/>
          <w:sz w:val="28"/>
          <w:szCs w:val="28"/>
          <w:spacing w:val="10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数据指标等更为实质性内容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</w:p>
    <w:p>
      <w:pPr>
        <w:spacing w:line="408" w:lineRule="auto"/>
        <w:sectPr>
          <w:headerReference w:type="default" r:id="rId64"/>
          <w:footerReference w:type="default" r:id="rId74"/>
          <w:pgSz w:w="11906" w:h="16839"/>
          <w:pgMar w:top="1134" w:right="1660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807"/>
              <w:spacing w:before="178" w:line="217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3</w:t>
            </w:r>
            <w:r>
              <w:rPr>
                <w:b/>
                <w:bCs/>
                <w:spacing w:val="-4"/>
              </w:rPr>
              <w:t>：组织管理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个人信息管理情况</w:t>
            </w:r>
          </w:p>
        </w:tc>
      </w:tr>
      <w:tr>
        <w:trPr>
          <w:trHeight w:val="6245" w:hRule="atLeast"/>
        </w:trPr>
        <w:tc>
          <w:tcPr>
            <w:tcW w:w="8106" w:type="dxa"/>
            <w:vAlign w:val="top"/>
          </w:tcPr>
          <w:p>
            <w:pPr>
              <w:pStyle w:val="TableText"/>
              <w:spacing w:before="172" w:line="221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10"/>
              </w:rPr>
              <w:t>1.   </w:t>
            </w:r>
            <w:r>
              <w:rPr>
                <w:rFonts w:ascii="SimHei" w:hAnsi="SimHei" w:eastAsia="SimHei" w:cs="SimHei"/>
                <w:spacing w:val="-10"/>
              </w:rPr>
              <w:t>收集阶段：</w:t>
            </w:r>
            <w:r>
              <w:rPr>
                <w:spacing w:val="-10"/>
              </w:rPr>
              <w:t>最小必要原则、个人信息主体自主意愿、明示告知、</w:t>
            </w:r>
          </w:p>
          <w:p>
            <w:pPr>
              <w:pStyle w:val="TableText"/>
              <w:ind w:left="549"/>
              <w:spacing w:before="290" w:line="217" w:lineRule="auto"/>
              <w:rPr/>
            </w:pPr>
            <w:r>
              <w:rPr>
                <w:spacing w:val="-2"/>
              </w:rPr>
              <w:t>获取个人信息主体授权同意等</w:t>
            </w:r>
          </w:p>
          <w:p>
            <w:pPr>
              <w:pStyle w:val="TableText"/>
              <w:ind w:left="113"/>
              <w:spacing w:before="293" w:line="219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存储阶段：</w:t>
            </w:r>
            <w:r>
              <w:rPr>
                <w:spacing w:val="-3"/>
              </w:rPr>
              <w:t>最小化存储时间原则、去标识化、敏感</w:t>
            </w:r>
            <w:r>
              <w:rPr>
                <w:spacing w:val="-4"/>
              </w:rPr>
              <w:t>个人信息加</w:t>
            </w:r>
          </w:p>
          <w:p>
            <w:pPr>
              <w:pStyle w:val="TableText"/>
              <w:ind w:left="565"/>
              <w:spacing w:before="293" w:line="215" w:lineRule="auto"/>
              <w:rPr/>
            </w:pPr>
            <w:r>
              <w:rPr>
                <w:spacing w:val="-8"/>
              </w:rPr>
              <w:t>密存储等</w:t>
            </w:r>
          </w:p>
          <w:p>
            <w:pPr>
              <w:pStyle w:val="TableText"/>
              <w:ind w:left="119"/>
              <w:spacing w:before="297" w:line="219" w:lineRule="auto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3.   </w:t>
            </w:r>
            <w:r>
              <w:rPr>
                <w:rFonts w:ascii="SimHei" w:hAnsi="SimHei" w:eastAsia="SimHei" w:cs="SimHei"/>
                <w:spacing w:val="-1"/>
              </w:rPr>
              <w:t>使用阶段：</w:t>
            </w:r>
            <w:r>
              <w:rPr>
                <w:spacing w:val="-1"/>
              </w:rPr>
              <w:t>个性化展示、自动化决策等</w:t>
            </w:r>
          </w:p>
          <w:p>
            <w:pPr>
              <w:pStyle w:val="TableText"/>
              <w:ind w:left="112"/>
              <w:spacing w:before="291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4.   </w:t>
            </w:r>
            <w:r>
              <w:rPr>
                <w:rFonts w:ascii="SimHei" w:hAnsi="SimHei" w:eastAsia="SimHei" w:cs="SimHei"/>
                <w:spacing w:val="-3"/>
              </w:rPr>
              <w:t>加工阶段：</w:t>
            </w:r>
            <w:r>
              <w:rPr>
                <w:spacing w:val="-3"/>
              </w:rPr>
              <w:t>保证个人信息不被无关的利益相关方获知、如</w:t>
            </w:r>
            <w:r>
              <w:rPr>
                <w:spacing w:val="-4"/>
              </w:rPr>
              <w:t>实告</w:t>
            </w:r>
          </w:p>
          <w:p>
            <w:pPr>
              <w:pStyle w:val="TableText"/>
              <w:ind w:left="546"/>
              <w:spacing w:before="290" w:line="216" w:lineRule="auto"/>
              <w:rPr/>
            </w:pPr>
            <w:r>
              <w:rPr>
                <w:spacing w:val="-1"/>
              </w:rPr>
              <w:t>知个人信息主体对其个人信息的查询等</w:t>
            </w:r>
          </w:p>
          <w:p>
            <w:pPr>
              <w:pStyle w:val="TableText"/>
              <w:ind w:left="121"/>
              <w:spacing w:before="297" w:line="219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5.   </w:t>
            </w:r>
            <w:r>
              <w:rPr>
                <w:rFonts w:ascii="SimHei" w:hAnsi="SimHei" w:eastAsia="SimHei" w:cs="SimHei"/>
                <w:spacing w:val="-3"/>
              </w:rPr>
              <w:t>传输、提供和公开阶段：</w:t>
            </w:r>
            <w:r>
              <w:rPr>
                <w:spacing w:val="-3"/>
              </w:rPr>
              <w:t>个人信息</w:t>
            </w:r>
            <w:r>
              <w:rPr>
                <w:spacing w:val="-4"/>
              </w:rPr>
              <w:t>影响评估、明示告知、传输</w:t>
            </w:r>
          </w:p>
          <w:p>
            <w:pPr>
              <w:pStyle w:val="TableText"/>
              <w:ind w:left="551"/>
              <w:spacing w:before="292" w:line="215" w:lineRule="auto"/>
              <w:rPr/>
            </w:pPr>
            <w:r>
              <w:rPr>
                <w:spacing w:val="-2"/>
              </w:rPr>
              <w:t>前后对个人信息保护机制等</w:t>
            </w:r>
          </w:p>
          <w:p>
            <w:pPr>
              <w:pStyle w:val="TableText"/>
              <w:ind w:left="119"/>
              <w:spacing w:before="296" w:line="219" w:lineRule="auto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6.   </w:t>
            </w:r>
            <w:r>
              <w:rPr>
                <w:rFonts w:ascii="SimHei" w:hAnsi="SimHei" w:eastAsia="SimHei" w:cs="SimHei"/>
                <w:spacing w:val="-1"/>
              </w:rPr>
              <w:t>删除阶段：</w:t>
            </w:r>
            <w:r>
              <w:rPr>
                <w:spacing w:val="-1"/>
              </w:rPr>
              <w:t>个人信息留存时间、删除方式等</w:t>
            </w:r>
          </w:p>
        </w:tc>
      </w:tr>
    </w:tbl>
    <w:p>
      <w:pPr>
        <w:ind w:left="446" w:right="112" w:firstLine="577"/>
        <w:spacing w:before="329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“合规要求识别及落实”作为组织管理中披露率最低的信息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点（</w:t>
      </w:r>
      <w:r>
        <w:rPr>
          <w:rFonts w:ascii="Times New Roman" w:hAnsi="Times New Roman" w:eastAsia="Times New Roman" w:cs="Times New Roman"/>
          <w:sz w:val="28"/>
          <w:szCs w:val="28"/>
        </w:rPr>
        <w:t>36.36%</w:t>
      </w:r>
      <w:r>
        <w:rPr>
          <w:rFonts w:ascii="FangSong" w:hAnsi="FangSong" w:eastAsia="FangSong" w:cs="FangSong"/>
          <w:sz w:val="28"/>
          <w:szCs w:val="28"/>
          <w:spacing w:val="5"/>
        </w:rPr>
        <w:t>），</w:t>
      </w:r>
      <w:r>
        <w:rPr>
          <w:rFonts w:ascii="FangSong" w:hAnsi="FangSong" w:eastAsia="FangSong" w:cs="FangSong"/>
          <w:sz w:val="28"/>
          <w:szCs w:val="28"/>
        </w:rPr>
        <w:t>该部分关注重点不在于企业所宣称的严格遵守合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规要求（通常纳入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“使命理念”</w:t>
      </w:r>
      <w:r>
        <w:rPr>
          <w:rFonts w:ascii="FangSong" w:hAnsi="FangSong" w:eastAsia="FangSong" w:cs="FangSong"/>
          <w:sz w:val="28"/>
          <w:szCs w:val="28"/>
          <w:spacing w:val="9"/>
        </w:rPr>
        <w:t>），</w:t>
      </w:r>
      <w:r>
        <w:rPr>
          <w:rFonts w:ascii="FangSong" w:hAnsi="FangSong" w:eastAsia="FangSong" w:cs="FangSong"/>
          <w:sz w:val="28"/>
          <w:szCs w:val="28"/>
          <w:spacing w:val="-1"/>
        </w:rPr>
        <w:t>而是在于</w:t>
      </w:r>
      <w:r>
        <w:rPr>
          <w:rFonts w:ascii="SimHei" w:hAnsi="SimHei" w:eastAsia="SimHei" w:cs="SimHei"/>
          <w:sz w:val="28"/>
          <w:szCs w:val="28"/>
          <w:spacing w:val="-1"/>
        </w:rPr>
        <w:t>企业对个人信息保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护相关的合规及监管要求的持续跟进、有效落实等管理机制</w:t>
      </w:r>
      <w:r>
        <w:rPr>
          <w:rFonts w:ascii="FangSong" w:hAnsi="FangSong" w:eastAsia="FangSong" w:cs="FangSong"/>
          <w:sz w:val="28"/>
          <w:szCs w:val="28"/>
          <w:spacing w:val="1"/>
        </w:rPr>
        <w:t>。目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前产业实践多是简单提及合规路径，缺乏具体措施和相关管理要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求，披露意识及披露内容均有待进一步加强。</w:t>
      </w:r>
    </w:p>
    <w:p>
      <w:pPr>
        <w:spacing w:line="32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666"/>
              <w:spacing w:before="176" w:line="218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4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合规要求识别及落实</w:t>
            </w:r>
          </w:p>
        </w:tc>
      </w:tr>
      <w:tr>
        <w:trPr>
          <w:trHeight w:val="1886" w:hRule="atLeast"/>
        </w:trPr>
        <w:tc>
          <w:tcPr>
            <w:tcW w:w="8106" w:type="dxa"/>
            <w:vAlign w:val="top"/>
          </w:tcPr>
          <w:p>
            <w:pPr>
              <w:pStyle w:val="TableText"/>
              <w:ind w:right="9"/>
              <w:spacing w:before="172" w:line="220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1.   </w:t>
            </w:r>
            <w:r>
              <w:rPr>
                <w:rFonts w:ascii="SimHei" w:hAnsi="SimHei" w:eastAsia="SimHei" w:cs="SimHei"/>
                <w:spacing w:val="-1"/>
              </w:rPr>
              <w:t>构建合规数据库：</w:t>
            </w:r>
            <w:r>
              <w:rPr>
                <w:spacing w:val="-1"/>
              </w:rPr>
              <w:t>及时更新信息安全及隐私保护合规数据库；</w:t>
            </w:r>
          </w:p>
          <w:p>
            <w:pPr>
              <w:pStyle w:val="TableText"/>
              <w:ind w:left="541"/>
              <w:spacing w:before="290" w:line="216" w:lineRule="auto"/>
              <w:rPr/>
            </w:pPr>
            <w:r>
              <w:rPr>
                <w:spacing w:val="-1"/>
              </w:rPr>
              <w:t>建立隐私合规基线要求；制定隐私成熟度检查表</w:t>
            </w:r>
          </w:p>
          <w:p>
            <w:pPr>
              <w:pStyle w:val="TableText"/>
              <w:ind w:left="113"/>
              <w:spacing w:before="295" w:line="221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落实合规要求：</w:t>
            </w:r>
            <w:r>
              <w:rPr>
                <w:spacing w:val="-3"/>
              </w:rPr>
              <w:t>定期将合规监管风险点落实到企业</w:t>
            </w:r>
            <w:r>
              <w:rPr>
                <w:spacing w:val="-4"/>
              </w:rPr>
              <w:t>数据隐私管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70"/>
          <w:footerReference w:type="default" r:id="rId75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2505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56" w:right="106" w:hanging="10"/>
              <w:spacing w:before="177" w:line="397" w:lineRule="auto"/>
              <w:rPr/>
            </w:pPr>
            <w:r>
              <w:rPr>
                <w:spacing w:val="-4"/>
              </w:rPr>
              <w:t>理制度和运营标准，并嵌入到产品开发与数据处</w:t>
            </w:r>
            <w:r>
              <w:rPr>
                <w:spacing w:val="-5"/>
              </w:rPr>
              <w:t>理各环节，贯</w:t>
            </w:r>
            <w:r>
              <w:rPr/>
              <w:t xml:space="preserve"> </w:t>
            </w:r>
            <w:r>
              <w:rPr>
                <w:spacing w:val="-2"/>
              </w:rPr>
              <w:t>穿决策、执行、监督全过程</w:t>
            </w:r>
          </w:p>
          <w:p>
            <w:pPr>
              <w:pStyle w:val="TableText"/>
              <w:ind w:left="119"/>
              <w:spacing w:before="44" w:line="219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定期开展合规检查：</w:t>
            </w:r>
            <w:r>
              <w:rPr>
                <w:spacing w:val="-3"/>
              </w:rPr>
              <w:t>每季度开展合规检</w:t>
            </w:r>
            <w:r>
              <w:rPr>
                <w:spacing w:val="-4"/>
              </w:rPr>
              <w:t>查，将合规数据反馈至</w:t>
            </w:r>
          </w:p>
          <w:p>
            <w:pPr>
              <w:pStyle w:val="TableText"/>
              <w:ind w:left="565"/>
              <w:spacing w:before="291" w:line="219" w:lineRule="auto"/>
              <w:rPr/>
            </w:pPr>
            <w:r>
              <w:rPr>
                <w:spacing w:val="-7"/>
              </w:rPr>
              <w:t>隐私工委会</w:t>
            </w:r>
          </w:p>
        </w:tc>
      </w:tr>
    </w:tbl>
    <w:p>
      <w:pPr>
        <w:ind w:left="445" w:right="112" w:firstLine="578"/>
        <w:spacing w:before="322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“事件处置、应急响应及预警演练”披露率处于中等水平，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7"/>
        </w:rPr>
        <w:t>行业中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22.73%</w:t>
      </w:r>
      <w:r>
        <w:rPr>
          <w:rFonts w:ascii="FangSong" w:hAnsi="FangSong" w:eastAsia="FangSong" w:cs="FangSong"/>
          <w:sz w:val="28"/>
          <w:szCs w:val="28"/>
          <w:spacing w:val="7"/>
        </w:rPr>
        <w:t>报告披露了</w:t>
      </w:r>
      <w:r>
        <w:rPr>
          <w:rFonts w:ascii="SimHei" w:hAnsi="SimHei" w:eastAsia="SimHei" w:cs="SimHei"/>
          <w:sz w:val="28"/>
          <w:szCs w:val="28"/>
          <w:spacing w:val="7"/>
        </w:rPr>
        <w:t>报告周期内企业涉及的重大</w:t>
      </w:r>
      <w:r>
        <w:rPr>
          <w:rFonts w:ascii="SimHei" w:hAnsi="SimHei" w:eastAsia="SimHei" w:cs="SimHei"/>
          <w:sz w:val="28"/>
          <w:szCs w:val="28"/>
          <w:spacing w:val="6"/>
        </w:rPr>
        <w:t>个人信息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8"/>
        </w:rPr>
        <w:t>安全事件情况</w:t>
      </w:r>
      <w:r>
        <w:rPr>
          <w:rFonts w:ascii="FangSong" w:hAnsi="FangSong" w:eastAsia="FangSong" w:cs="FangSong"/>
          <w:sz w:val="28"/>
          <w:szCs w:val="28"/>
          <w:spacing w:val="-8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43.18%</w:t>
      </w:r>
      <w:r>
        <w:rPr>
          <w:rFonts w:ascii="FangSong" w:hAnsi="FangSong" w:eastAsia="FangSong" w:cs="FangSong"/>
          <w:sz w:val="28"/>
          <w:szCs w:val="28"/>
          <w:spacing w:val="-8"/>
        </w:rPr>
        <w:t>报告披露了</w:t>
      </w:r>
      <w:r>
        <w:rPr>
          <w:rFonts w:ascii="SimHei" w:hAnsi="SimHei" w:eastAsia="SimHei" w:cs="SimHei"/>
          <w:sz w:val="28"/>
          <w:szCs w:val="28"/>
          <w:spacing w:val="-8"/>
        </w:rPr>
        <w:t>企</w:t>
      </w:r>
      <w:r>
        <w:rPr>
          <w:rFonts w:ascii="SimHei" w:hAnsi="SimHei" w:eastAsia="SimHei" w:cs="SimHei"/>
          <w:sz w:val="28"/>
          <w:szCs w:val="28"/>
          <w:spacing w:val="-9"/>
        </w:rPr>
        <w:t>业面对个人信息数据泄露（丢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失）、滥用、被篡改、数据被损毁、数据违规使用等安全事件的</w:t>
      </w:r>
      <w:r>
        <w:rPr>
          <w:rFonts w:ascii="SimHei" w:hAnsi="SimHei" w:eastAsia="SimHei" w:cs="SimHei"/>
          <w:sz w:val="28"/>
          <w:szCs w:val="28"/>
          <w:spacing w:val="6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2"/>
        </w:rPr>
        <w:t>应急处置措施</w:t>
      </w:r>
      <w:r>
        <w:rPr>
          <w:rFonts w:ascii="FangSong" w:hAnsi="FangSong" w:eastAsia="FangSong" w:cs="FangSong"/>
          <w:sz w:val="28"/>
          <w:szCs w:val="28"/>
          <w:spacing w:val="-2"/>
        </w:rPr>
        <w:t>。</w:t>
      </w:r>
    </w:p>
    <w:p>
      <w:pPr>
        <w:spacing w:line="23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965"/>
              <w:spacing w:before="174" w:line="220" w:lineRule="auto"/>
              <w:rPr/>
            </w:pPr>
            <w:r>
              <w:rPr>
                <w:b/>
                <w:bCs/>
                <w:spacing w:val="-3"/>
              </w:rPr>
              <w:t>案例</w:t>
            </w:r>
            <w:r>
              <w:rPr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5</w:t>
            </w:r>
            <w:r>
              <w:rPr>
                <w:b/>
                <w:bCs/>
                <w:spacing w:val="-3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-</w:t>
            </w:r>
            <w:r>
              <w:rPr>
                <w:b/>
                <w:bCs/>
                <w:spacing w:val="-3"/>
              </w:rPr>
              <w:t>事件处置、应急响应及预警演练</w:t>
            </w:r>
          </w:p>
        </w:tc>
      </w:tr>
      <w:tr>
        <w:trPr>
          <w:trHeight w:val="6877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2" w:right="82" w:hanging="402"/>
              <w:spacing w:before="172" w:line="403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1.   </w:t>
            </w:r>
            <w:r>
              <w:rPr>
                <w:rFonts w:ascii="SimHei" w:hAnsi="SimHei" w:eastAsia="SimHei" w:cs="SimHei"/>
                <w:spacing w:val="-3"/>
              </w:rPr>
              <w:t>成立应急响应组织：</w:t>
            </w:r>
            <w:r>
              <w:rPr>
                <w:spacing w:val="-3"/>
              </w:rPr>
              <w:t>设有</w:t>
            </w:r>
            <w:r>
              <w:rPr>
                <w:spacing w:val="-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7</w:t>
            </w:r>
            <w:r>
              <w:rPr>
                <w:spacing w:val="-3"/>
              </w:rPr>
              <w:t>×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24 </w:t>
            </w:r>
            <w:r>
              <w:rPr>
                <w:spacing w:val="-3"/>
              </w:rPr>
              <w:t>小时</w:t>
            </w:r>
            <w:r>
              <w:rPr>
                <w:spacing w:val="-4"/>
              </w:rPr>
              <w:t>安全应急响应值班团队；</w:t>
            </w:r>
            <w:r>
              <w:rPr/>
              <w:t xml:space="preserve"> </w:t>
            </w:r>
            <w:r>
              <w:rPr>
                <w:spacing w:val="-4"/>
              </w:rPr>
              <w:t>设有安全应急响应中心平台，与全球各地的外部安全研</w:t>
            </w:r>
            <w:r>
              <w:rPr>
                <w:spacing w:val="-5"/>
              </w:rPr>
              <w:t>究人员</w:t>
            </w:r>
            <w:r>
              <w:rPr/>
              <w:t xml:space="preserve"> </w:t>
            </w:r>
            <w:r>
              <w:rPr>
                <w:spacing w:val="-4"/>
              </w:rPr>
              <w:t>和合作伙伴开展合作；对于重大活动和特殊时期，建立</w:t>
            </w:r>
            <w:r>
              <w:rPr>
                <w:spacing w:val="-5"/>
              </w:rPr>
              <w:t>应急工</w:t>
            </w:r>
            <w:r>
              <w:rPr/>
              <w:t xml:space="preserve"> </w:t>
            </w:r>
            <w:r>
              <w:rPr>
                <w:spacing w:val="-1"/>
              </w:rPr>
              <w:t>作领导小组和应急响应专班</w:t>
            </w:r>
          </w:p>
          <w:p>
            <w:pPr>
              <w:pStyle w:val="TableText"/>
              <w:ind w:left="538" w:right="72" w:hanging="425"/>
              <w:spacing w:before="45" w:line="396" w:lineRule="auto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2.   </w:t>
            </w:r>
            <w:r>
              <w:rPr>
                <w:rFonts w:ascii="SimHei" w:hAnsi="SimHei" w:eastAsia="SimHei" w:cs="SimHei"/>
                <w:spacing w:val="-1"/>
              </w:rPr>
              <w:t>制定应急处理流程：</w:t>
            </w:r>
            <w:r>
              <w:rPr>
                <w:spacing w:val="-1"/>
              </w:rPr>
              <w:t>完善修订《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XX </w:t>
            </w:r>
            <w:r>
              <w:rPr>
                <w:spacing w:val="-1"/>
              </w:rPr>
              <w:t>集团信息安全事件定级管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理要求》、《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XX</w:t>
            </w:r>
            <w:r>
              <w:rPr>
                <w:rFonts w:ascii="Times New Roman" w:hAnsi="Times New Roman" w:eastAsia="Times New Roman" w:cs="Times New Roman"/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集团安全监控及响应规范》，明确隐私保护</w:t>
            </w:r>
            <w:r>
              <w:rPr/>
              <w:t xml:space="preserve"> </w:t>
            </w:r>
            <w:r>
              <w:rPr>
                <w:spacing w:val="-4"/>
              </w:rPr>
              <w:t>事件的分类分级标准与应急响应流程；定期开展“数据误删恢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复”“删除权限回收验证”等应急演练活动；发生个人信息安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全事件时，将按照法律法规要求，及时向用户告知安全事件的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基本情况和可能的影响，说明已采取或将要采取的处置措施，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</w:rPr>
              <w:t>在难以逐一告知个人信息主体时，采取合理、有效的方式发布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76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375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2"/>
              <w:spacing w:before="177" w:line="219" w:lineRule="auto"/>
              <w:rPr/>
            </w:pPr>
            <w:r>
              <w:rPr>
                <w:spacing w:val="-5"/>
              </w:rPr>
              <w:t>公告</w:t>
            </w:r>
          </w:p>
          <w:p>
            <w:pPr>
              <w:pStyle w:val="TableText"/>
              <w:ind w:left="545" w:right="106" w:hanging="426"/>
              <w:spacing w:before="287" w:line="404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构建事件追责机制：</w:t>
            </w:r>
            <w:r>
              <w:rPr>
                <w:spacing w:val="-3"/>
              </w:rPr>
              <w:t>对于违反隐私保护</w:t>
            </w:r>
            <w:r>
              <w:rPr>
                <w:spacing w:val="-4"/>
              </w:rPr>
              <w:t>相关政策的员工，依据</w:t>
            </w:r>
            <w:r>
              <w:rPr/>
              <w:t xml:space="preserve"> </w:t>
            </w:r>
            <w:r>
              <w:rPr>
                <w:spacing w:val="-4"/>
              </w:rPr>
              <w:t>违规的严重程度，采取邮件提醒、警告、记过、辞</w:t>
            </w:r>
            <w:r>
              <w:rPr>
                <w:spacing w:val="-5"/>
              </w:rPr>
              <w:t>退等纪律处</w:t>
            </w:r>
            <w:r>
              <w:rPr/>
              <w:t xml:space="preserve"> </w:t>
            </w:r>
            <w:r>
              <w:rPr>
                <w:spacing w:val="-4"/>
              </w:rPr>
              <w:t>分措施；对于违反国家法律的，将依法追究相关人</w:t>
            </w:r>
            <w:r>
              <w:rPr>
                <w:spacing w:val="-5"/>
              </w:rPr>
              <w:t>员的法律责</w:t>
            </w:r>
            <w:r>
              <w:rPr/>
              <w:t xml:space="preserve"> </w:t>
            </w:r>
            <w:r>
              <w:rPr>
                <w:spacing w:val="-4"/>
              </w:rPr>
              <w:t>任；对于导致企业遭受经济损失的，将追究相关人</w:t>
            </w:r>
            <w:r>
              <w:rPr>
                <w:spacing w:val="-5"/>
              </w:rPr>
              <w:t>员赔偿责任</w:t>
            </w:r>
          </w:p>
          <w:p>
            <w:pPr>
              <w:pStyle w:val="TableText"/>
              <w:ind w:left="112"/>
              <w:spacing w:before="48" w:line="22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4.   </w:t>
            </w:r>
            <w:r>
              <w:rPr>
                <w:rFonts w:ascii="SimHei" w:hAnsi="SimHei" w:eastAsia="SimHei" w:cs="SimHei"/>
              </w:rPr>
              <w:t>周期内违规事件：</w:t>
            </w:r>
            <w:r>
              <w:rPr/>
              <w:t>违规事件数</w:t>
            </w:r>
            <w:r>
              <w:rPr>
                <w:spacing w:val="-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 </w:t>
            </w:r>
            <w:r>
              <w:rPr/>
              <w:t>件、收到投诉举报数</w:t>
            </w:r>
            <w:r>
              <w:rPr>
                <w:spacing w:val="-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 </w:t>
            </w:r>
            <w:r>
              <w:rPr/>
              <w:t>件</w:t>
            </w:r>
          </w:p>
        </w:tc>
      </w:tr>
    </w:tbl>
    <w:p>
      <w:pPr>
        <w:ind w:left="440" w:right="25" w:firstLine="582"/>
        <w:spacing w:before="330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内审</w:t>
      </w:r>
      <w:r>
        <w:rPr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Fonts w:ascii="FangSong" w:hAnsi="FangSong" w:eastAsia="FangSong" w:cs="FangSong"/>
          <w:sz w:val="28"/>
          <w:szCs w:val="28"/>
        </w:rPr>
        <w:t>自评估及第三方评估</w:t>
      </w:r>
      <w:r>
        <w:rPr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Fonts w:ascii="FangSong" w:hAnsi="FangSong" w:eastAsia="FangSong" w:cs="FangSong"/>
          <w:sz w:val="28"/>
          <w:szCs w:val="28"/>
        </w:rPr>
        <w:t>认证</w:t>
      </w:r>
      <w:r>
        <w:rPr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Fonts w:ascii="FangSong" w:hAnsi="FangSong" w:eastAsia="FangSong" w:cs="FangSong"/>
          <w:sz w:val="28"/>
          <w:szCs w:val="28"/>
        </w:rPr>
        <w:t>审计”作为个人信息及用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户隐私保护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22 </w:t>
      </w:r>
      <w:r>
        <w:rPr>
          <w:rFonts w:ascii="FangSong" w:hAnsi="FangSong" w:eastAsia="FangSong" w:cs="FangSong"/>
          <w:sz w:val="28"/>
          <w:szCs w:val="28"/>
          <w:spacing w:val="-2"/>
        </w:rPr>
        <w:t>个信息点中披露率排名第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的信息点（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63.64%</w:t>
      </w:r>
      <w:r>
        <w:rPr>
          <w:rFonts w:ascii="FangSong" w:hAnsi="FangSong" w:eastAsia="FangSong" w:cs="FangSong"/>
          <w:sz w:val="28"/>
          <w:szCs w:val="28"/>
          <w:spacing w:val="-9"/>
        </w:rPr>
        <w:t>），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主要关注企业个人信息保护相关内审、审计及</w:t>
      </w:r>
      <w:r>
        <w:rPr>
          <w:rFonts w:ascii="FangSong" w:hAnsi="FangSong" w:eastAsia="FangSong" w:cs="FangSong"/>
          <w:sz w:val="28"/>
          <w:szCs w:val="28"/>
          <w:spacing w:val="-6"/>
        </w:rPr>
        <w:t>第三方评估、认证、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审计等相关情况。当前，行业内该信息点信息披露情况较好，一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是由于部分内容作为合规要求，互联网企业已</w:t>
      </w:r>
      <w:r>
        <w:rPr>
          <w:rFonts w:ascii="FangSong" w:hAnsi="FangSong" w:eastAsia="FangSong" w:cs="FangSong"/>
          <w:sz w:val="28"/>
          <w:szCs w:val="28"/>
          <w:spacing w:val="-6"/>
        </w:rPr>
        <w:t>日常开展相关工作，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披露基础较好；二是第三方所出具的认证、测评、评估结果可作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为企业个人信息和用户隐私保护方面的突出成果，企业具有较强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的披露动力。</w:t>
      </w:r>
    </w:p>
    <w:p>
      <w:pPr>
        <w:spacing w:line="23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706"/>
              <w:spacing w:before="176" w:line="216" w:lineRule="auto"/>
              <w:rPr/>
            </w:pPr>
            <w:r>
              <w:rPr>
                <w:b/>
                <w:bCs/>
                <w:spacing w:val="-3"/>
              </w:rPr>
              <w:t>案例</w:t>
            </w:r>
            <w:r>
              <w:rPr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6</w:t>
            </w:r>
            <w:r>
              <w:rPr>
                <w:b/>
                <w:bCs/>
                <w:spacing w:val="-3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-</w:t>
            </w:r>
            <w:r>
              <w:rPr>
                <w:b/>
                <w:bCs/>
                <w:spacing w:val="-3"/>
              </w:rPr>
              <w:t>内审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/</w:t>
            </w:r>
            <w:r>
              <w:rPr>
                <w:b/>
                <w:bCs/>
                <w:spacing w:val="-3"/>
              </w:rPr>
              <w:t>自评估及第三方评估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/</w:t>
            </w:r>
            <w:r>
              <w:rPr>
                <w:b/>
                <w:bCs/>
                <w:spacing w:val="-3"/>
              </w:rPr>
              <w:t>认证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/</w:t>
            </w:r>
            <w:r>
              <w:rPr>
                <w:b/>
                <w:bCs/>
                <w:spacing w:val="-3"/>
              </w:rPr>
              <w:t>审计</w:t>
            </w:r>
          </w:p>
        </w:tc>
      </w:tr>
      <w:tr>
        <w:trPr>
          <w:trHeight w:val="3757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6" w:right="106" w:hanging="406"/>
              <w:spacing w:before="172" w:line="400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构建内部评审机制：</w:t>
            </w:r>
            <w:r>
              <w:rPr>
                <w:spacing w:val="-4"/>
              </w:rPr>
              <w:t>开展个人信息保护影响评估、数据安全内</w:t>
            </w:r>
            <w:r>
              <w:rPr/>
              <w:t xml:space="preserve"> </w:t>
            </w:r>
            <w:r>
              <w:rPr>
                <w:spacing w:val="3"/>
              </w:rPr>
              <w:t>控审计、个人信息保护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隐私保护内审等工作的频次、牵头部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门、评审对象、评审标准等</w:t>
            </w:r>
          </w:p>
          <w:p>
            <w:pPr>
              <w:pStyle w:val="TableText"/>
              <w:ind w:left="537" w:right="106" w:hanging="424"/>
              <w:spacing w:before="51" w:line="378" w:lineRule="auto"/>
              <w:rPr/>
            </w:pPr>
            <w:r>
              <w:rPr>
                <w:rFonts w:ascii="Times New Roman" w:hAnsi="Times New Roman" w:eastAsia="Times New Roman" w:cs="Times New Roman"/>
                <w:spacing w:val="10"/>
              </w:rPr>
              <w:t>2.   </w:t>
            </w:r>
            <w:r>
              <w:rPr>
                <w:rFonts w:ascii="SimHei" w:hAnsi="SimHei" w:eastAsia="SimHei" w:cs="SimHei"/>
                <w:spacing w:val="10"/>
              </w:rPr>
              <w:t>第三方评估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rFonts w:ascii="SimHei" w:hAnsi="SimHei" w:eastAsia="SimHei" w:cs="SimHei"/>
                <w:spacing w:val="10"/>
              </w:rPr>
              <w:t>认证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rFonts w:ascii="SimHei" w:hAnsi="SimHei" w:eastAsia="SimHei" w:cs="SimHei"/>
                <w:spacing w:val="10"/>
              </w:rPr>
              <w:t>审计结果：</w:t>
            </w:r>
            <w:r>
              <w:rPr>
                <w:rFonts w:ascii="SimHei" w:hAnsi="SimHei" w:eastAsia="SimHei" w:cs="SimHei"/>
                <w:spacing w:val="-76"/>
              </w:rPr>
              <w:t xml:space="preserve"> </w:t>
            </w:r>
            <w:r>
              <w:rPr>
                <w:spacing w:val="10"/>
              </w:rPr>
              <w:t>外部审计、</w:t>
            </w:r>
            <w:r>
              <w:rPr>
                <w:rFonts w:ascii="Times New Roman" w:hAnsi="Times New Roman" w:eastAsia="Times New Roman" w:cs="Times New Roman"/>
              </w:rPr>
              <w:t>IT</w:t>
            </w:r>
            <w:r>
              <w:rPr>
                <w:rFonts w:ascii="Times New Roman" w:hAnsi="Times New Roman" w:eastAsia="Times New Roman" w:cs="Times New Roman"/>
                <w:spacing w:val="45"/>
              </w:rPr>
              <w:t xml:space="preserve"> </w:t>
            </w:r>
            <w:r>
              <w:rPr>
                <w:spacing w:val="10"/>
              </w:rPr>
              <w:t>审计、</w:t>
            </w:r>
            <w:r>
              <w:rPr>
                <w:rFonts w:ascii="Times New Roman" w:hAnsi="Times New Roman" w:eastAsia="Times New Roman" w:cs="Times New Roman"/>
              </w:rPr>
              <w:t>ISO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rFonts w:ascii="Times New Roman" w:hAnsi="Times New Roman" w:eastAsia="Times New Roman" w:cs="Times New Roman"/>
              </w:rPr>
              <w:t>IEC </w:t>
            </w:r>
            <w:r>
              <w:rPr>
                <w:rFonts w:ascii="Times New Roman" w:hAnsi="Times New Roman" w:eastAsia="Times New Roman" w:cs="Times New Roman"/>
              </w:rPr>
              <w:t>27001 </w:t>
            </w:r>
            <w:r>
              <w:rPr/>
              <w:t>、</w:t>
            </w:r>
            <w:r>
              <w:rPr>
                <w:rFonts w:ascii="Times New Roman" w:hAnsi="Times New Roman" w:eastAsia="Times New Roman" w:cs="Times New Roman"/>
              </w:rPr>
              <w:t>ISO/IEC</w:t>
            </w:r>
            <w:r>
              <w:rPr>
                <w:rFonts w:ascii="Times New Roman" w:hAnsi="Times New Roman" w:eastAsia="Times New Roman" w:cs="Times New Roman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27017 </w:t>
            </w:r>
            <w:r>
              <w:rPr/>
              <w:t>、</w:t>
            </w:r>
            <w:r>
              <w:rPr>
                <w:rFonts w:ascii="Times New Roman" w:hAnsi="Times New Roman" w:eastAsia="Times New Roman" w:cs="Times New Roman"/>
              </w:rPr>
              <w:t>ISO/IEC</w:t>
            </w:r>
            <w:r>
              <w:rPr>
                <w:rFonts w:ascii="Times New Roman" w:hAnsi="Times New Roman" w:eastAsia="Times New Roman" w:cs="Times New Roman"/>
                <w:spacing w:val="4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27018 </w:t>
            </w:r>
            <w:r>
              <w:rPr/>
              <w:t>、</w:t>
            </w:r>
            <w:r>
              <w:rPr>
                <w:rFonts w:ascii="Times New Roman" w:hAnsi="Times New Roman" w:eastAsia="Times New Roman" w:cs="Times New Roman"/>
              </w:rPr>
              <w:t>ISO/IEC</w:t>
            </w:r>
            <w:r>
              <w:rPr>
                <w:rFonts w:ascii="Times New Roman" w:hAnsi="Times New Roman" w:eastAsia="Times New Roman" w:cs="Times New Roman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27701</w:t>
            </w:r>
            <w:r>
              <w:rPr>
                <w:rFonts w:ascii="Times New Roman" w:hAnsi="Times New Roman" w:eastAsia="Times New Roman" w:cs="Times New Roman"/>
                <w:spacing w:val="-39"/>
              </w:rPr>
              <w:t xml:space="preserve"> </w:t>
            </w:r>
            <w:r>
              <w:rPr/>
              <w:t>、</w:t>
            </w:r>
          </w:p>
          <w:p>
            <w:pPr>
              <w:pStyle w:val="TableText"/>
              <w:ind w:left="539"/>
              <w:spacing w:before="102" w:line="218" w:lineRule="auto"/>
              <w:rPr/>
            </w:pPr>
            <w:r>
              <w:rPr>
                <w:rFonts w:ascii="Times New Roman" w:hAnsi="Times New Roman" w:eastAsia="Times New Roman" w:cs="Times New Roman"/>
                <w:spacing w:val="-5"/>
              </w:rPr>
              <w:t>ISO/IEC 29151</w:t>
            </w:r>
            <w:r>
              <w:rPr>
                <w:rFonts w:ascii="Times New Roman" w:hAnsi="Times New Roman" w:eastAsia="Times New Roman" w:cs="Times New Roman"/>
                <w:spacing w:val="-30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TRUSTe</w:t>
            </w:r>
            <w:r>
              <w:rPr>
                <w:rFonts w:ascii="Times New Roman" w:hAnsi="Times New Roman" w:eastAsia="Times New Roman" w:cs="Times New Roman"/>
                <w:spacing w:val="-40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BS</w:t>
            </w:r>
            <w:r>
              <w:rPr>
                <w:rFonts w:ascii="Times New Roman" w:hAnsi="Times New Roman" w:eastAsia="Times New Roman" w:cs="Times New Roman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10012</w:t>
            </w:r>
            <w:r>
              <w:rPr>
                <w:rFonts w:ascii="Times New Roman" w:hAnsi="Times New Roman" w:eastAsia="Times New Roman" w:cs="Times New Roman"/>
                <w:spacing w:val="-37"/>
              </w:rPr>
              <w:t xml:space="preserve"> </w:t>
            </w:r>
            <w:r>
              <w:rPr>
                <w:spacing w:val="-5"/>
              </w:rPr>
              <w:t>、及各专业机构开展的认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77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3129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52"/>
              <w:spacing w:before="177" w:line="216" w:lineRule="auto"/>
              <w:rPr/>
            </w:pPr>
            <w:r>
              <w:rPr>
                <w:spacing w:val="-3"/>
              </w:rPr>
              <w:t>证、评估、评测</w:t>
            </w:r>
          </w:p>
          <w:p>
            <w:pPr>
              <w:pStyle w:val="TableText"/>
              <w:ind w:left="546" w:right="106" w:hanging="427"/>
              <w:spacing w:before="296" w:line="38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部署技术系统：</w:t>
            </w:r>
            <w:r>
              <w:rPr>
                <w:spacing w:val="-3"/>
              </w:rPr>
              <w:t>建立数据库安全审计系</w:t>
            </w:r>
            <w:r>
              <w:rPr>
                <w:spacing w:val="-4"/>
              </w:rPr>
              <w:t>统，在机房关键数据位</w:t>
            </w:r>
            <w:r>
              <w:rPr/>
              <w:t xml:space="preserve"> </w:t>
            </w:r>
            <w:r>
              <w:rPr>
                <w:spacing w:val="-4"/>
              </w:rPr>
              <w:t>置部署敏感数据监控系统，开展常规扫描和渗透</w:t>
            </w:r>
            <w:r>
              <w:rPr>
                <w:spacing w:val="-5"/>
              </w:rPr>
              <w:t>测试，记录并</w:t>
            </w:r>
            <w:r>
              <w:rPr/>
              <w:t xml:space="preserve"> </w:t>
            </w:r>
            <w:r>
              <w:rPr>
                <w:spacing w:val="-4"/>
              </w:rPr>
              <w:t>定期审计敏感数据的流向和使用方、及时审计告</w:t>
            </w:r>
            <w:r>
              <w:rPr>
                <w:spacing w:val="-5"/>
              </w:rPr>
              <w:t>警数据风险操</w:t>
            </w:r>
            <w:r>
              <w:rPr/>
              <w:t xml:space="preserve"> </w:t>
            </w:r>
            <w:r>
              <w:rPr>
                <w:spacing w:val="-2"/>
              </w:rPr>
              <w:t>作、丰富应用审计功能</w:t>
            </w:r>
          </w:p>
        </w:tc>
      </w:tr>
    </w:tbl>
    <w:p>
      <w:pPr>
        <w:ind w:left="445" w:right="25" w:firstLine="578"/>
        <w:spacing w:before="329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7"/>
        </w:rPr>
        <w:t>“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内部意识提升及教育培训”作为个保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22 </w:t>
      </w:r>
      <w:r>
        <w:rPr>
          <w:rFonts w:ascii="FangSong" w:hAnsi="FangSong" w:eastAsia="FangSong" w:cs="FangSong"/>
          <w:sz w:val="28"/>
          <w:szCs w:val="28"/>
          <w:spacing w:val="-7"/>
        </w:rPr>
        <w:t>个信息点中披露率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排名第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的信息点（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59.09%</w:t>
      </w:r>
      <w:r>
        <w:rPr>
          <w:rFonts w:ascii="FangSong" w:hAnsi="FangSong" w:eastAsia="FangSong" w:cs="FangSong"/>
          <w:sz w:val="28"/>
          <w:szCs w:val="28"/>
          <w:spacing w:val="25"/>
        </w:rPr>
        <w:t>），</w:t>
      </w:r>
      <w:r>
        <w:rPr>
          <w:rFonts w:ascii="FangSong" w:hAnsi="FangSong" w:eastAsia="FangSong" w:cs="FangSong"/>
          <w:sz w:val="28"/>
          <w:szCs w:val="28"/>
          <w:spacing w:val="-3"/>
        </w:rPr>
        <w:t>当前实践表现较好。面向全体员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工、有权查看和处理个人信息的员工、相关业务人员、新入职员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工等不同人员，互联网企业已日常开展诸多个保相关的意识提升、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教育培训、岗位考试、案例分享等活动，尤其</w:t>
      </w:r>
      <w:r>
        <w:rPr>
          <w:rFonts w:ascii="SimHei" w:hAnsi="SimHei" w:eastAsia="SimHei" w:cs="SimHei"/>
          <w:sz w:val="28"/>
          <w:szCs w:val="28"/>
          <w:spacing w:val="1"/>
        </w:rPr>
        <w:t>该信息点还突出体</w:t>
      </w:r>
      <w:r>
        <w:rPr>
          <w:rFonts w:ascii="SimHei" w:hAnsi="SimHei" w:eastAsia="SimHei" w:cs="SimHei"/>
          <w:sz w:val="28"/>
          <w:szCs w:val="28"/>
          <w:spacing w:val="6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现了一些定量化数据</w:t>
      </w:r>
      <w:r>
        <w:rPr>
          <w:rFonts w:ascii="FangSong" w:hAnsi="FangSong" w:eastAsia="FangSong" w:cs="FangSong"/>
          <w:sz w:val="28"/>
          <w:szCs w:val="28"/>
          <w:spacing w:val="1"/>
        </w:rPr>
        <w:t>，如：培训覆盖率、学员参与数量、活动次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数、满意度等。</w:t>
      </w:r>
    </w:p>
    <w:p>
      <w:pPr>
        <w:spacing w:line="29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385"/>
              <w:spacing w:before="177" w:line="218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7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内部意识提升及教育培训</w:t>
            </w:r>
          </w:p>
        </w:tc>
      </w:tr>
      <w:tr>
        <w:trPr>
          <w:trHeight w:val="5005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37" w:hanging="397"/>
              <w:spacing w:before="174" w:line="405" w:lineRule="auto"/>
              <w:rPr/>
            </w:pPr>
            <w:r>
              <w:rPr>
                <w:rFonts w:ascii="Times New Roman" w:hAnsi="Times New Roman" w:eastAsia="Times New Roman" w:cs="Times New Roman"/>
                <w:spacing w:val="-9"/>
              </w:rPr>
              <w:t>1.   </w:t>
            </w:r>
            <w:r>
              <w:rPr>
                <w:rFonts w:ascii="SimHei" w:hAnsi="SimHei" w:eastAsia="SimHei" w:cs="SimHei"/>
                <w:spacing w:val="-9"/>
              </w:rPr>
              <w:t>构建培训体系：</w:t>
            </w:r>
            <w:r>
              <w:rPr>
                <w:spacing w:val="-9"/>
              </w:rPr>
              <w:t>面向全体员工（包括正式员工、顾问、</w:t>
            </w:r>
            <w:r>
              <w:rPr>
                <w:spacing w:val="-10"/>
              </w:rPr>
              <w:t>实习生）</w:t>
            </w:r>
            <w:r>
              <w:rPr/>
              <w:t xml:space="preserve"> </w:t>
            </w:r>
            <w:r>
              <w:rPr>
                <w:spacing w:val="-5"/>
              </w:rPr>
              <w:t>开展的全员合规课程、面向个人信息处理岗位人员开展的</w:t>
            </w:r>
            <w:r>
              <w:rPr>
                <w:spacing w:val="-6"/>
              </w:rPr>
              <w:t>专项</w:t>
            </w:r>
            <w:r>
              <w:rPr/>
              <w:t xml:space="preserve">  </w:t>
            </w:r>
            <w:r>
              <w:rPr>
                <w:spacing w:val="-5"/>
              </w:rPr>
              <w:t>培训和考核、面向特定产品或业务开展的特定培训；鼓励</w:t>
            </w:r>
            <w:r>
              <w:rPr>
                <w:spacing w:val="-6"/>
              </w:rPr>
              <w:t>员工</w:t>
            </w:r>
            <w:r>
              <w:rPr/>
              <w:t xml:space="preserve">  </w:t>
            </w:r>
            <w:r>
              <w:rPr>
                <w:spacing w:val="2"/>
              </w:rPr>
              <w:t>考取国际国内相关领域权威专业证书；定期发布信息安全</w:t>
            </w:r>
            <w:r>
              <w:rPr>
                <w:rFonts w:ascii="Times New Roman" w:hAnsi="Times New Roman" w:eastAsia="Times New Roman" w:cs="Times New Roman"/>
                <w:spacing w:val="2"/>
              </w:rPr>
              <w:t>/</w:t>
            </w:r>
            <w:r>
              <w:rPr>
                <w:spacing w:val="2"/>
              </w:rPr>
              <w:t>数</w:t>
            </w:r>
            <w:r>
              <w:rPr>
                <w:spacing w:val="5"/>
              </w:rPr>
              <w:t xml:space="preserve">  </w:t>
            </w:r>
            <w:r>
              <w:rPr>
                <w:spacing w:val="-2"/>
              </w:rPr>
              <w:t>据安全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/</w:t>
            </w:r>
            <w:r>
              <w:rPr>
                <w:spacing w:val="-2"/>
              </w:rPr>
              <w:t>个人信息保护期刊、漫画、宣传页等</w:t>
            </w:r>
          </w:p>
          <w:p>
            <w:pPr>
              <w:pStyle w:val="TableText"/>
              <w:ind w:left="550" w:right="106" w:hanging="437"/>
              <w:spacing w:before="47" w:line="374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建立绩效体系：</w:t>
            </w:r>
            <w:r>
              <w:rPr>
                <w:spacing w:val="-3"/>
              </w:rPr>
              <w:t>与员工签署保密协议；规定员工泄</w:t>
            </w:r>
            <w:r>
              <w:rPr>
                <w:spacing w:val="-4"/>
              </w:rPr>
              <w:t>露数据及用</w:t>
            </w:r>
            <w:r>
              <w:rPr/>
              <w:t xml:space="preserve"> </w:t>
            </w:r>
            <w:r>
              <w:rPr>
                <w:spacing w:val="-5"/>
              </w:rPr>
              <w:t>户隐私行为的惩罚；将信息安全合规管理与个人信息隐私保护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纳入核心管理层及关键岗位人员的业务考核指标；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78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3129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2" w:right="106" w:hanging="423"/>
              <w:spacing w:before="174" w:line="401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搭建政策查询平台：</w:t>
            </w:r>
            <w:r>
              <w:rPr>
                <w:spacing w:val="-3"/>
              </w:rPr>
              <w:t>面向员工提供快</w:t>
            </w:r>
            <w:r>
              <w:rPr>
                <w:spacing w:val="-4"/>
              </w:rPr>
              <w:t>捷方便查询本公司数据安</w:t>
            </w:r>
            <w:r>
              <w:rPr/>
              <w:t xml:space="preserve"> </w:t>
            </w:r>
            <w:r>
              <w:rPr>
                <w:spacing w:val="-4"/>
              </w:rPr>
              <w:t>全及个人隐私保护政策的渠道，以便员工及时确认自身行</w:t>
            </w:r>
            <w:r>
              <w:rPr>
                <w:spacing w:val="-5"/>
              </w:rPr>
              <w:t>为是</w:t>
            </w:r>
            <w:r>
              <w:rPr/>
              <w:t xml:space="preserve"> </w:t>
            </w:r>
            <w:r>
              <w:rPr>
                <w:spacing w:val="-1"/>
              </w:rPr>
              <w:t>否符合公司安全政策要求</w:t>
            </w:r>
          </w:p>
          <w:p>
            <w:pPr>
              <w:pStyle w:val="TableText"/>
              <w:ind w:left="112"/>
              <w:spacing w:before="48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4.   </w:t>
            </w:r>
            <w:r>
              <w:rPr>
                <w:rFonts w:ascii="SimHei" w:hAnsi="SimHei" w:eastAsia="SimHei" w:cs="SimHei"/>
                <w:spacing w:val="-3"/>
              </w:rPr>
              <w:t>设立沟通举报渠道：</w:t>
            </w:r>
            <w:r>
              <w:rPr>
                <w:spacing w:val="-3"/>
              </w:rPr>
              <w:t>面向员工建立举报投诉渠道，鼓励</w:t>
            </w:r>
            <w:r>
              <w:rPr>
                <w:spacing w:val="-4"/>
              </w:rPr>
              <w:t>员工及</w:t>
            </w:r>
          </w:p>
          <w:p>
            <w:pPr>
              <w:pStyle w:val="TableText"/>
              <w:ind w:left="569"/>
              <w:spacing w:before="289" w:line="217" w:lineRule="auto"/>
              <w:rPr/>
            </w:pPr>
            <w:r>
              <w:rPr>
                <w:spacing w:val="-4"/>
              </w:rPr>
              <w:t>时反馈相关不合规事件</w:t>
            </w:r>
          </w:p>
        </w:tc>
      </w:tr>
    </w:tbl>
    <w:p>
      <w:pPr>
        <w:ind w:left="443" w:right="112" w:firstLine="560"/>
        <w:spacing w:before="329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消费者保护</w:t>
      </w:r>
      <w:r>
        <w:rPr>
          <w:rFonts w:ascii="FangSong" w:hAnsi="FangSong" w:eastAsia="FangSong" w:cs="FangSong"/>
          <w:sz w:val="28"/>
          <w:szCs w:val="28"/>
          <w:spacing w:val="1"/>
        </w:rPr>
        <w:t>（以下简称：消保）维度关注企业面对消费者及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公众层面的个保实践情况，重点分析</w:t>
      </w:r>
      <w:r>
        <w:rPr>
          <w:rFonts w:ascii="FangSong" w:hAnsi="FangSong" w:eastAsia="FangSong" w:cs="FangSong"/>
          <w:sz w:val="28"/>
          <w:szCs w:val="28"/>
          <w:spacing w:val="-8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“用户服务提升”</w:t>
      </w:r>
      <w:r>
        <w:rPr>
          <w:rFonts w:ascii="FangSong" w:hAnsi="FangSong" w:eastAsia="FangSong" w:cs="FangSong"/>
          <w:sz w:val="28"/>
          <w:szCs w:val="28"/>
          <w:spacing w:val="-10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“用户沟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通交流管理”“信息披露及提升公众意识”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个信息点的披露情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况。整体看，消保维度的信息披露情况并未如实反映当前行业的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实践工作，平均披露率不足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25%</w:t>
      </w:r>
      <w:r>
        <w:rPr>
          <w:rFonts w:ascii="FangSong" w:hAnsi="FangSong" w:eastAsia="FangSong" w:cs="FangSong"/>
          <w:sz w:val="28"/>
          <w:szCs w:val="28"/>
          <w:spacing w:val="-1"/>
        </w:rPr>
        <w:t>，有较大的提升空间。</w:t>
      </w:r>
    </w:p>
    <w:p>
      <w:pPr>
        <w:ind w:left="446" w:right="112" w:firstLine="577"/>
        <w:spacing w:before="5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“用户服务提升”披露率为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34.09%</w:t>
      </w:r>
      <w:r>
        <w:rPr>
          <w:rFonts w:ascii="FangSong" w:hAnsi="FangSong" w:eastAsia="FangSong" w:cs="FangSong"/>
          <w:sz w:val="28"/>
          <w:szCs w:val="28"/>
          <w:spacing w:val="-3"/>
        </w:rPr>
        <w:t>，为与组织管理维度中的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“个人信息管理情况”信息点有所区分，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“用户服务提升”主要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关注企业从用户视角所实施的友好功能设置，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以及为特定群体制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定的个保权益管理规定。当前行业信息披露</w:t>
      </w:r>
      <w:r>
        <w:rPr>
          <w:rFonts w:ascii="SimHei" w:hAnsi="SimHei" w:eastAsia="SimHei" w:cs="SimHei"/>
          <w:sz w:val="28"/>
          <w:szCs w:val="28"/>
          <w:spacing w:val="1"/>
        </w:rPr>
        <w:t>重点集中在未成年人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的个人信息保护，但对其他群体（如：老年用户、残障用户、处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于不同语言环境用户等）则几近空白</w:t>
      </w:r>
      <w:r>
        <w:rPr>
          <w:rFonts w:ascii="FangSong" w:hAnsi="FangSong" w:eastAsia="FangSong" w:cs="FangSong"/>
          <w:sz w:val="28"/>
          <w:szCs w:val="28"/>
          <w:spacing w:val="-1"/>
        </w:rPr>
        <w:t>。</w:t>
      </w:r>
    </w:p>
    <w:p>
      <w:pPr>
        <w:spacing w:line="20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949"/>
              <w:spacing w:before="177" w:line="217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8</w:t>
            </w:r>
            <w:r>
              <w:rPr>
                <w:b/>
                <w:bCs/>
                <w:spacing w:val="-4"/>
              </w:rPr>
              <w:t>：消费者服务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用户服务提升</w:t>
            </w:r>
          </w:p>
        </w:tc>
      </w:tr>
      <w:tr>
        <w:trPr>
          <w:trHeight w:val="2510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2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1.   </w:t>
            </w:r>
            <w:r>
              <w:rPr>
                <w:rFonts w:ascii="SimHei" w:hAnsi="SimHei" w:eastAsia="SimHei" w:cs="SimHei"/>
                <w:spacing w:val="-3"/>
              </w:rPr>
              <w:t>设置友好功能：</w:t>
            </w:r>
            <w:r>
              <w:rPr>
                <w:spacing w:val="-3"/>
              </w:rPr>
              <w:t>隐私号码保护、</w:t>
            </w:r>
            <w:r>
              <w:rPr>
                <w:spacing w:val="-4"/>
              </w:rPr>
              <w:t>个人信息收集及共享清单、简</w:t>
            </w:r>
          </w:p>
          <w:p>
            <w:pPr>
              <w:pStyle w:val="TableText"/>
              <w:ind w:left="539"/>
              <w:spacing w:before="291" w:line="217" w:lineRule="auto"/>
              <w:rPr/>
            </w:pPr>
            <w:r>
              <w:rPr>
                <w:spacing w:val="-1"/>
              </w:rPr>
              <w:t>版隐私权政策、授权弹窗统一优化、透明运维日志</w:t>
            </w:r>
          </w:p>
          <w:p>
            <w:pPr>
              <w:pStyle w:val="TableText"/>
              <w:ind w:left="113"/>
              <w:spacing w:before="291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2.   </w:t>
            </w:r>
            <w:r>
              <w:rPr>
                <w:rFonts w:ascii="SimHei" w:hAnsi="SimHei" w:eastAsia="SimHei" w:cs="SimHei"/>
                <w:spacing w:val="2"/>
              </w:rPr>
              <w:t>保护特殊群体：</w:t>
            </w:r>
            <w:r>
              <w:rPr>
                <w:spacing w:val="2"/>
              </w:rPr>
              <w:t>在青少年模式下增加</w:t>
            </w:r>
            <w:r>
              <w:rPr>
                <w:spacing w:val="-97"/>
              </w:rPr>
              <w:t xml:space="preserve"> </w:t>
            </w:r>
            <w:r>
              <w:rPr>
                <w:spacing w:val="2"/>
              </w:rPr>
              <w:t>“青少</w:t>
            </w:r>
            <w:r>
              <w:rPr>
                <w:spacing w:val="1"/>
              </w:rPr>
              <w:t>年守护协议</w:t>
            </w:r>
            <w:r>
              <w:rPr>
                <w:rFonts w:ascii="Times New Roman" w:hAnsi="Times New Roman" w:eastAsia="Times New Roman" w:cs="Times New Roman"/>
                <w:spacing w:val="1"/>
              </w:rPr>
              <w:t>/</w:t>
            </w:r>
            <w:r>
              <w:rPr>
                <w:spacing w:val="1"/>
              </w:rPr>
              <w:t>未成</w:t>
            </w:r>
          </w:p>
          <w:p>
            <w:pPr>
              <w:pStyle w:val="TableText"/>
              <w:ind w:right="6"/>
              <w:spacing w:before="293" w:line="212" w:lineRule="auto"/>
              <w:jc w:val="right"/>
              <w:rPr/>
            </w:pPr>
            <w:r>
              <w:rPr>
                <w:spacing w:val="-2"/>
              </w:rPr>
              <w:t>年人个人信息保护政策”</w:t>
            </w:r>
            <w:r>
              <w:rPr>
                <w:spacing w:val="-100"/>
              </w:rPr>
              <w:t xml:space="preserve"> </w:t>
            </w:r>
            <w:r>
              <w:rPr>
                <w:rFonts w:ascii="SimHei" w:hAnsi="SimHei" w:eastAsia="SimHei" w:cs="SimHei"/>
                <w:spacing w:val="-2"/>
              </w:rPr>
              <w:t>；</w:t>
            </w:r>
            <w:r>
              <w:rPr>
                <w:spacing w:val="-2"/>
              </w:rPr>
              <w:t>赋予未成年人及其监护人查阅权、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79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2505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3" w:right="106" w:firstLine="7"/>
              <w:spacing w:before="177" w:line="382" w:lineRule="auto"/>
              <w:jc w:val="both"/>
              <w:rPr/>
            </w:pPr>
            <w:r>
              <w:rPr>
                <w:spacing w:val="-5"/>
              </w:rPr>
              <w:t>更正及补充权、撤回同意权、删除权、注销权、复制权和可携</w:t>
            </w:r>
            <w:r>
              <w:rPr>
                <w:spacing w:val="17"/>
              </w:rPr>
              <w:t xml:space="preserve"> </w:t>
            </w:r>
            <w:r>
              <w:rPr>
                <w:spacing w:val="-4"/>
              </w:rPr>
              <w:t>带权、获得解释权；企业不会保存用户的出生年份，仅</w:t>
            </w:r>
            <w:r>
              <w:rPr>
                <w:spacing w:val="-5"/>
              </w:rPr>
              <w:t>会判断</w:t>
            </w:r>
            <w:r>
              <w:rPr/>
              <w:t xml:space="preserve"> </w:t>
            </w:r>
            <w:r>
              <w:rPr>
                <w:spacing w:val="2"/>
              </w:rPr>
              <w:t>用户年龄是否达到年龄限制要求，若企业收集了年龄不满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13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-1"/>
              </w:rPr>
              <w:t>岁儿童的个人信息，将采取一切合理措施尽快删除信息</w:t>
            </w:r>
          </w:p>
        </w:tc>
      </w:tr>
    </w:tbl>
    <w:p>
      <w:pPr>
        <w:ind w:left="441" w:right="37" w:firstLine="581"/>
        <w:spacing w:before="330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“用户沟通交流管理”信息点虽涉及《个人信息保护法》第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五十二条以及《电信和互联网用户个人信息保护规定》第十二条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相关内容，但仅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25%</w:t>
      </w:r>
      <w:r>
        <w:rPr>
          <w:rFonts w:ascii="FangSong" w:hAnsi="FangSong" w:eastAsia="FangSong" w:cs="FangSong"/>
          <w:sz w:val="28"/>
          <w:szCs w:val="28"/>
        </w:rPr>
        <w:t>报告提及了企业所建立的体验评价、申诉投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诉、政策查询、意见征集等用户沟通交流渠道，仅约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7%</w:t>
      </w:r>
      <w:r>
        <w:rPr>
          <w:rFonts w:ascii="FangSong" w:hAnsi="FangSong" w:eastAsia="FangSong" w:cs="FangSong"/>
          <w:sz w:val="28"/>
          <w:szCs w:val="28"/>
          <w:spacing w:val="-5"/>
        </w:rPr>
        <w:t>报告详细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描述了</w:t>
      </w:r>
      <w:r>
        <w:rPr>
          <w:rFonts w:ascii="SimHei" w:hAnsi="SimHei" w:eastAsia="SimHei" w:cs="SimHei"/>
          <w:sz w:val="28"/>
          <w:szCs w:val="28"/>
          <w:spacing w:val="-6"/>
        </w:rPr>
        <w:t>对所沟通交流事项的收集、统计、分析、处置等管理规定</w:t>
      </w:r>
      <w:r>
        <w:rPr>
          <w:rFonts w:ascii="FangSong" w:hAnsi="FangSong" w:eastAsia="FangSong" w:cs="FangSong"/>
          <w:sz w:val="28"/>
          <w:szCs w:val="28"/>
          <w:spacing w:val="-6"/>
        </w:rPr>
        <w:t>，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鉴于合规要求，多数企业已开展相关实践工作，但缺乏将其转化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为信息披露内容的意识及动力。</w:t>
      </w:r>
    </w:p>
    <w:p>
      <w:pPr>
        <w:spacing w:line="28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666"/>
              <w:spacing w:before="177" w:line="217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9</w:t>
            </w:r>
            <w:r>
              <w:rPr>
                <w:b/>
                <w:bCs/>
                <w:spacing w:val="-4"/>
              </w:rPr>
              <w:t>：消费者服务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用户沟通交流管理</w:t>
            </w:r>
          </w:p>
        </w:tc>
      </w:tr>
      <w:tr>
        <w:trPr>
          <w:trHeight w:val="4997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1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提供多样渠道：</w:t>
            </w:r>
            <w:r>
              <w:rPr>
                <w:spacing w:val="-4"/>
              </w:rPr>
              <w:t>隐私保护平台、个人信息保护和隐私问题反馈</w:t>
            </w:r>
          </w:p>
          <w:p>
            <w:pPr>
              <w:pStyle w:val="TableText"/>
              <w:ind w:left="576"/>
              <w:spacing w:before="291" w:line="216" w:lineRule="auto"/>
              <w:rPr/>
            </w:pPr>
            <w:r>
              <w:rPr>
                <w:spacing w:val="-3"/>
              </w:rPr>
              <w:t>问卷、专用邮箱、产品客服、信件邮寄</w:t>
            </w:r>
          </w:p>
          <w:p>
            <w:pPr>
              <w:pStyle w:val="TableText"/>
              <w:ind w:left="551" w:right="106" w:hanging="438"/>
              <w:spacing w:before="295" w:line="400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2.   </w:t>
            </w:r>
            <w:r>
              <w:rPr>
                <w:rFonts w:ascii="SimHei" w:hAnsi="SimHei" w:eastAsia="SimHei" w:cs="SimHei"/>
                <w:spacing w:val="3"/>
              </w:rPr>
              <w:t>结合</w:t>
            </w:r>
            <w:r>
              <w:rPr>
                <w:rFonts w:ascii="SimHei" w:hAnsi="SimHei" w:eastAsia="SimHei" w:cs="SimHei"/>
                <w:spacing w:val="-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APP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</w:t>
            </w:r>
            <w:r>
              <w:rPr>
                <w:rFonts w:ascii="SimHei" w:hAnsi="SimHei" w:eastAsia="SimHei" w:cs="SimHei"/>
                <w:spacing w:val="3"/>
              </w:rPr>
              <w:t>产品：</w:t>
            </w:r>
            <w:r>
              <w:rPr>
                <w:spacing w:val="3"/>
              </w:rPr>
              <w:t>提供前端权利响应便捷</w:t>
            </w:r>
            <w:r>
              <w:rPr>
                <w:spacing w:val="2"/>
              </w:rPr>
              <w:t>交互，用户在产品上</w:t>
            </w:r>
            <w:r>
              <w:rPr/>
              <w:t xml:space="preserve"> </w:t>
            </w:r>
            <w:r>
              <w:rPr>
                <w:spacing w:val="-5"/>
              </w:rPr>
              <w:t>直接行使权利，如：人工智能问答助手便捷响应用户查阅和复</w:t>
            </w:r>
            <w:r>
              <w:rPr>
                <w:spacing w:val="16"/>
              </w:rPr>
              <w:t xml:space="preserve"> </w:t>
            </w:r>
            <w:r>
              <w:rPr>
                <w:spacing w:val="-3"/>
              </w:rPr>
              <w:t>制个人信息需求</w:t>
            </w:r>
          </w:p>
          <w:p>
            <w:pPr>
              <w:pStyle w:val="TableText"/>
              <w:ind w:left="540" w:right="106" w:hanging="421"/>
              <w:spacing w:before="49" w:line="373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构建处置措施：</w:t>
            </w:r>
            <w:r>
              <w:rPr>
                <w:spacing w:val="-3"/>
              </w:rPr>
              <w:t>建立一体化个人信息</w:t>
            </w:r>
            <w:r>
              <w:rPr>
                <w:spacing w:val="-4"/>
              </w:rPr>
              <w:t>主体权利响应流程和处理</w:t>
            </w:r>
            <w:r>
              <w:rPr/>
              <w:t xml:space="preserve"> </w:t>
            </w:r>
            <w:r>
              <w:rPr>
                <w:spacing w:val="-4"/>
              </w:rPr>
              <w:t>机制；要求专职人员处理个保投诉和举报；要求在</w:t>
            </w:r>
            <w:r>
              <w:rPr>
                <w:spacing w:val="-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XX </w:t>
            </w:r>
            <w:r>
              <w:rPr>
                <w:spacing w:val="-4"/>
              </w:rPr>
              <w:t>个工作</w:t>
            </w:r>
            <w:r>
              <w:rPr/>
              <w:t xml:space="preserve"> </w:t>
            </w:r>
            <w:r>
              <w:rPr>
                <w:spacing w:val="-1"/>
              </w:rPr>
              <w:t>日内向用户反馈投诉结果；定期回访投诉举报用户</w:t>
            </w:r>
          </w:p>
        </w:tc>
      </w:tr>
    </w:tbl>
    <w:p>
      <w:pPr>
        <w:ind w:left="1023"/>
        <w:spacing w:before="327" w:line="21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“信息披露及提升公众意识”作为披露率最低的信息点，仅</w:t>
      </w:r>
    </w:p>
    <w:p>
      <w:pPr>
        <w:spacing w:line="216" w:lineRule="auto"/>
        <w:sectPr>
          <w:footerReference w:type="default" r:id="rId80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4" w:lineRule="auto"/>
        <w:rPr/>
      </w:pPr>
      <w:r/>
    </w:p>
    <w:p>
      <w:pPr>
        <w:ind w:left="436" w:right="112" w:firstLine="30"/>
        <w:spacing w:before="91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11.36%</w:t>
      </w:r>
      <w:r>
        <w:rPr>
          <w:rFonts w:ascii="FangSong" w:hAnsi="FangSong" w:eastAsia="FangSong" w:cs="FangSong"/>
          <w:sz w:val="28"/>
          <w:szCs w:val="28"/>
        </w:rPr>
        <w:t>报告提及企业通过官方网站、应</w:t>
      </w:r>
      <w:r>
        <w:rPr>
          <w:rFonts w:ascii="FangSong" w:hAnsi="FangSong" w:eastAsia="FangSong" w:cs="FangSong"/>
          <w:sz w:val="28"/>
          <w:szCs w:val="28"/>
          <w:spacing w:val="-1"/>
        </w:rPr>
        <w:t>用程序、行业组织会议等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渠道，面向公众所开展的信息披露、知识普及、意识宣传、警示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案例教育等内容，仅有不足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4%</w:t>
      </w:r>
      <w:r>
        <w:rPr>
          <w:rFonts w:ascii="FangSong" w:hAnsi="FangSong" w:eastAsia="FangSong" w:cs="FangSong"/>
          <w:sz w:val="28"/>
          <w:szCs w:val="28"/>
          <w:spacing w:val="-4"/>
        </w:rPr>
        <w:t>报告披露了活动</w:t>
      </w:r>
      <w:r>
        <w:rPr>
          <w:rFonts w:ascii="FangSong" w:hAnsi="FangSong" w:eastAsia="FangSong" w:cs="FangSong"/>
          <w:sz w:val="28"/>
          <w:szCs w:val="28"/>
          <w:spacing w:val="-5"/>
        </w:rPr>
        <w:t>触达人数等定量化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数据。充分说明当前企业多关注面向消费者的信息披露，而</w:t>
      </w:r>
      <w:r>
        <w:rPr>
          <w:rFonts w:ascii="SimHei" w:hAnsi="SimHei" w:eastAsia="SimHei" w:cs="SimHei"/>
          <w:sz w:val="28"/>
          <w:szCs w:val="28"/>
          <w:spacing w:val="1"/>
        </w:rPr>
        <w:t>并未</w:t>
      </w:r>
      <w:r>
        <w:rPr>
          <w:rFonts w:ascii="SimHei" w:hAnsi="SimHei" w:eastAsia="SimHei" w:cs="SimHei"/>
          <w:sz w:val="28"/>
          <w:szCs w:val="28"/>
          <w:spacing w:val="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重视自身产品服务的强大社会影响力</w:t>
      </w:r>
      <w:r>
        <w:rPr>
          <w:rFonts w:ascii="FangSong" w:hAnsi="FangSong" w:eastAsia="FangSong" w:cs="FangSong"/>
          <w:sz w:val="28"/>
          <w:szCs w:val="28"/>
          <w:spacing w:val="1"/>
        </w:rPr>
        <w:t>，面向提升公众意识的个保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信息披露动力和实践均有较大提升空间。</w:t>
      </w:r>
    </w:p>
    <w:p>
      <w:pPr>
        <w:spacing w:line="32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176"/>
              <w:spacing w:before="178" w:line="217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10</w:t>
            </w:r>
            <w:r>
              <w:rPr>
                <w:b/>
                <w:bCs/>
                <w:spacing w:val="-4"/>
              </w:rPr>
              <w:t>：消费者服务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信息披露及提升公众意识</w:t>
            </w:r>
          </w:p>
        </w:tc>
      </w:tr>
      <w:tr>
        <w:trPr>
          <w:trHeight w:val="250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3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1.   </w:t>
            </w:r>
            <w:r>
              <w:rPr>
                <w:rFonts w:ascii="SimHei" w:hAnsi="SimHei" w:eastAsia="SimHei" w:cs="SimHei"/>
                <w:spacing w:val="-1"/>
              </w:rPr>
              <w:t>搭建普及平台：</w:t>
            </w:r>
            <w:r>
              <w:rPr>
                <w:spacing w:val="-1"/>
              </w:rPr>
              <w:t>搭建规则中心、教育专区等平台</w:t>
            </w:r>
          </w:p>
          <w:p>
            <w:pPr>
              <w:pStyle w:val="TableText"/>
              <w:ind w:left="546" w:right="106" w:hanging="433"/>
              <w:spacing w:before="292" w:line="37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发布普及报告：</w:t>
            </w:r>
            <w:r>
              <w:rPr>
                <w:spacing w:val="-3"/>
              </w:rPr>
              <w:t>制作《隐私安全白皮书》、《老年</w:t>
            </w:r>
            <w:r>
              <w:rPr>
                <w:spacing w:val="-4"/>
              </w:rPr>
              <w:t>人隐私保护</w:t>
            </w:r>
            <w:r>
              <w:rPr/>
              <w:t xml:space="preserve"> </w:t>
            </w:r>
            <w:r>
              <w:rPr>
                <w:spacing w:val="-4"/>
              </w:rPr>
              <w:t>知识手册》系列漫画、《数字安全专项竞答》等</w:t>
            </w:r>
            <w:r>
              <w:rPr>
                <w:spacing w:val="-5"/>
              </w:rPr>
              <w:t>，并在所搭建</w:t>
            </w:r>
            <w:r>
              <w:rPr/>
              <w:t xml:space="preserve"> </w:t>
            </w:r>
            <w:r>
              <w:rPr>
                <w:spacing w:val="-1"/>
              </w:rPr>
              <w:t>的平台、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APP </w:t>
            </w:r>
            <w:r>
              <w:rPr>
                <w:spacing w:val="-1"/>
              </w:rPr>
              <w:t>产品等渠道发布</w:t>
            </w:r>
          </w:p>
        </w:tc>
      </w:tr>
    </w:tbl>
    <w:p>
      <w:pPr>
        <w:ind w:left="1112"/>
        <w:spacing w:before="332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36" w:id="127"/>
      <w:bookmarkEnd w:id="127"/>
      <w:bookmarkStart w:name="bookmark35" w:id="128"/>
      <w:bookmarkEnd w:id="128"/>
      <w:r>
        <w:rPr>
          <w:rFonts w:ascii="KaiTi" w:hAnsi="KaiTi" w:eastAsia="KaiTi" w:cs="KaiTi"/>
          <w:sz w:val="31"/>
          <w:szCs w:val="31"/>
          <w:b/>
          <w:bCs/>
          <w:spacing w:val="6"/>
        </w:rPr>
        <w:t>（四）责任链支持优于监督，技术研发亮点涌现</w:t>
      </w:r>
    </w:p>
    <w:p>
      <w:pPr>
        <w:ind w:left="443" w:right="30" w:firstLine="558"/>
        <w:spacing w:before="326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生态圈及供应链发展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维度关注企业面向生态伙伴和供应商所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开展的个保实践情况，重点分析</w:t>
      </w:r>
      <w:r>
        <w:rPr>
          <w:rFonts w:ascii="FangSong" w:hAnsi="FangSong" w:eastAsia="FangSong" w:cs="FangSong"/>
          <w:sz w:val="28"/>
          <w:szCs w:val="28"/>
          <w:spacing w:val="-9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“生态圈及供应链筛选”“</w:t>
      </w:r>
      <w:r>
        <w:rPr>
          <w:rFonts w:ascii="FangSong" w:hAnsi="FangSong" w:eastAsia="FangSong" w:cs="FangSong"/>
          <w:sz w:val="28"/>
          <w:szCs w:val="28"/>
          <w:spacing w:val="-9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向第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三方提供用户个人信息的管理规定”“生态圈及供应商监督管理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措施”“生态圈及供应商履责支持措施”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4 </w:t>
      </w:r>
      <w:r>
        <w:rPr>
          <w:rFonts w:ascii="FangSong" w:hAnsi="FangSong" w:eastAsia="FangSong" w:cs="FangSong"/>
          <w:sz w:val="28"/>
          <w:szCs w:val="28"/>
          <w:spacing w:val="-3"/>
        </w:rPr>
        <w:t>个信息点的披露</w:t>
      </w:r>
      <w:r>
        <w:rPr>
          <w:rFonts w:ascii="FangSong" w:hAnsi="FangSong" w:eastAsia="FangSong" w:cs="FangSong"/>
          <w:sz w:val="28"/>
          <w:szCs w:val="28"/>
          <w:spacing w:val="-4"/>
        </w:rPr>
        <w:t>情况。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整体看，生态圈及供应链发展维度平均披露率不足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25%</w:t>
      </w:r>
      <w:r>
        <w:rPr>
          <w:rFonts w:ascii="FangSong" w:hAnsi="FangSong" w:eastAsia="FangSong" w:cs="FangSong"/>
          <w:sz w:val="28"/>
          <w:szCs w:val="28"/>
        </w:rPr>
        <w:t>，鉴于生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态伙伴和供应商对于个人信息及用户隐私保护的重要意义，该维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度的信息披露水平亟需提升。</w:t>
      </w:r>
    </w:p>
    <w:p>
      <w:pPr>
        <w:ind w:left="471" w:right="112" w:firstLine="551"/>
        <w:spacing w:before="46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“生态圈及供应链筛选”主要关注企业筛选</w:t>
      </w:r>
      <w:r>
        <w:rPr>
          <w:rFonts w:ascii="FangSong" w:hAnsi="FangSong" w:eastAsia="FangSong" w:cs="FangSong"/>
          <w:sz w:val="28"/>
          <w:szCs w:val="28"/>
          <w:spacing w:val="-3"/>
        </w:rPr>
        <w:t>生态伙伴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供应商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时，考虑个人信息保护相关基线要求。作为披露率排名倒数第二</w:t>
      </w:r>
    </w:p>
    <w:p>
      <w:pPr>
        <w:spacing w:line="396" w:lineRule="auto"/>
        <w:sectPr>
          <w:footerReference w:type="default" r:id="rId81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7" w:lineRule="auto"/>
        <w:rPr/>
      </w:pPr>
      <w:r/>
    </w:p>
    <w:p>
      <w:pPr>
        <w:ind w:left="457" w:right="112" w:firstLine="12"/>
        <w:spacing w:before="91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5"/>
        </w:rPr>
        <w:t>的信息点（</w:t>
      </w:r>
      <w:r>
        <w:rPr>
          <w:rFonts w:ascii="FangSong" w:hAnsi="FangSong" w:eastAsia="FangSong" w:cs="FangSong"/>
          <w:sz w:val="28"/>
          <w:szCs w:val="28"/>
          <w:spacing w:val="-7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13.64%</w:t>
      </w:r>
      <w:r>
        <w:rPr>
          <w:rFonts w:ascii="FangSong" w:hAnsi="FangSong" w:eastAsia="FangSong" w:cs="FangSong"/>
          <w:sz w:val="28"/>
          <w:szCs w:val="28"/>
          <w:spacing w:val="31"/>
        </w:rPr>
        <w:t>），</w:t>
      </w:r>
      <w:r>
        <w:rPr>
          <w:rFonts w:ascii="FangSong" w:hAnsi="FangSong" w:eastAsia="FangSong" w:cs="FangSong"/>
          <w:sz w:val="28"/>
          <w:szCs w:val="28"/>
          <w:spacing w:val="-5"/>
        </w:rPr>
        <w:t>当前行业具体实践方式也较为单一，如要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求生态伙伴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供应商签署协议并承诺、提供个人信息保护能力相关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的评估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/</w:t>
      </w:r>
      <w:r>
        <w:rPr>
          <w:rFonts w:ascii="FangSong" w:hAnsi="FangSong" w:eastAsia="FangSong" w:cs="FangSong"/>
          <w:sz w:val="28"/>
          <w:szCs w:val="28"/>
          <w:spacing w:val="-1"/>
        </w:rPr>
        <w:t>认证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/</w:t>
      </w:r>
      <w:r>
        <w:rPr>
          <w:rFonts w:ascii="FangSong" w:hAnsi="FangSong" w:eastAsia="FangSong" w:cs="FangSong"/>
          <w:sz w:val="28"/>
          <w:szCs w:val="28"/>
          <w:spacing w:val="-1"/>
        </w:rPr>
        <w:t>审计结果、接受企业开展的个保合规尽职调查等。</w:t>
      </w:r>
    </w:p>
    <w:p>
      <w:pPr>
        <w:ind w:left="446" w:right="112" w:firstLine="577"/>
        <w:spacing w:before="43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“</w:t>
      </w:r>
      <w:r>
        <w:rPr>
          <w:rFonts w:ascii="FangSong" w:hAnsi="FangSong" w:eastAsia="FangSong" w:cs="FangSong"/>
          <w:sz w:val="28"/>
          <w:szCs w:val="28"/>
          <w:spacing w:val="-9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向第三方提供用户个人信息的管理规定”是个人信</w:t>
      </w:r>
      <w:r>
        <w:rPr>
          <w:rFonts w:ascii="FangSong" w:hAnsi="FangSong" w:eastAsia="FangSong" w:cs="FangSong"/>
          <w:sz w:val="28"/>
          <w:szCs w:val="28"/>
          <w:spacing w:val="-2"/>
        </w:rPr>
        <w:t>息保护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管理的另一关键节点，也是</w:t>
      </w:r>
      <w:r>
        <w:rPr>
          <w:rFonts w:ascii="SimHei" w:hAnsi="SimHei" w:eastAsia="SimHei" w:cs="SimHei"/>
          <w:sz w:val="28"/>
          <w:szCs w:val="28"/>
          <w:spacing w:val="1"/>
        </w:rPr>
        <w:t>生态圈及供应链发展维度中披露率最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高的信息点</w:t>
      </w:r>
      <w:r>
        <w:rPr>
          <w:rFonts w:ascii="FangSong" w:hAnsi="FangSong" w:eastAsia="FangSong" w:cs="FangSong"/>
          <w:sz w:val="28"/>
          <w:szCs w:val="28"/>
        </w:rPr>
        <w:t>，</w:t>
      </w:r>
      <w:r>
        <w:rPr>
          <w:rFonts w:ascii="Times New Roman" w:hAnsi="Times New Roman" w:eastAsia="Times New Roman" w:cs="Times New Roman"/>
          <w:sz w:val="28"/>
          <w:szCs w:val="28"/>
        </w:rPr>
        <w:t>34.09%</w:t>
      </w:r>
      <w:r>
        <w:rPr>
          <w:rFonts w:ascii="FangSong" w:hAnsi="FangSong" w:eastAsia="FangSong" w:cs="FangSong"/>
          <w:sz w:val="28"/>
          <w:szCs w:val="28"/>
        </w:rPr>
        <w:t>报告披露了企业向第三方提供个人信息的管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理规定，如通过合同、协议等形式约定个人信息及数据的使用目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的、使用范围、保密约定、安全责任等内容。</w:t>
      </w:r>
    </w:p>
    <w:p>
      <w:pPr>
        <w:spacing w:line="33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888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3500" w:right="325" w:hanging="3159"/>
              <w:spacing w:before="116" w:line="251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11</w:t>
            </w:r>
            <w:r>
              <w:rPr>
                <w:b/>
                <w:bCs/>
                <w:spacing w:val="-4"/>
              </w:rPr>
              <w:t>：生态圈及供应链发展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向第三方提供用户个人信息的</w:t>
            </w:r>
            <w:r>
              <w:rPr/>
              <w:t xml:space="preserve"> </w:t>
            </w:r>
            <w:r>
              <w:rPr>
                <w:b/>
                <w:bCs/>
                <w:spacing w:val="-6"/>
              </w:rPr>
              <w:t>管理规定</w:t>
            </w:r>
          </w:p>
        </w:tc>
      </w:tr>
      <w:tr>
        <w:trPr>
          <w:trHeight w:val="3126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4" w:line="221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确定提供原则：</w:t>
            </w:r>
            <w:r>
              <w:rPr>
                <w:spacing w:val="-4"/>
              </w:rPr>
              <w:t>合规前提、最小必要、安全审慎、严格限制用</w:t>
            </w:r>
          </w:p>
          <w:p>
            <w:pPr>
              <w:pStyle w:val="TableText"/>
              <w:ind w:left="543"/>
              <w:spacing w:before="290" w:line="215" w:lineRule="auto"/>
              <w:rPr/>
            </w:pPr>
            <w:r>
              <w:rPr>
                <w:spacing w:val="-1"/>
              </w:rPr>
              <w:t>途、获得用户授权、禁止高保密级别个保数据等</w:t>
            </w:r>
          </w:p>
          <w:p>
            <w:pPr>
              <w:pStyle w:val="TableText"/>
              <w:ind w:left="534" w:right="106" w:hanging="421"/>
              <w:spacing w:before="293" w:line="373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2.   </w:t>
            </w:r>
            <w:r>
              <w:rPr>
                <w:rFonts w:ascii="SimHei" w:hAnsi="SimHei" w:eastAsia="SimHei" w:cs="SimHei"/>
                <w:spacing w:val="-2"/>
              </w:rPr>
              <w:t>建立管理制度：</w:t>
            </w:r>
            <w:r>
              <w:rPr>
                <w:spacing w:val="-2"/>
              </w:rPr>
              <w:t>建立并依据《对</w:t>
            </w:r>
            <w:r>
              <w:rPr>
                <w:spacing w:val="-3"/>
              </w:rPr>
              <w:t>外数据披露规范》和《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API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-3"/>
              </w:rPr>
              <w:t>数</w:t>
            </w:r>
            <w:r>
              <w:rPr/>
              <w:t xml:space="preserve"> </w:t>
            </w:r>
            <w:r>
              <w:rPr>
                <w:spacing w:val="-4"/>
              </w:rPr>
              <w:t>据管理规范》、《第三方个人信息保护能力评估表》等第三方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信息使用和留存方面的管理和要求</w:t>
            </w:r>
          </w:p>
        </w:tc>
      </w:tr>
    </w:tbl>
    <w:p>
      <w:pPr>
        <w:ind w:left="445" w:right="82" w:firstLine="578"/>
        <w:spacing w:before="327" w:line="40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4"/>
        </w:rPr>
        <w:t>“生态圈及供应商监督管理措施”</w:t>
      </w:r>
      <w:r>
        <w:rPr>
          <w:rFonts w:ascii="FangSong" w:hAnsi="FangSong" w:eastAsia="FangSong" w:cs="FangSong"/>
          <w:sz w:val="28"/>
          <w:szCs w:val="28"/>
          <w:spacing w:val="-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信息披露实践同样较弱，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仅</w:t>
      </w:r>
      <w:r>
        <w:rPr>
          <w:rFonts w:ascii="FangSong" w:hAnsi="FangSong" w:eastAsia="FangSong" w:cs="FangSong"/>
          <w:sz w:val="28"/>
          <w:szCs w:val="28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18.18%</w:t>
      </w:r>
      <w:r>
        <w:rPr>
          <w:rFonts w:ascii="FangSong" w:hAnsi="FangSong" w:eastAsia="FangSong" w:cs="FangSong"/>
          <w:sz w:val="28"/>
          <w:szCs w:val="28"/>
          <w:spacing w:val="3"/>
        </w:rPr>
        <w:t>报告披露了企业在个人信息保护方面对生态伙伴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FangSong" w:hAnsi="FangSong" w:eastAsia="FangSong" w:cs="FangSong"/>
          <w:sz w:val="28"/>
          <w:szCs w:val="28"/>
          <w:spacing w:val="3"/>
        </w:rPr>
        <w:t>供应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商所开展的监督管理措施，且</w:t>
      </w:r>
      <w:r>
        <w:rPr>
          <w:rFonts w:ascii="SimHei" w:hAnsi="SimHei" w:eastAsia="SimHei" w:cs="SimHei"/>
          <w:sz w:val="28"/>
          <w:szCs w:val="28"/>
          <w:spacing w:val="1"/>
        </w:rPr>
        <w:t>几乎没有定量化数据披露</w:t>
      </w:r>
      <w:r>
        <w:rPr>
          <w:rFonts w:ascii="FangSong" w:hAnsi="FangSong" w:eastAsia="FangSong" w:cs="FangSong"/>
          <w:sz w:val="28"/>
          <w:szCs w:val="28"/>
          <w:spacing w:val="1"/>
        </w:rPr>
        <w:t>（如监督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措施实施的次数、对象、效果、典型案例等）。</w:t>
      </w:r>
    </w:p>
    <w:p>
      <w:pPr>
        <w:spacing w:line="35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331"/>
              <w:spacing w:before="177" w:line="219" w:lineRule="auto"/>
              <w:rPr/>
            </w:pPr>
            <w:r>
              <w:rPr>
                <w:b/>
                <w:bCs/>
                <w:spacing w:val="-3"/>
              </w:rPr>
              <w:t>案例</w:t>
            </w:r>
            <w:r>
              <w:rPr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12</w:t>
            </w:r>
            <w:r>
              <w:rPr>
                <w:b/>
                <w:bCs/>
                <w:spacing w:val="-3"/>
              </w:rPr>
              <w:t>：生态圈及供应链发展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-</w:t>
            </w:r>
            <w:r>
              <w:rPr>
                <w:b/>
                <w:bCs/>
                <w:spacing w:val="-3"/>
              </w:rPr>
              <w:t>生态圈及供应商监督管</w:t>
            </w:r>
            <w:r>
              <w:rPr>
                <w:b/>
                <w:bCs/>
                <w:spacing w:val="-4"/>
              </w:rPr>
              <w:t>理措施</w:t>
            </w:r>
          </w:p>
        </w:tc>
      </w:tr>
      <w:tr>
        <w:trPr>
          <w:trHeight w:val="126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5" w:right="19" w:hanging="405"/>
              <w:spacing w:before="172" w:line="356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建立管理制度：</w:t>
            </w:r>
            <w:r>
              <w:rPr>
                <w:spacing w:val="-4"/>
              </w:rPr>
              <w:t>建立《开发者安全能力标准》、《生态合作伙</w:t>
            </w:r>
            <w:r>
              <w:rPr/>
              <w:t xml:space="preserve"> </w:t>
            </w:r>
            <w:r>
              <w:rPr>
                <w:spacing w:val="-11"/>
              </w:rPr>
              <w:t>伴安全管理规范》，对获取授权用户个人信息的商户、服务商、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82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3129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6"/>
              <w:spacing w:before="177" w:line="216" w:lineRule="auto"/>
              <w:rPr/>
            </w:pPr>
            <w:r>
              <w:rPr>
                <w:spacing w:val="-2"/>
              </w:rPr>
              <w:t>合作机构等明确能力标准</w:t>
            </w:r>
          </w:p>
          <w:p>
            <w:pPr>
              <w:pStyle w:val="TableText"/>
              <w:ind w:left="539" w:right="106" w:hanging="426"/>
              <w:spacing w:before="296" w:line="38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开展监督措施：</w:t>
            </w:r>
            <w:r>
              <w:rPr>
                <w:spacing w:val="-3"/>
              </w:rPr>
              <w:t>开展评估考核及全检抽检（确保持</w:t>
            </w:r>
            <w:r>
              <w:rPr>
                <w:spacing w:val="-4"/>
              </w:rPr>
              <w:t>续达到管理</w:t>
            </w:r>
            <w:r>
              <w:rPr/>
              <w:t xml:space="preserve"> </w:t>
            </w:r>
            <w:r>
              <w:rPr>
                <w:spacing w:val="-4"/>
              </w:rPr>
              <w:t>制度要求的能力标准）、联合演练（发现个人信息处理、人员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管理、安全运维等过程中的问题或缺陷）、处罚措施（确定个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保相关问题的违规罚则）</w:t>
            </w:r>
          </w:p>
        </w:tc>
      </w:tr>
    </w:tbl>
    <w:p>
      <w:pPr>
        <w:ind w:left="442" w:right="279" w:firstLine="580"/>
        <w:spacing w:before="323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“生态圈及供应商履责支持措施”主要关注企业所制定并实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施的履责支持及鼓励措施，目前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22.73%</w:t>
      </w:r>
      <w:r>
        <w:rPr>
          <w:rFonts w:ascii="FangSong" w:hAnsi="FangSong" w:eastAsia="FangSong" w:cs="FangSong"/>
          <w:sz w:val="28"/>
          <w:szCs w:val="28"/>
          <w:spacing w:val="-2"/>
        </w:rPr>
        <w:t>报告披露了该内容，具体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支持措施包括：开展周期性或专项培训、典型案例发布及解读、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提供支持性工具（如隐私合规自测工具、营销隐私计算解决方案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等</w:t>
      </w:r>
      <w:r>
        <w:rPr>
          <w:rFonts w:ascii="FangSong" w:hAnsi="FangSong" w:eastAsia="FangSong" w:cs="FangSong"/>
          <w:sz w:val="28"/>
          <w:szCs w:val="28"/>
          <w:spacing w:val="7"/>
        </w:rPr>
        <w:t>），</w:t>
      </w:r>
      <w:r>
        <w:rPr>
          <w:rFonts w:ascii="FangSong" w:hAnsi="FangSong" w:eastAsia="FangSong" w:cs="FangSong"/>
          <w:sz w:val="28"/>
          <w:szCs w:val="28"/>
          <w:spacing w:val="1"/>
        </w:rPr>
        <w:t>但也几乎没有定量化数据披露（如支持鼓励</w:t>
      </w:r>
      <w:r>
        <w:rPr>
          <w:rFonts w:ascii="FangSong" w:hAnsi="FangSong" w:eastAsia="FangSong" w:cs="FangSong"/>
          <w:sz w:val="28"/>
          <w:szCs w:val="28"/>
        </w:rPr>
        <w:t>措施的提供次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数、措施覆盖率、生态伙伴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供应商参与情况、生态伙伴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供应商履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责效果等）。</w:t>
      </w:r>
    </w:p>
    <w:p>
      <w:pPr>
        <w:ind w:left="441" w:firstLine="578"/>
        <w:spacing w:before="39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与其他主题该信息点的披露情况不同，个人</w:t>
      </w:r>
      <w:r>
        <w:rPr>
          <w:rFonts w:ascii="FangSong" w:hAnsi="FangSong" w:eastAsia="FangSong" w:cs="FangSong"/>
          <w:sz w:val="28"/>
          <w:szCs w:val="28"/>
        </w:rPr>
        <w:t>信息保护相关的</w:t>
      </w:r>
      <w:r>
        <w:rPr>
          <w:rFonts w:ascii="FangSong" w:hAnsi="FangSong" w:eastAsia="FangSong" w:cs="FangSong"/>
          <w:sz w:val="28"/>
          <w:szCs w:val="28"/>
        </w:rPr>
        <w:t xml:space="preserve">   </w:t>
      </w:r>
      <w:r>
        <w:rPr>
          <w:rFonts w:ascii="SimHei" w:hAnsi="SimHei" w:eastAsia="SimHei" w:cs="SimHei"/>
          <w:sz w:val="28"/>
          <w:szCs w:val="28"/>
          <w:spacing w:val="1"/>
        </w:rPr>
        <w:t>履责支持措施披露率略高于监督管理措施</w:t>
      </w:r>
      <w:r>
        <w:rPr>
          <w:rFonts w:ascii="FangSong" w:hAnsi="FangSong" w:eastAsia="FangSong" w:cs="FangSong"/>
          <w:sz w:val="28"/>
          <w:szCs w:val="28"/>
          <w:spacing w:val="1"/>
        </w:rPr>
        <w:t>。其原因一是合作伙伴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  </w:t>
      </w:r>
      <w:r>
        <w:rPr>
          <w:rFonts w:ascii="FangSong" w:hAnsi="FangSong" w:eastAsia="FangSong" w:cs="FangSong"/>
          <w:sz w:val="28"/>
          <w:szCs w:val="28"/>
        </w:rPr>
        <w:t>及供应商个人信息保护合规情况直接影响整个生</w:t>
      </w:r>
      <w:r>
        <w:rPr>
          <w:rFonts w:ascii="FangSong" w:hAnsi="FangSong" w:eastAsia="FangSong" w:cs="FangSong"/>
          <w:sz w:val="28"/>
          <w:szCs w:val="28"/>
          <w:spacing w:val="-1"/>
        </w:rPr>
        <w:t>态圈的合规表现，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0"/>
        </w:rPr>
        <w:t>因此以应用分发平台为主的“链主”企业投入了丰富资源支持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-3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0"/>
        </w:rPr>
        <w:t>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小程序等生态伙伴产品的合规识别和改进工作；二是当前“链主”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企业同时向合作伙伴及供应商提供更优质的相关付费工具及咨询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1"/>
        </w:rPr>
        <w:t>服务，基于商业化考虑，企业也会更有意愿信息披露而吸引潜在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-1"/>
        </w:rPr>
        <w:t>客户的关注。</w:t>
      </w:r>
    </w:p>
    <w:p>
      <w:pPr>
        <w:ind w:left="441" w:right="279" w:firstLine="560"/>
        <w:spacing w:before="41" w:line="394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促进产业提升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维度关注企业所投入个保相关的研发资源，以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及促进个保产业发展方面的实践情况，重点分析</w:t>
      </w:r>
      <w:r>
        <w:rPr>
          <w:rFonts w:ascii="FangSong" w:hAnsi="FangSong" w:eastAsia="FangSong" w:cs="FangSong"/>
          <w:sz w:val="28"/>
          <w:szCs w:val="28"/>
          <w:spacing w:val="-100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“技术研</w:t>
      </w:r>
      <w:r>
        <w:rPr>
          <w:rFonts w:ascii="FangSong" w:hAnsi="FangSong" w:eastAsia="FangSong" w:cs="FangSong"/>
          <w:sz w:val="28"/>
          <w:szCs w:val="28"/>
          <w:spacing w:val="-1"/>
        </w:rPr>
        <w:t>发及应</w:t>
      </w:r>
    </w:p>
    <w:p>
      <w:pPr>
        <w:spacing w:line="394" w:lineRule="auto"/>
        <w:sectPr>
          <w:headerReference w:type="default" r:id="rId83"/>
          <w:footerReference w:type="default" r:id="rId84"/>
          <w:pgSz w:w="11906" w:h="16839"/>
          <w:pgMar w:top="1134" w:right="1520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7" w:lineRule="auto"/>
        <w:rPr/>
      </w:pPr>
      <w:r/>
    </w:p>
    <w:p>
      <w:pPr>
        <w:ind w:left="445" w:right="168"/>
        <w:spacing w:before="91" w:line="400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用”和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“共推产业发展”两个信息点的披露情况</w:t>
      </w:r>
      <w:r>
        <w:rPr>
          <w:rFonts w:ascii="FangSong" w:hAnsi="FangSong" w:eastAsia="FangSong" w:cs="FangSong"/>
          <w:sz w:val="28"/>
          <w:szCs w:val="28"/>
          <w:spacing w:val="-1"/>
        </w:rPr>
        <w:t>。整体看，促进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产业提升维度平均披露率为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38.68%</w:t>
      </w:r>
      <w:r>
        <w:rPr>
          <w:rFonts w:ascii="FangSong" w:hAnsi="FangSong" w:eastAsia="FangSong" w:cs="FangSong"/>
          <w:sz w:val="28"/>
          <w:szCs w:val="28"/>
          <w:spacing w:val="-2"/>
        </w:rPr>
        <w:t>，该维度并</w:t>
      </w:r>
      <w:r>
        <w:rPr>
          <w:rFonts w:ascii="FangSong" w:hAnsi="FangSong" w:eastAsia="FangSong" w:cs="FangSong"/>
          <w:sz w:val="28"/>
          <w:szCs w:val="28"/>
          <w:spacing w:val="-3"/>
        </w:rPr>
        <w:t>不像其他维度与企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业业务和实际工作关联紧密，因此信息披露情况表现相对较好。</w:t>
      </w:r>
    </w:p>
    <w:p>
      <w:pPr>
        <w:ind w:left="442" w:firstLine="563"/>
        <w:spacing w:before="46" w:line="40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个人信息及用户隐私保护的发展有赖于技术创新和资源投入，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共有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41%</w:t>
      </w:r>
      <w:r>
        <w:rPr>
          <w:rFonts w:ascii="FangSong" w:hAnsi="FangSong" w:eastAsia="FangSong" w:cs="FangSong"/>
          <w:sz w:val="28"/>
          <w:szCs w:val="28"/>
          <w:spacing w:val="-1"/>
        </w:rPr>
        <w:t>报告披露了</w:t>
      </w:r>
      <w:r>
        <w:rPr>
          <w:rFonts w:ascii="SimHei" w:hAnsi="SimHei" w:eastAsia="SimHei" w:cs="SimHei"/>
          <w:sz w:val="28"/>
          <w:szCs w:val="28"/>
          <w:spacing w:val="-1"/>
        </w:rPr>
        <w:t>企业在支持鼓励前沿技术积累、研发创新、</w:t>
      </w:r>
      <w:r>
        <w:rPr>
          <w:rFonts w:ascii="SimHei" w:hAnsi="SimHei" w:eastAsia="SimHei" w:cs="SimHei"/>
          <w:sz w:val="28"/>
          <w:szCs w:val="28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"/>
        </w:rPr>
        <w:t>技术应用、知识产权保护、成果转化方面的相关管理办法、激励</w:t>
      </w:r>
      <w:r>
        <w:rPr>
          <w:rFonts w:ascii="SimHei" w:hAnsi="SimHei" w:eastAsia="SimHei" w:cs="SimHei"/>
          <w:sz w:val="28"/>
          <w:szCs w:val="28"/>
          <w:spacing w:val="4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"/>
        </w:rPr>
        <w:t>政策及实施效果</w:t>
      </w:r>
      <w:r>
        <w:rPr>
          <w:rFonts w:ascii="FangSong" w:hAnsi="FangSong" w:eastAsia="FangSong" w:cs="FangSong"/>
          <w:sz w:val="28"/>
          <w:szCs w:val="28"/>
          <w:spacing w:val="1"/>
        </w:rPr>
        <w:t>。其原因一是该信息易出现亮点成果，如技术工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具获得了相关测评、认证、奖项等；二是企业披露动力较充分，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既体现了企业长期投入技术研发的态度，又可为所研发技术未来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"/>
        </w:rPr>
        <w:t>的商业化布局预热。</w:t>
      </w:r>
    </w:p>
    <w:p>
      <w:pPr>
        <w:ind w:left="442" w:right="168" w:firstLine="576"/>
        <w:spacing w:before="49" w:line="404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与</w:t>
      </w:r>
      <w:r>
        <w:rPr>
          <w:rFonts w:ascii="FangSong" w:hAnsi="FangSong" w:eastAsia="FangSong" w:cs="FangSong"/>
          <w:sz w:val="28"/>
          <w:szCs w:val="28"/>
          <w:spacing w:val="-9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“技术研发及应用”基本相同，</w:t>
      </w:r>
      <w:r>
        <w:rPr>
          <w:rFonts w:ascii="FangSong" w:hAnsi="FangSong" w:eastAsia="FangSong" w:cs="FangSong"/>
          <w:sz w:val="28"/>
          <w:szCs w:val="28"/>
          <w:spacing w:val="-9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“共推产业发展”同样亮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点成果较多且企业披露动力较足。目前共有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36.36%</w:t>
      </w:r>
      <w:r>
        <w:rPr>
          <w:rFonts w:ascii="FangSong" w:hAnsi="FangSong" w:eastAsia="FangSong" w:cs="FangSong"/>
          <w:sz w:val="28"/>
          <w:szCs w:val="28"/>
          <w:spacing w:val="-3"/>
        </w:rPr>
        <w:t>报告披露了企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业积极参与相关产业政策、标准编制、行业自律活动、技术生态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建设、产业孵化基地等方面的工作及成果。</w:t>
      </w:r>
    </w:p>
    <w:p>
      <w:pPr>
        <w:ind w:left="1115"/>
        <w:spacing w:before="85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38" w:id="129"/>
      <w:bookmarkEnd w:id="129"/>
      <w:bookmarkStart w:name="bookmark37" w:id="130"/>
      <w:bookmarkEnd w:id="130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（五）展望披露融入业务，全面展现行业发展</w:t>
      </w:r>
    </w:p>
    <w:p>
      <w:pPr>
        <w:ind w:left="451" w:right="168" w:firstLine="570"/>
        <w:spacing w:before="324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随着社会公众的普遍关注，企业意识不断提升，产业实践不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断发展。面对个保信息披露仍存在的内容实质化不足、披露方式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单一、披露效果有待提升等现实挑战，互联网企业应以《个人信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息保护法》等法律法规政策为披露基石，切实落实相关要求，如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实披露全面、客观、清晰的个人信息保护相关的实践和数据，引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导社会公众、消费者及客户、生态伙伴等相关方的合理期待。</w:t>
      </w:r>
    </w:p>
    <w:p>
      <w:pPr>
        <w:ind w:left="1006"/>
        <w:spacing w:before="40" w:line="21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个保作为互联网行业的特色议题，与企业业务发展和商业运</w:t>
      </w:r>
    </w:p>
    <w:p>
      <w:pPr>
        <w:spacing w:line="216" w:lineRule="auto"/>
        <w:sectPr>
          <w:headerReference w:type="default" r:id="rId85"/>
          <w:footerReference w:type="default" r:id="rId86"/>
          <w:pgSz w:w="11906" w:h="16839"/>
          <w:pgMar w:top="1134" w:right="1631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2" w:lineRule="auto"/>
        <w:rPr/>
      </w:pPr>
      <w:r/>
    </w:p>
    <w:p>
      <w:pPr>
        <w:ind w:left="443" w:right="87" w:firstLine="19"/>
        <w:spacing w:before="9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营联系紧密。互联网企业应摒除</w:t>
      </w:r>
      <w:r>
        <w:rPr>
          <w:rFonts w:ascii="FangSong" w:hAnsi="FangSong" w:eastAsia="FangSong" w:cs="FangSong"/>
          <w:sz w:val="28"/>
          <w:szCs w:val="28"/>
          <w:spacing w:val="-9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“为了合规”开展信息披露的简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单逻辑，从业务需求视角推动该项工作，搭建完善个保信息披露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全流程管理机制，循序渐进提升能力，推动企业直面利益相关方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质疑，通过更为体系化、精细化、客观化、周期化的信息披露增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进企业与利益相关方信任，全面展现行业常规实践工作，尝试在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商业利益和社会价值之间寻求平衡。</w:t>
      </w:r>
    </w:p>
    <w:p>
      <w:pPr>
        <w:ind w:left="1095"/>
        <w:spacing w:before="24" w:line="223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39" w:id="131"/>
      <w:bookmarkEnd w:id="131"/>
      <w:r>
        <w:rPr>
          <w:rFonts w:ascii="SimHei" w:hAnsi="SimHei" w:eastAsia="SimHei" w:cs="SimHei"/>
          <w:sz w:val="31"/>
          <w:szCs w:val="31"/>
          <w:spacing w:val="8"/>
        </w:rPr>
        <w:t>五、主题实践之规则信息披露行业特色细分先行</w:t>
      </w:r>
    </w:p>
    <w:p>
      <w:pPr>
        <w:ind w:left="1112"/>
        <w:spacing w:before="248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40" w:id="132"/>
      <w:bookmarkEnd w:id="132"/>
      <w:bookmarkStart w:name="bookmark42" w:id="133"/>
      <w:bookmarkEnd w:id="133"/>
      <w:bookmarkStart w:name="bookmark41" w:id="134"/>
      <w:bookmarkEnd w:id="134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（一）透明规则意义重大，法规聚焦细分领域</w:t>
      </w:r>
    </w:p>
    <w:p>
      <w:pPr>
        <w:ind w:left="442" w:right="86" w:firstLine="561"/>
        <w:spacing w:before="324" w:line="402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本报告基于主题定位，同样从要求层面和实践层面考虑，将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透明规则作为本年度的重点主题，深入分析行业的信息披露实践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情况。具体为：</w:t>
      </w:r>
    </w:p>
    <w:p>
      <w:pPr>
        <w:ind w:left="442" w:firstLine="570"/>
        <w:spacing w:before="47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首先，透明规则与传统可持续发展主题不同，作为由互联网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企业所制定、由生态体系内参与者表示同意的自治性条约，透明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规则往往担负着保护消费者权益、规范生态伙伴、维持交易秩序、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提升交易效率等责任，因此</w:t>
      </w:r>
      <w:r>
        <w:rPr>
          <w:rFonts w:ascii="SimHei" w:hAnsi="SimHei" w:eastAsia="SimHei" w:cs="SimHei"/>
          <w:sz w:val="28"/>
          <w:szCs w:val="28"/>
          <w:spacing w:val="-9"/>
        </w:rPr>
        <w:t>透明规则根据披露对象，分别属于“用</w:t>
      </w:r>
      <w:r>
        <w:rPr>
          <w:rFonts w:ascii="SimHei" w:hAnsi="SimHei" w:eastAsia="SimHei" w:cs="SimHei"/>
          <w:sz w:val="28"/>
          <w:szCs w:val="28"/>
          <w:spacing w:val="1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4"/>
        </w:rPr>
        <w:t>户权益保障与体验提升”和“生态伙伴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SimHei" w:hAnsi="SimHei" w:eastAsia="SimHei" w:cs="SimHei"/>
          <w:sz w:val="28"/>
          <w:szCs w:val="28"/>
          <w:spacing w:val="-4"/>
        </w:rPr>
        <w:t>供应商管理与合作”</w:t>
      </w:r>
      <w:r>
        <w:rPr>
          <w:rFonts w:ascii="FangSong" w:hAnsi="FangSong" w:eastAsia="FangSong" w:cs="FangSong"/>
          <w:sz w:val="28"/>
          <w:szCs w:val="28"/>
          <w:spacing w:val="-4"/>
        </w:rPr>
        <w:t>（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图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10</w:t>
      </w:r>
      <w:r>
        <w:rPr>
          <w:rFonts w:ascii="FangSong" w:hAnsi="FangSong" w:eastAsia="FangSong" w:cs="FangSong"/>
          <w:sz w:val="28"/>
          <w:szCs w:val="28"/>
          <w:spacing w:val="-32"/>
        </w:rPr>
        <w:t>），</w:t>
      </w:r>
      <w:r>
        <w:rPr>
          <w:rFonts w:ascii="FangSong" w:hAnsi="FangSong" w:eastAsia="FangSong" w:cs="FangSong"/>
          <w:sz w:val="28"/>
          <w:szCs w:val="28"/>
          <w:spacing w:val="-4"/>
        </w:rPr>
        <w:t>并作为互联网行业践行社会责任及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ESG </w:t>
      </w:r>
      <w:r>
        <w:rPr>
          <w:rFonts w:ascii="FangSong" w:hAnsi="FangSong" w:eastAsia="FangSong" w:cs="FangSong"/>
          <w:sz w:val="28"/>
          <w:szCs w:val="28"/>
          <w:spacing w:val="-4"/>
        </w:rPr>
        <w:t>理念、实现可持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续发展中极富特色的主题，对互联网企业内部生态系统、以及行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业多元共治体系发挥着极其重要的作用。</w:t>
      </w:r>
    </w:p>
    <w:p>
      <w:pPr>
        <w:ind w:left="451" w:right="87" w:firstLine="552"/>
        <w:spacing w:before="47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其次，要求层面规则透明被相关法律法规政策反复提及，重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点进一步聚焦。一是</w:t>
      </w:r>
      <w:r>
        <w:rPr>
          <w:rFonts w:ascii="SimHei" w:hAnsi="SimHei" w:eastAsia="SimHei" w:cs="SimHei"/>
          <w:sz w:val="28"/>
          <w:szCs w:val="28"/>
          <w:spacing w:val="1"/>
        </w:rPr>
        <w:t>披露主体基于业务属性而有所聚焦</w:t>
      </w:r>
      <w:r>
        <w:rPr>
          <w:rFonts w:ascii="FangSong" w:hAnsi="FangSong" w:eastAsia="FangSong" w:cs="FangSong"/>
          <w:sz w:val="28"/>
          <w:szCs w:val="28"/>
          <w:spacing w:val="1"/>
        </w:rPr>
        <w:t>，尤其是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通过《电子商务法》《互联网信息服务算法推荐管理规定》《互</w:t>
      </w:r>
    </w:p>
    <w:p>
      <w:pPr>
        <w:spacing w:line="401" w:lineRule="auto"/>
        <w:sectPr>
          <w:headerReference w:type="default" r:id="rId87"/>
          <w:footerReference w:type="default" r:id="rId88"/>
          <w:pgSz w:w="11906" w:h="16839"/>
          <w:pgMar w:top="1134" w:right="1712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9" w:lineRule="auto"/>
        <w:rPr/>
      </w:pPr>
      <w:r/>
    </w:p>
    <w:p>
      <w:pPr>
        <w:ind w:left="442" w:right="116" w:firstLine="2"/>
        <w:spacing w:before="91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联网信息服务深度合成管理规定》等对电子商务平台经营者、算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法推荐服务提供者、深度合成服务提供者提出了明确要求。二是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2"/>
        </w:rPr>
        <w:t>披露内容愈发明确</w:t>
      </w:r>
      <w:r>
        <w:rPr>
          <w:rFonts w:ascii="FangSong" w:hAnsi="FangSong" w:eastAsia="FangSong" w:cs="FangSong"/>
          <w:sz w:val="28"/>
          <w:szCs w:val="28"/>
          <w:spacing w:val="-2"/>
        </w:rPr>
        <w:t>，尤其是平台服务协议、交易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管理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平台规则、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直接涉及劳动者权益的算法规则、算法推荐服务相关规则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基本原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理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目的意图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主要运行机制、信息安全义务、隐私规则、合规经营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情况、以及对用户权益有重大影响规则等均提出了相应的披露要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求。三是</w:t>
      </w:r>
      <w:r>
        <w:rPr>
          <w:rFonts w:ascii="SimHei" w:hAnsi="SimHei" w:eastAsia="SimHei" w:cs="SimHei"/>
          <w:sz w:val="28"/>
          <w:szCs w:val="28"/>
          <w:spacing w:val="1"/>
        </w:rPr>
        <w:t>披露方式进一步规范</w:t>
      </w:r>
      <w:r>
        <w:rPr>
          <w:rFonts w:ascii="FangSong" w:hAnsi="FangSong" w:eastAsia="FangSong" w:cs="FangSong"/>
          <w:sz w:val="28"/>
          <w:szCs w:val="28"/>
          <w:spacing w:val="1"/>
        </w:rPr>
        <w:t>，法律法规政策中多要求在企业官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方网站、首页显著位置等渠道进行告知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提示，确保利益相关方能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够及时充分表达意见、接受社会监督。</w:t>
      </w:r>
    </w:p>
    <w:p>
      <w:pPr>
        <w:ind w:left="436" w:right="175" w:firstLine="574"/>
        <w:spacing w:before="45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最后，实践层面细分行业在落实合规要求的基础上正开展了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一系列的实践探索。一是对于隐私政策等并不需区分细分领域的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规则，作为个人信息处理者的互联网企业已基本全面落实了相关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披露合规要求；二是电子商务平台经营者、生活服务平台等细分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领域，也先行开展了规则透明度相关的实践探索。</w:t>
      </w:r>
    </w:p>
    <w:p>
      <w:pPr>
        <w:ind w:left="1112"/>
        <w:spacing w:before="86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44" w:id="135"/>
      <w:bookmarkEnd w:id="135"/>
      <w:bookmarkStart w:name="bookmark43" w:id="136"/>
      <w:bookmarkEnd w:id="136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（二）披露方式双管齐下，时效保障较为完备</w:t>
      </w:r>
    </w:p>
    <w:p>
      <w:pPr>
        <w:ind w:left="455" w:right="175" w:firstLine="549"/>
        <w:spacing w:before="150" w:line="375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5"/>
        </w:rPr>
        <w:t>本报告为聚焦样本，</w:t>
      </w:r>
      <w:hyperlink w:history="true" w:anchor="bookmark113">
        <w:r>
          <w:rPr>
            <w:rFonts w:ascii="FangSong" w:hAnsi="FangSong" w:eastAsia="FangSong" w:cs="FangSong"/>
            <w:sz w:val="28"/>
            <w:szCs w:val="28"/>
            <w:spacing w:val="-5"/>
          </w:rPr>
          <w:t>以电子商务平台经营者</w:t>
        </w:r>
        <w:r>
          <w:rPr>
            <w:rFonts w:ascii="Times New Roman" w:hAnsi="Times New Roman" w:eastAsia="Times New Roman" w:cs="Times New Roman"/>
            <w:sz w:val="18"/>
            <w:szCs w:val="18"/>
            <w:spacing w:val="-5"/>
          </w:rPr>
          <w:t>10</w:t>
        </w:r>
      </w:hyperlink>
      <w:r>
        <w:rPr>
          <w:rFonts w:ascii="FangSong" w:hAnsi="FangSong" w:eastAsia="FangSong" w:cs="FangSong"/>
          <w:sz w:val="28"/>
          <w:szCs w:val="28"/>
          <w:spacing w:val="-5"/>
        </w:rPr>
        <w:t>、生</w:t>
      </w:r>
      <w:r>
        <w:rPr>
          <w:rFonts w:ascii="FangSong" w:hAnsi="FangSong" w:eastAsia="FangSong" w:cs="FangSong"/>
          <w:sz w:val="28"/>
          <w:szCs w:val="28"/>
          <w:spacing w:val="-6"/>
        </w:rPr>
        <w:t>活服务平台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hyperlink w:history="true" w:anchor="bookmark44">
        <w:r>
          <w:rPr>
            <w:rFonts w:ascii="Times New Roman" w:hAnsi="Times New Roman" w:eastAsia="Times New Roman" w:cs="Times New Roman"/>
            <w:sz w:val="18"/>
            <w:szCs w:val="18"/>
            <w:spacing w:val="-5"/>
            <w:position w:val="9"/>
          </w:rPr>
          <w:t>11</w:t>
        </w:r>
      </w:hyperlink>
      <w:r>
        <w:rPr>
          <w:rFonts w:ascii="FangSong" w:hAnsi="FangSong" w:eastAsia="FangSong" w:cs="FangSong"/>
          <w:sz w:val="28"/>
          <w:szCs w:val="28"/>
          <w:spacing w:val="-5"/>
        </w:rPr>
        <w:t>为主要研究范围，以面向社会公众，即不需要登陆</w:t>
      </w:r>
      <w:r>
        <w:rPr>
          <w:rFonts w:ascii="FangSong" w:hAnsi="FangSong" w:eastAsia="FangSong" w:cs="FangSong"/>
          <w:sz w:val="28"/>
          <w:szCs w:val="28"/>
          <w:spacing w:val="-6"/>
        </w:rPr>
        <w:t>或仅需消费者</w:t>
      </w:r>
    </w:p>
    <w:p>
      <w:pPr>
        <w:ind w:left="445" w:right="175" w:firstLine="8"/>
        <w:spacing w:before="283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简单登陆即可查看的规则，即透明规则为研究样本，系统</w:t>
      </w:r>
      <w:r>
        <w:rPr>
          <w:rFonts w:ascii="FangSong" w:hAnsi="FangSong" w:eastAsia="FangSong" w:cs="FangSong"/>
          <w:sz w:val="28"/>
          <w:szCs w:val="28"/>
        </w:rPr>
        <w:t>分析互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联网行业规则透明度的当前信息披露实践情况。</w:t>
      </w:r>
    </w:p>
    <w:p>
      <w:pPr>
        <w:spacing w:before="44" w:line="215" w:lineRule="auto"/>
        <w:jc w:val="right"/>
        <w:rPr>
          <w:rFonts w:ascii="FangSong" w:hAnsi="FangSong" w:eastAsia="FangSong" w:cs="FangSong"/>
          <w:sz w:val="28"/>
          <w:szCs w:val="28"/>
        </w:rPr>
      </w:pPr>
      <w:bookmarkStart w:name="bookmark113" w:id="137"/>
      <w:bookmarkEnd w:id="137"/>
      <w:r>
        <w:rPr>
          <w:rFonts w:ascii="FangSong" w:hAnsi="FangSong" w:eastAsia="FangSong" w:cs="FangSong"/>
          <w:sz w:val="28"/>
          <w:szCs w:val="28"/>
          <w:spacing w:val="-3"/>
        </w:rPr>
        <w:t>透明规则通常与互联网企业的业务逻辑和商业运营紧密相关。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>
        <w:pict>
          <v:shape id="_x0000_s96" style="position:absolute;margin-left:21.705pt;margin-top:7.94063pt;mso-position-vertical-relative:text;mso-position-horizontal-relative:text;width:144pt;height:0pt;z-index:251756544;" filled="false" strokecolor="#000000" strokeweight="0.00pt" coordsize="2880,0" coordorigin="0,0" path="m,l2880,0e">
            <v:stroke endcap="square" joinstyle="bevel" miterlimit="0"/>
          </v:shape>
        </w:pict>
      </w:r>
      <w:r/>
    </w:p>
    <w:p>
      <w:pPr>
        <w:ind w:left="455" w:right="175" w:hanging="8"/>
        <w:spacing w:before="59" w:line="229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spacing w:val="-1"/>
          <w:position w:val="6"/>
        </w:rPr>
        <w:t>10   </w:t>
      </w:r>
      <w:r>
        <w:rPr>
          <w:rFonts w:ascii="SimSun" w:hAnsi="SimSun" w:eastAsia="SimSun" w:cs="SimSun"/>
          <w:sz w:val="18"/>
          <w:szCs w:val="18"/>
          <w:spacing w:val="-1"/>
        </w:rPr>
        <w:t>本报告共涉及了括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8 </w:t>
      </w:r>
      <w:r>
        <w:rPr>
          <w:rFonts w:ascii="SimSun" w:hAnsi="SimSun" w:eastAsia="SimSun" w:cs="SimSun"/>
          <w:sz w:val="18"/>
          <w:szCs w:val="18"/>
          <w:spacing w:val="-1"/>
        </w:rPr>
        <w:t>家平台，分别是天猫、</w:t>
      </w:r>
      <w:r>
        <w:rPr>
          <w:rFonts w:ascii="SimSun" w:hAnsi="SimSun" w:eastAsia="SimSun" w:cs="SimSun"/>
          <w:sz w:val="18"/>
          <w:szCs w:val="18"/>
          <w:spacing w:val="-2"/>
        </w:rPr>
        <w:t>淘宝、京东、拼多多、苏宁、抖音商城、小米商城、唯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6"/>
        </w:rPr>
        <w:t>品会</w:t>
      </w:r>
    </w:p>
    <w:p>
      <w:pPr>
        <w:ind w:left="447"/>
        <w:spacing w:before="19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11   </w:t>
      </w:r>
      <w:r>
        <w:rPr>
          <w:rFonts w:ascii="SimSun" w:hAnsi="SimSun" w:eastAsia="SimSun" w:cs="SimSun"/>
          <w:sz w:val="18"/>
          <w:szCs w:val="18"/>
        </w:rPr>
        <w:t>本报告共涉及了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3 </w:t>
      </w:r>
      <w:r>
        <w:rPr>
          <w:rFonts w:ascii="SimSun" w:hAnsi="SimSun" w:eastAsia="SimSun" w:cs="SimSun"/>
          <w:sz w:val="18"/>
          <w:szCs w:val="18"/>
        </w:rPr>
        <w:t>家平台，分别是：</w:t>
      </w:r>
      <w:r>
        <w:rPr>
          <w:rFonts w:ascii="SimSun" w:hAnsi="SimSun" w:eastAsia="SimSun" w:cs="SimSun"/>
          <w:sz w:val="18"/>
          <w:szCs w:val="18"/>
          <w:spacing w:val="-1"/>
        </w:rPr>
        <w:t>美团、滴滴、饿了么</w:t>
      </w:r>
    </w:p>
    <w:p>
      <w:pPr>
        <w:spacing w:line="218" w:lineRule="auto"/>
        <w:sectPr>
          <w:headerReference w:type="default" r:id="rId89"/>
          <w:footerReference w:type="default" r:id="rId90"/>
          <w:pgSz w:w="11906" w:h="16839"/>
          <w:pgMar w:top="1134" w:right="1624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82" w:lineRule="auto"/>
        <w:rPr/>
      </w:pPr>
      <w:r/>
    </w:p>
    <w:p>
      <w:pPr>
        <w:ind w:left="441" w:right="133" w:firstLine="37"/>
        <w:spacing w:before="91" w:line="372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因此，披露方式通常不会选取时效性较为滞后的可持续发展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社会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责任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/ESG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报告，</w:t>
      </w:r>
      <w:r>
        <w:rPr>
          <w:rFonts w:ascii="SimHei" w:hAnsi="SimHei" w:eastAsia="SimHei" w:cs="SimHei"/>
          <w:sz w:val="28"/>
          <w:szCs w:val="28"/>
          <w:spacing w:val="-3"/>
        </w:rPr>
        <w:t>绝大多数电子商务平台和生活服</w:t>
      </w:r>
      <w:r>
        <w:rPr>
          <w:rFonts w:ascii="SimHei" w:hAnsi="SimHei" w:eastAsia="SimHei" w:cs="SimHei"/>
          <w:sz w:val="28"/>
          <w:szCs w:val="28"/>
          <w:spacing w:val="-4"/>
        </w:rPr>
        <w:t>务平台在官方网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站和</w:t>
      </w:r>
      <w:r>
        <w:rPr>
          <w:rFonts w:ascii="SimHei" w:hAnsi="SimHei" w:eastAsia="SimHei" w:cs="SimHei"/>
          <w:sz w:val="28"/>
          <w:szCs w:val="28"/>
          <w:spacing w:val="-7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 </w:t>
      </w:r>
      <w:r>
        <w:rPr>
          <w:rFonts w:ascii="SimHei" w:hAnsi="SimHei" w:eastAsia="SimHei" w:cs="SimHei"/>
          <w:sz w:val="28"/>
          <w:szCs w:val="28"/>
          <w:spacing w:val="-1"/>
        </w:rPr>
        <w:t>均设置了规则入口</w:t>
      </w:r>
      <w:r>
        <w:rPr>
          <w:rFonts w:ascii="FangSong" w:hAnsi="FangSong" w:eastAsia="FangSong" w:cs="FangSong"/>
          <w:sz w:val="28"/>
          <w:szCs w:val="28"/>
          <w:spacing w:val="-1"/>
        </w:rPr>
        <w:t>（仅有一家企业仅提供</w:t>
      </w:r>
      <w:r>
        <w:rPr>
          <w:rFonts w:ascii="FangSong" w:hAnsi="FangSong" w:eastAsia="FangSong" w:cs="FangSong"/>
          <w:sz w:val="28"/>
          <w:szCs w:val="28"/>
          <w:spacing w:val="-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 </w:t>
      </w:r>
      <w:r>
        <w:rPr>
          <w:rFonts w:ascii="FangSong" w:hAnsi="FangSong" w:eastAsia="FangSong" w:cs="FangSong"/>
          <w:sz w:val="28"/>
          <w:szCs w:val="28"/>
          <w:spacing w:val="-1"/>
        </w:rPr>
        <w:t>入口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2"/>
        </w:rPr>
        <w:t>）</w:t>
      </w:r>
      <w:r>
        <w:rPr>
          <w:rFonts w:ascii="SimHei" w:hAnsi="SimHei" w:eastAsia="SimHei" w:cs="SimHei"/>
          <w:sz w:val="28"/>
          <w:szCs w:val="28"/>
          <w:spacing w:val="-62"/>
        </w:rPr>
        <w:t>，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部分企业将现行有效的规则与业务交互界面提供了跳转链接</w:t>
      </w:r>
      <w:r>
        <w:rPr>
          <w:rFonts w:ascii="FangSong" w:hAnsi="FangSong" w:eastAsia="FangSong" w:cs="FangSong"/>
          <w:sz w:val="28"/>
          <w:szCs w:val="28"/>
          <w:spacing w:val="1"/>
        </w:rPr>
        <w:t>，即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利益相关方可通过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“</w:t>
      </w:r>
      <w:r>
        <w:rPr>
          <w:rFonts w:ascii="FangSong" w:hAnsi="FangSong" w:eastAsia="FangSong" w:cs="FangSong"/>
          <w:sz w:val="28"/>
          <w:szCs w:val="28"/>
          <w:spacing w:val="-8"/>
        </w:rPr>
        <w:t>进一步了解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XX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规则”或</w:t>
      </w:r>
      <w:r>
        <w:rPr>
          <w:rFonts w:ascii="FangSong" w:hAnsi="FangSong" w:eastAsia="FangSong" w:cs="FangSong"/>
          <w:sz w:val="28"/>
          <w:szCs w:val="28"/>
          <w:spacing w:val="-9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  <w:position w:val="-4"/>
        </w:rPr>
        <w:t>“</w:t>
      </w:r>
      <w:r>
        <w:rPr>
          <w:rFonts w:ascii="FangSong" w:hAnsi="FangSong" w:eastAsia="FangSong" w:cs="FangSong"/>
          <w:sz w:val="28"/>
          <w:szCs w:val="28"/>
          <w:spacing w:val="-57"/>
          <w:position w:val="-4"/>
        </w:rPr>
        <w:t xml:space="preserve"> </w:t>
      </w:r>
      <w:r>
        <w:rPr>
          <w:rFonts w:ascii="FangSong" w:hAnsi="FangSong" w:eastAsia="FangSong" w:cs="FangSong"/>
          <w:sz w:val="41"/>
          <w:szCs w:val="41"/>
          <w:spacing w:val="-8"/>
          <w:position w:val="-4"/>
        </w:rPr>
        <w:t>○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?</w:t>
      </w:r>
      <w:r>
        <w:rPr>
          <w:rFonts w:ascii="Times New Roman" w:hAnsi="Times New Roman" w:eastAsia="Times New Roman" w:cs="Times New Roman"/>
          <w:sz w:val="28"/>
          <w:szCs w:val="28"/>
          <w:spacing w:val="-5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”等方式跳转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到具体规则，并获取相关内容。</w:t>
      </w:r>
    </w:p>
    <w:p>
      <w:pPr>
        <w:ind w:left="440" w:firstLine="592"/>
        <w:spacing w:before="99" w:line="40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同样鉴于规则与企业业务具备强相关性，互联网行业实践通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5"/>
        </w:rPr>
        <w:t>常通过多种形式体现规则对时效性的关注。一是</w:t>
      </w:r>
      <w:r>
        <w:rPr>
          <w:rFonts w:ascii="SimHei" w:hAnsi="SimHei" w:eastAsia="SimHei" w:cs="SimHei"/>
          <w:sz w:val="28"/>
          <w:szCs w:val="28"/>
          <w:spacing w:val="-5"/>
        </w:rPr>
        <w:t>几乎</w:t>
      </w:r>
      <w:r>
        <w:rPr>
          <w:rFonts w:ascii="SimHei" w:hAnsi="SimHei" w:eastAsia="SimHei" w:cs="SimHei"/>
          <w:sz w:val="28"/>
          <w:szCs w:val="28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100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%</w:t>
      </w:r>
      <w:r>
        <w:rPr>
          <w:rFonts w:ascii="SimHei" w:hAnsi="SimHei" w:eastAsia="SimHei" w:cs="SimHei"/>
          <w:sz w:val="28"/>
          <w:szCs w:val="28"/>
          <w:spacing w:val="-6"/>
        </w:rPr>
        <w:t>电子商</w:t>
      </w:r>
      <w:r>
        <w:rPr>
          <w:rFonts w:ascii="SimHei" w:hAnsi="SimHei" w:eastAsia="SimHei" w:cs="SimHei"/>
          <w:sz w:val="28"/>
          <w:szCs w:val="28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"/>
        </w:rPr>
        <w:t>务平台和生活服务平台将“失效规则”“历史规则”作为单独板</w:t>
      </w:r>
      <w:r>
        <w:rPr>
          <w:rFonts w:ascii="SimHei" w:hAnsi="SimHei" w:eastAsia="SimHei" w:cs="SimHei"/>
          <w:sz w:val="28"/>
          <w:szCs w:val="28"/>
          <w:spacing w:val="6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1"/>
        </w:rPr>
        <w:t>块</w:t>
      </w:r>
      <w:r>
        <w:rPr>
          <w:rFonts w:ascii="FangSong" w:hAnsi="FangSong" w:eastAsia="FangSong" w:cs="FangSong"/>
          <w:sz w:val="28"/>
          <w:szCs w:val="28"/>
          <w:spacing w:val="1"/>
        </w:rPr>
        <w:t>，并披露了失效规则的失效时间、失效原因、失效后现行有效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版本等信息，既为利益相关方便利获取失效内容、追踪到现行有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效规则提供渠道，又可在发生争议纠纷时，为争议双方提供历史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规则的追溯证据。二是</w:t>
      </w:r>
      <w:r>
        <w:rPr>
          <w:rFonts w:ascii="SimHei" w:hAnsi="SimHei" w:eastAsia="SimHei" w:cs="SimHei"/>
          <w:sz w:val="28"/>
          <w:szCs w:val="28"/>
          <w:spacing w:val="1"/>
        </w:rPr>
        <w:t>生效时间已成为具体规则的重要内容</w:t>
      </w:r>
      <w:r>
        <w:rPr>
          <w:rFonts w:ascii="FangSong" w:hAnsi="FangSong" w:eastAsia="FangSong" w:cs="FangSong"/>
          <w:sz w:val="28"/>
          <w:szCs w:val="28"/>
          <w:spacing w:val="1"/>
        </w:rPr>
        <w:t>，共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2"/>
        </w:rPr>
        <w:t>有</w:t>
      </w:r>
      <w:r>
        <w:rPr>
          <w:rFonts w:ascii="FangSong" w:hAnsi="FangSong" w:eastAsia="FangSong" w:cs="FangSong"/>
          <w:sz w:val="28"/>
          <w:szCs w:val="28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87.5%</w:t>
      </w:r>
      <w:r>
        <w:rPr>
          <w:rFonts w:ascii="FangSong" w:hAnsi="FangSong" w:eastAsia="FangSong" w:cs="FangSong"/>
          <w:sz w:val="28"/>
          <w:szCs w:val="28"/>
          <w:spacing w:val="2"/>
        </w:rPr>
        <w:t>电子商务平台、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66.7%</w:t>
      </w:r>
      <w:r>
        <w:rPr>
          <w:rFonts w:ascii="FangSong" w:hAnsi="FangSong" w:eastAsia="FangSong" w:cs="FangSong"/>
          <w:sz w:val="28"/>
          <w:szCs w:val="28"/>
          <w:spacing w:val="2"/>
        </w:rPr>
        <w:t>生活服务平台规则将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“生效时间”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在具体规则的附则给予体现，以确保具体规则的时效性。三是</w:t>
      </w:r>
      <w:r>
        <w:rPr>
          <w:rFonts w:ascii="SimHei" w:hAnsi="SimHei" w:eastAsia="SimHei" w:cs="SimHei"/>
          <w:sz w:val="28"/>
          <w:szCs w:val="28"/>
          <w:spacing w:val="1"/>
        </w:rPr>
        <w:t>部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 </w:t>
      </w:r>
      <w:r>
        <w:rPr>
          <w:rFonts w:ascii="SimHei" w:hAnsi="SimHei" w:eastAsia="SimHei" w:cs="SimHei"/>
          <w:sz w:val="28"/>
          <w:szCs w:val="28"/>
          <w:spacing w:val="-3"/>
        </w:rPr>
        <w:t>分企业提供了规则动态或公告公示</w:t>
      </w:r>
      <w:r>
        <w:rPr>
          <w:rFonts w:ascii="FangSong" w:hAnsi="FangSong" w:eastAsia="FangSong" w:cs="FangSong"/>
          <w:sz w:val="28"/>
          <w:szCs w:val="28"/>
          <w:spacing w:val="-3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37.5%</w:t>
      </w:r>
      <w:r>
        <w:rPr>
          <w:rFonts w:ascii="FangSong" w:hAnsi="FangSong" w:eastAsia="FangSong" w:cs="FangSong"/>
          <w:sz w:val="28"/>
          <w:szCs w:val="28"/>
          <w:spacing w:val="-3"/>
        </w:rPr>
        <w:t>电子商务平台和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66.7%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>
        <w:rPr>
          <w:rFonts w:ascii="FangSong" w:hAnsi="FangSong" w:eastAsia="FangSong" w:cs="FangSong"/>
          <w:sz w:val="28"/>
          <w:szCs w:val="28"/>
        </w:rPr>
        <w:t>生活服务平台提供了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“规则动态”“新规速递”等板块，逐</w:t>
      </w:r>
      <w:r>
        <w:rPr>
          <w:rFonts w:ascii="FangSong" w:hAnsi="FangSong" w:eastAsia="FangSong" w:cs="FangSong"/>
          <w:sz w:val="28"/>
          <w:szCs w:val="28"/>
          <w:spacing w:val="-1"/>
        </w:rPr>
        <w:t>月展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示规则发布或变更情况；另有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62.5%</w:t>
      </w:r>
      <w:r>
        <w:rPr>
          <w:rFonts w:ascii="FangSong" w:hAnsi="FangSong" w:eastAsia="FangSong" w:cs="FangSong"/>
          <w:sz w:val="28"/>
          <w:szCs w:val="28"/>
          <w:spacing w:val="1"/>
        </w:rPr>
        <w:t>电子商务平台提供了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“规则</w:t>
      </w:r>
      <w:r>
        <w:rPr>
          <w:rFonts w:ascii="FangSong" w:hAnsi="FangSong" w:eastAsia="FangSong" w:cs="FangSong"/>
          <w:sz w:val="28"/>
          <w:szCs w:val="28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1"/>
        </w:rPr>
        <w:t>公告公示”板块，将规则最新动态更新至公告页面，较好体现了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"/>
        </w:rPr>
        <w:t>规则的时效性。</w:t>
      </w:r>
    </w:p>
    <w:p>
      <w:pPr>
        <w:ind w:left="1112"/>
        <w:spacing w:before="90" w:line="227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46" w:id="138"/>
      <w:bookmarkEnd w:id="138"/>
      <w:bookmarkStart w:name="bookmark45" w:id="139"/>
      <w:bookmarkEnd w:id="139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（三）透明可及参差不齐，规则展示丰富多元</w:t>
      </w:r>
    </w:p>
    <w:p>
      <w:pPr>
        <w:ind w:left="1016"/>
        <w:spacing w:before="322" w:line="21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4"/>
        </w:rPr>
        <w:t>可及性是互联网行业规则透明的另一重点，</w:t>
      </w:r>
      <w:r>
        <w:rPr>
          <w:rFonts w:ascii="FangSong" w:hAnsi="FangSong" w:eastAsia="FangSong" w:cs="FangSong"/>
          <w:sz w:val="28"/>
          <w:szCs w:val="28"/>
          <w:spacing w:val="-5"/>
        </w:rPr>
        <w:t>尤其对披露方式、</w:t>
      </w:r>
    </w:p>
    <w:p>
      <w:pPr>
        <w:spacing w:line="217" w:lineRule="auto"/>
        <w:sectPr>
          <w:headerReference w:type="default" r:id="rId91"/>
          <w:footerReference w:type="default" r:id="rId92"/>
          <w:pgSz w:w="11906" w:h="16839"/>
          <w:pgMar w:top="1134" w:right="1589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6" w:lineRule="auto"/>
        <w:rPr/>
      </w:pPr>
      <w:r/>
    </w:p>
    <w:p>
      <w:pPr>
        <w:ind w:left="457" w:right="279" w:hanging="12"/>
        <w:spacing w:before="91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披露语言、披露内容、持续可查等方面给予关注，以确保利益相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关方能够便利获取并准确理解规则。</w:t>
      </w:r>
    </w:p>
    <w:p>
      <w:pPr>
        <w:ind w:left="440" w:firstLine="614"/>
        <w:spacing w:before="47" w:line="40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目前行业内涌现了一些良好案例的同时也存在提升空间。一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-1"/>
        </w:rPr>
        <w:t>是</w:t>
      </w:r>
      <w:r>
        <w:rPr>
          <w:rFonts w:ascii="SimHei" w:hAnsi="SimHei" w:eastAsia="SimHei" w:cs="SimHei"/>
          <w:sz w:val="28"/>
          <w:szCs w:val="28"/>
          <w:spacing w:val="-1"/>
        </w:rPr>
        <w:t>企业提供规则单独展示页面</w:t>
      </w:r>
      <w:r>
        <w:rPr>
          <w:rFonts w:ascii="FangSong" w:hAnsi="FangSong" w:eastAsia="FangSong" w:cs="FangSong"/>
          <w:sz w:val="28"/>
          <w:szCs w:val="28"/>
          <w:spacing w:val="-1"/>
        </w:rPr>
        <w:t>，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目前电子商务平台和生活服务平</w:t>
      </w:r>
      <w:r>
        <w:rPr>
          <w:rFonts w:ascii="FangSong" w:hAnsi="FangSong" w:eastAsia="FangSong" w:cs="FangSong"/>
          <w:sz w:val="28"/>
          <w:szCs w:val="28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-1"/>
        </w:rPr>
        <w:t>台通常在官方网站、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中设置单独页面，并命名为“规则中心”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“平台规则”“协议规则”（以下统称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“规则中心”）等，方便</w:t>
      </w:r>
      <w:r>
        <w:rPr>
          <w:rFonts w:ascii="FangSong" w:hAnsi="FangSong" w:eastAsia="FangSong" w:cs="FangSong"/>
          <w:sz w:val="28"/>
          <w:szCs w:val="28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1"/>
        </w:rPr>
        <w:t>用户查阅（仅极少部分规则提供了下载功能）。二是</w:t>
      </w:r>
      <w:r>
        <w:rPr>
          <w:rFonts w:ascii="SimHei" w:hAnsi="SimHei" w:eastAsia="SimHei" w:cs="SimHei"/>
          <w:sz w:val="28"/>
          <w:szCs w:val="28"/>
          <w:spacing w:val="1"/>
        </w:rPr>
        <w:t>企业较为重</w:t>
      </w:r>
      <w:r>
        <w:rPr>
          <w:rFonts w:ascii="SimHei" w:hAnsi="SimHei" w:eastAsia="SimHei" w:cs="SimHei"/>
          <w:sz w:val="28"/>
          <w:szCs w:val="28"/>
          <w:spacing w:val="4"/>
        </w:rPr>
        <w:t xml:space="preserve">   </w:t>
      </w:r>
      <w:r>
        <w:rPr>
          <w:rFonts w:ascii="SimHei" w:hAnsi="SimHei" w:eastAsia="SimHei" w:cs="SimHei"/>
          <w:sz w:val="28"/>
          <w:szCs w:val="28"/>
          <w:spacing w:val="1"/>
        </w:rPr>
        <w:t>视规则及所涉及内容的易理解性</w:t>
      </w:r>
      <w:r>
        <w:rPr>
          <w:rFonts w:ascii="FangSong" w:hAnsi="FangSong" w:eastAsia="FangSong" w:cs="FangSong"/>
          <w:sz w:val="28"/>
          <w:szCs w:val="28"/>
          <w:spacing w:val="1"/>
        </w:rPr>
        <w:t>，尤其对基于合规要求而制定、</w:t>
      </w:r>
    </w:p>
    <w:p>
      <w:pPr>
        <w:ind w:left="445" w:right="203" w:firstLine="38"/>
        <w:spacing w:before="40" w:line="40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由专业法务人员起草的规则，更须考虑利益相关方的</w:t>
      </w:r>
      <w:r>
        <w:rPr>
          <w:rFonts w:ascii="FangSong" w:hAnsi="FangSong" w:eastAsia="FangSong" w:cs="FangSong"/>
          <w:sz w:val="28"/>
          <w:szCs w:val="28"/>
          <w:spacing w:val="-1"/>
        </w:rPr>
        <w:t>知识基础及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8"/>
        </w:rPr>
        <w:t>理解需求，目前</w:t>
      </w:r>
      <w:r>
        <w:rPr>
          <w:rFonts w:ascii="FangSong" w:hAnsi="FangSong" w:eastAsia="FangSong" w:cs="FangSong"/>
          <w:sz w:val="28"/>
          <w:szCs w:val="28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50%</w:t>
      </w:r>
      <w:r>
        <w:rPr>
          <w:rFonts w:ascii="FangSong" w:hAnsi="FangSong" w:eastAsia="FangSong" w:cs="FangSong"/>
          <w:sz w:val="28"/>
          <w:szCs w:val="28"/>
          <w:spacing w:val="-8"/>
        </w:rPr>
        <w:t>电子商务平台和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30%</w:t>
      </w:r>
      <w:r>
        <w:rPr>
          <w:rFonts w:ascii="FangSong" w:hAnsi="FangSong" w:eastAsia="FangSong" w:cs="FangSong"/>
          <w:sz w:val="28"/>
          <w:szCs w:val="28"/>
          <w:spacing w:val="-8"/>
        </w:rPr>
        <w:t>生活服务平台提供了“规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则解读”“规则学习中心”等单独板块。企业以“新手必读”“专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题专项”等形式，通过</w:t>
      </w:r>
      <w:r>
        <w:rPr>
          <w:rFonts w:ascii="SimHei" w:hAnsi="SimHei" w:eastAsia="SimHei" w:cs="SimHei"/>
          <w:sz w:val="28"/>
          <w:szCs w:val="28"/>
          <w:spacing w:val="2"/>
        </w:rPr>
        <w:t>较为丰富的解读方式帮助正确理解规则</w:t>
      </w:r>
      <w:r>
        <w:rPr>
          <w:rFonts w:ascii="FangSong" w:hAnsi="FangSong" w:eastAsia="FangSong" w:cs="FangSong"/>
          <w:sz w:val="28"/>
          <w:szCs w:val="28"/>
          <w:spacing w:val="2"/>
        </w:rPr>
        <w:t>，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如一图读懂、案例说明、短视频解读、问答回复等方式，许多企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业还在规则解读后向相关方提供了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“是否易于</w:t>
      </w:r>
      <w:r>
        <w:rPr>
          <w:rFonts w:ascii="FangSong" w:hAnsi="FangSong" w:eastAsia="FangSong" w:cs="FangSong"/>
          <w:sz w:val="28"/>
          <w:szCs w:val="28"/>
          <w:spacing w:val="-1"/>
        </w:rPr>
        <w:t>理解”点击界面，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进一步提升了规则可及性。三是</w:t>
      </w:r>
      <w:r>
        <w:rPr>
          <w:rFonts w:ascii="SimHei" w:hAnsi="SimHei" w:eastAsia="SimHei" w:cs="SimHei"/>
          <w:sz w:val="28"/>
          <w:szCs w:val="28"/>
          <w:spacing w:val="-1"/>
        </w:rPr>
        <w:t>规则查询便利性仍</w:t>
      </w:r>
      <w:r>
        <w:rPr>
          <w:rFonts w:ascii="SimHei" w:hAnsi="SimHei" w:eastAsia="SimHei" w:cs="SimHei"/>
          <w:sz w:val="28"/>
          <w:szCs w:val="28"/>
          <w:spacing w:val="-2"/>
        </w:rPr>
        <w:t>有待改善</w:t>
      </w:r>
      <w:r>
        <w:rPr>
          <w:rFonts w:ascii="FangSong" w:hAnsi="FangSong" w:eastAsia="FangSong" w:cs="FangSong"/>
          <w:sz w:val="28"/>
          <w:szCs w:val="28"/>
          <w:spacing w:val="-2"/>
        </w:rPr>
        <w:t>，</w:t>
      </w:r>
      <w:r>
        <w:rPr>
          <w:rFonts w:ascii="FangSong" w:hAnsi="FangSong" w:eastAsia="FangSong" w:cs="FangSong"/>
          <w:sz w:val="28"/>
          <w:szCs w:val="28"/>
          <w:spacing w:val="-7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目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前行业实践中存在较多对用户不友好的设置，如</w:t>
      </w:r>
      <w:r>
        <w:rPr>
          <w:rFonts w:ascii="SimHei" w:hAnsi="SimHei" w:eastAsia="SimHei" w:cs="SimHei"/>
          <w:sz w:val="28"/>
          <w:szCs w:val="28"/>
          <w:spacing w:val="-6"/>
        </w:rPr>
        <w:t>入口路径有歧义，</w:t>
      </w:r>
      <w:r>
        <w:rPr>
          <w:rFonts w:ascii="SimHei" w:hAnsi="SimHei" w:eastAsia="SimHei" w:cs="SimHei"/>
          <w:sz w:val="28"/>
          <w:szCs w:val="28"/>
          <w:spacing w:val="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相关方较难从官网首页或</w:t>
      </w:r>
      <w:r>
        <w:rPr>
          <w:rFonts w:ascii="SimHei" w:hAnsi="SimHei" w:eastAsia="SimHei" w:cs="SimHei"/>
          <w:sz w:val="28"/>
          <w:szCs w:val="28"/>
          <w:spacing w:val="-6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1"/>
        </w:rPr>
        <w:t>首屏进入到规则中心</w:t>
      </w:r>
      <w:r>
        <w:rPr>
          <w:rFonts w:ascii="FangSong" w:hAnsi="FangSong" w:eastAsia="FangSong" w:cs="FangSong"/>
          <w:sz w:val="28"/>
          <w:szCs w:val="28"/>
          <w:spacing w:val="-1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家企业网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站端入口设置在“商家支持</w:t>
      </w:r>
      <w:r>
        <w:rPr>
          <w:rFonts w:ascii="FangSong" w:hAnsi="FangSong" w:eastAsia="FangSong" w:cs="FangSong"/>
          <w:sz w:val="28"/>
          <w:szCs w:val="28"/>
          <w:spacing w:val="-10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”“业务合作</w:t>
      </w:r>
      <w:r>
        <w:rPr>
          <w:rFonts w:ascii="FangSong" w:hAnsi="FangSong" w:eastAsia="FangSong" w:cs="FangSong"/>
          <w:sz w:val="28"/>
          <w:szCs w:val="28"/>
          <w:spacing w:val="-10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”页面、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 </w:t>
      </w:r>
      <w:r>
        <w:rPr>
          <w:rFonts w:ascii="FangSong" w:hAnsi="FangSong" w:eastAsia="FangSong" w:cs="FangSong"/>
          <w:sz w:val="28"/>
          <w:szCs w:val="28"/>
          <w:spacing w:val="-3"/>
        </w:rPr>
        <w:t>家设</w:t>
      </w:r>
      <w:r>
        <w:rPr>
          <w:rFonts w:ascii="FangSong" w:hAnsi="FangSong" w:eastAsia="FangSong" w:cs="FangSong"/>
          <w:sz w:val="28"/>
          <w:szCs w:val="28"/>
          <w:spacing w:val="-4"/>
        </w:rPr>
        <w:t>置在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“</w:t>
      </w:r>
      <w:r>
        <w:rPr>
          <w:rFonts w:ascii="FangSong" w:hAnsi="FangSong" w:eastAsia="FangSong" w:cs="FangSong"/>
          <w:sz w:val="28"/>
          <w:szCs w:val="28"/>
          <w:spacing w:val="-4"/>
        </w:rPr>
        <w:t>帮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助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”</w:t>
      </w:r>
      <w:r>
        <w:rPr>
          <w:rFonts w:ascii="FangSong" w:hAnsi="FangSong" w:eastAsia="FangSong" w:cs="FangSong"/>
          <w:sz w:val="28"/>
          <w:szCs w:val="28"/>
          <w:spacing w:val="-4"/>
        </w:rPr>
        <w:t>页面、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家设置在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“</w:t>
      </w:r>
      <w:r>
        <w:rPr>
          <w:rFonts w:ascii="FangSong" w:hAnsi="FangSong" w:eastAsia="FangSong" w:cs="FangSong"/>
          <w:sz w:val="28"/>
          <w:szCs w:val="28"/>
          <w:spacing w:val="-4"/>
        </w:rPr>
        <w:t>更多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”</w:t>
      </w:r>
      <w:r>
        <w:rPr>
          <w:rFonts w:ascii="FangSong" w:hAnsi="FangSong" w:eastAsia="FangSong" w:cs="FangSong"/>
          <w:sz w:val="28"/>
          <w:szCs w:val="28"/>
          <w:spacing w:val="-4"/>
        </w:rPr>
        <w:t>页面，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家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端入口设置在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“售后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无忧”页面）、</w:t>
      </w:r>
      <w:r>
        <w:rPr>
          <w:rFonts w:ascii="SimHei" w:hAnsi="SimHei" w:eastAsia="SimHei" w:cs="SimHei"/>
          <w:sz w:val="28"/>
          <w:szCs w:val="28"/>
          <w:spacing w:val="3"/>
        </w:rPr>
        <w:t>规则中心入口不明显极易被忽略</w:t>
      </w:r>
      <w:r>
        <w:rPr>
          <w:rFonts w:ascii="FangSong" w:hAnsi="FangSong" w:eastAsia="FangSong" w:cs="FangSong"/>
          <w:sz w:val="28"/>
          <w:szCs w:val="28"/>
          <w:spacing w:val="3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家企业网站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端需下拉所有商品后通过最下方灰色小字访问，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家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端需从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首页侧面一个极小的、悬浮的、透明小方条访问）。</w:t>
      </w:r>
    </w:p>
    <w:p>
      <w:pPr>
        <w:spacing w:line="409" w:lineRule="auto"/>
        <w:sectPr>
          <w:headerReference w:type="default" r:id="rId24"/>
          <w:footerReference w:type="default" r:id="rId93"/>
          <w:pgSz w:w="11906" w:h="16839"/>
          <w:pgMar w:top="1134" w:right="1520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41"/>
        <w:gridCol w:w="6265"/>
      </w:tblGrid>
      <w:tr>
        <w:trPr>
          <w:trHeight w:val="633" w:hRule="atLeast"/>
        </w:trPr>
        <w:tc>
          <w:tcPr>
            <w:tcW w:w="8106" w:type="dxa"/>
            <w:vAlign w:val="top"/>
            <w:gridSpan w:val="2"/>
          </w:tcPr>
          <w:p>
            <w:pPr>
              <w:pStyle w:val="TableText"/>
              <w:ind w:left="2182"/>
              <w:spacing w:before="177" w:line="218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1</w:t>
            </w:r>
            <w:r>
              <w:rPr>
                <w:b/>
                <w:bCs/>
                <w:spacing w:val="-4"/>
              </w:rPr>
              <w:t>：规则透明度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--</w:t>
            </w:r>
            <w:r>
              <w:rPr>
                <w:b/>
                <w:bCs/>
                <w:spacing w:val="-4"/>
              </w:rPr>
              <w:t>解读方式</w:t>
            </w:r>
          </w:p>
        </w:tc>
      </w:tr>
      <w:tr>
        <w:trPr>
          <w:trHeight w:val="11237" w:hRule="atLeast"/>
        </w:trPr>
        <w:tc>
          <w:tcPr>
            <w:tcW w:w="1841" w:type="dxa"/>
            <w:vAlign w:val="top"/>
            <w:tcBorders>
              <w:right w:val="nil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before="91" w:line="223" w:lineRule="auto"/>
              <w:jc w:val="right"/>
              <w:rPr>
                <w:rFonts w:ascii="SimHei" w:hAnsi="SimHei" w:eastAsia="SimHei" w:cs="SimHei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20"/>
              </w:rPr>
              <w:t>1.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5"/>
              </w:rPr>
              <w:t xml:space="preserve">   </w:t>
            </w:r>
            <w:r>
              <w:rPr>
                <w:rFonts w:ascii="SimHei" w:hAnsi="SimHei" w:eastAsia="SimHei" w:cs="SimHei"/>
                <w:sz w:val="28"/>
                <w:szCs w:val="28"/>
                <w:spacing w:val="-20"/>
              </w:rPr>
              <w:t>一图读懂：</w:t>
            </w:r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before="91" w:line="222" w:lineRule="auto"/>
              <w:jc w:val="right"/>
              <w:rPr>
                <w:rFonts w:ascii="SimHei" w:hAnsi="SimHei" w:eastAsia="SimHei" w:cs="SimHei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6"/>
              </w:rPr>
              <w:t>2.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5"/>
              </w:rPr>
              <w:t xml:space="preserve">   </w:t>
            </w:r>
            <w:r>
              <w:rPr>
                <w:rFonts w:ascii="SimHei" w:hAnsi="SimHei" w:eastAsia="SimHei" w:cs="SimHei"/>
                <w:sz w:val="28"/>
                <w:szCs w:val="28"/>
                <w:spacing w:val="-16"/>
              </w:rPr>
              <w:t>说明案例：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91" w:line="22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19"/>
              </w:rPr>
              <w:t>3.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  </w:t>
            </w:r>
            <w:r>
              <w:rPr>
                <w:rFonts w:ascii="SimHei" w:hAnsi="SimHei" w:eastAsia="SimHei" w:cs="SimHei"/>
                <w:spacing w:val="-19"/>
              </w:rPr>
              <w:t>问答形式</w:t>
            </w:r>
            <w:r>
              <w:rPr>
                <w:spacing w:val="-19"/>
              </w:rPr>
              <w:t>：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91" w:line="223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15"/>
              </w:rPr>
              <w:t>4.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</w:t>
            </w:r>
            <w:r>
              <w:rPr>
                <w:rFonts w:ascii="SimHei" w:hAnsi="SimHei" w:eastAsia="SimHei" w:cs="SimHei"/>
                <w:spacing w:val="-15"/>
              </w:rPr>
              <w:t>视频形式</w:t>
            </w:r>
            <w:r>
              <w:rPr>
                <w:spacing w:val="-15"/>
              </w:rPr>
              <w:t>：</w:t>
            </w:r>
          </w:p>
        </w:tc>
        <w:tc>
          <w:tcPr>
            <w:tcW w:w="6265" w:type="dxa"/>
            <w:vAlign w:val="top"/>
            <w:tcBorders>
              <w:left w:val="nil"/>
            </w:tcBorders>
          </w:tcPr>
          <w:p>
            <w:pPr>
              <w:ind w:firstLine="93"/>
              <w:spacing w:before="156" w:line="2721" w:lineRule="exact"/>
              <w:rPr/>
            </w:pPr>
            <w:r>
              <w:rPr>
                <w:position w:val="-54"/>
              </w:rPr>
              <w:drawing>
                <wp:inline distT="0" distB="0" distL="0" distR="0">
                  <wp:extent cx="838200" cy="1728216"/>
                  <wp:effectExtent l="0" t="0" r="0" b="0"/>
                  <wp:docPr id="70" name="IM 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" name="IM 7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8200" cy="172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firstLine="93"/>
              <w:spacing w:line="1699" w:lineRule="exact"/>
              <w:rPr/>
            </w:pPr>
            <w:r>
              <w:rPr>
                <w:position w:val="-33"/>
              </w:rPr>
              <w:drawing>
                <wp:inline distT="0" distB="0" distL="0" distR="0">
                  <wp:extent cx="1018031" cy="1078991"/>
                  <wp:effectExtent l="0" t="0" r="0" b="0"/>
                  <wp:docPr id="72" name="IM 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" name="IM 72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18031" cy="107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93"/>
              <w:spacing w:before="235" w:line="2834" w:lineRule="exact"/>
              <w:rPr/>
            </w:pPr>
            <w:r>
              <w:rPr>
                <w:position w:val="-56"/>
              </w:rPr>
              <w:drawing>
                <wp:inline distT="0" distB="0" distL="0" distR="0">
                  <wp:extent cx="906780" cy="1799844"/>
                  <wp:effectExtent l="0" t="0" r="0" b="0"/>
                  <wp:docPr id="74" name="IM 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" name="IM 7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6780" cy="179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93"/>
              <w:spacing w:before="213" w:line="2976" w:lineRule="exact"/>
              <w:rPr/>
            </w:pPr>
            <w:r>
              <w:rPr>
                <w:position w:val="-59"/>
              </w:rPr>
              <w:drawing>
                <wp:inline distT="0" distB="0" distL="0" distR="0">
                  <wp:extent cx="1872995" cy="1889759"/>
                  <wp:effectExtent l="0" t="0" r="0" b="0"/>
                  <wp:docPr id="76" name="IM 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" name="IM 76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72995" cy="1889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112"/>
        <w:spacing w:before="331" w:line="227" w:lineRule="auto"/>
        <w:outlineLvl w:val="1"/>
        <w:rPr>
          <w:rFonts w:ascii="KaiTi" w:hAnsi="KaiTi" w:eastAsia="KaiTi" w:cs="KaiTi"/>
          <w:sz w:val="31"/>
          <w:szCs w:val="31"/>
        </w:rPr>
      </w:pPr>
      <w:r>
        <w:drawing>
          <wp:anchor distT="0" distB="0" distL="0" distR="0" simplePos="0" relativeHeight="251762688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-7103971</wp:posOffset>
            </wp:positionV>
            <wp:extent cx="5192565" cy="7977335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48" w:id="140"/>
      <w:bookmarkEnd w:id="140"/>
      <w:bookmarkStart w:name="bookmark47" w:id="141"/>
      <w:bookmarkEnd w:id="141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（四）规范规则透明原则，畅通规则参与渠道</w:t>
      </w:r>
    </w:p>
    <w:p>
      <w:pPr>
        <w:ind w:left="495" w:right="25" w:firstLine="517"/>
        <w:spacing w:before="324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6"/>
        </w:rPr>
        <w:t>规则作为互联网企业形成的一系列自适用、自调整</w:t>
      </w:r>
      <w:r>
        <w:rPr>
          <w:rFonts w:ascii="FangSong" w:hAnsi="FangSong" w:eastAsia="FangSong" w:cs="FangSong"/>
          <w:sz w:val="28"/>
          <w:szCs w:val="28"/>
          <w:spacing w:val="-7"/>
        </w:rPr>
        <w:t>、自约束、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自治理的内部规范，互联网企业对自身规则负有主体责任，且规</w:t>
      </w:r>
    </w:p>
    <w:p>
      <w:pPr>
        <w:spacing w:line="396" w:lineRule="auto"/>
        <w:sectPr>
          <w:headerReference w:type="default" r:id="rId67"/>
          <w:footerReference w:type="default" r:id="rId94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50" w:right="13" w:hanging="1"/>
        <w:spacing w:before="91" w:line="40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则多涉及企业商业秘密和内部运营细节，</w:t>
      </w:r>
      <w:r>
        <w:rPr>
          <w:rFonts w:ascii="SimHei" w:hAnsi="SimHei" w:eastAsia="SimHei" w:cs="SimHei"/>
          <w:sz w:val="28"/>
          <w:szCs w:val="28"/>
          <w:spacing w:val="1"/>
        </w:rPr>
        <w:t>如何确定规则透明程度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是互联网企业需要面对的首要问题</w:t>
      </w:r>
      <w:r>
        <w:rPr>
          <w:rFonts w:ascii="FangSong" w:hAnsi="FangSong" w:eastAsia="FangSong" w:cs="FangSong"/>
          <w:sz w:val="28"/>
          <w:szCs w:val="28"/>
          <w:spacing w:val="1"/>
        </w:rPr>
        <w:t>。行业实践中，互联网企业基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于合规要求，在保障自身商业秘密、符合运营情况的前提下，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自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主实施透明规则的信息披露。</w:t>
      </w:r>
    </w:p>
    <w:p>
      <w:pPr>
        <w:ind w:left="440" w:right="13" w:firstLine="598"/>
        <w:spacing w:before="40" w:line="41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当前</w:t>
      </w:r>
      <w:r>
        <w:rPr>
          <w:rFonts w:ascii="SimHei" w:hAnsi="SimHei" w:eastAsia="SimHei" w:cs="SimHei"/>
          <w:sz w:val="28"/>
          <w:szCs w:val="28"/>
        </w:rPr>
        <w:t>企业多从“合规性”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“影响相关方重大权益”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“履行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社会责任”三个维度考虑规则透明程度</w:t>
      </w:r>
      <w:r>
        <w:rPr>
          <w:rFonts w:ascii="FangSong" w:hAnsi="FangSong" w:eastAsia="FangSong" w:cs="FangSong"/>
          <w:sz w:val="28"/>
          <w:szCs w:val="28"/>
        </w:rPr>
        <w:t>。其中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“合规性”多</w:t>
      </w:r>
      <w:r>
        <w:rPr>
          <w:rFonts w:ascii="FangSong" w:hAnsi="FangSong" w:eastAsia="FangSong" w:cs="FangSong"/>
          <w:sz w:val="28"/>
          <w:szCs w:val="28"/>
          <w:spacing w:val="-1"/>
        </w:rPr>
        <w:t>为法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律法规政策提出的明确透明度要求，</w:t>
      </w:r>
      <w:r>
        <w:rPr>
          <w:rFonts w:ascii="FangSong" w:hAnsi="FangSong" w:eastAsia="FangSong" w:cs="FangSong"/>
          <w:sz w:val="28"/>
          <w:szCs w:val="28"/>
          <w:spacing w:val="-92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“影响</w:t>
      </w:r>
      <w:r>
        <w:rPr>
          <w:rFonts w:ascii="FangSong" w:hAnsi="FangSong" w:eastAsia="FangSong" w:cs="FangSong"/>
          <w:sz w:val="28"/>
          <w:szCs w:val="28"/>
          <w:spacing w:val="-1"/>
        </w:rPr>
        <w:t>相关方重大权益”评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判标准则相对较模糊，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“履行社会责任”作为企业基于价值观和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品牌影响力而自主驱动的信息披露行为。本报告归纳总结了当前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电子商务平台和生活服务平台的透明规则实践情况，其中，</w:t>
      </w:r>
      <w:r>
        <w:rPr>
          <w:rFonts w:ascii="SimHei" w:hAnsi="SimHei" w:eastAsia="SimHei" w:cs="SimHei"/>
          <w:sz w:val="28"/>
          <w:szCs w:val="28"/>
          <w:spacing w:val="1"/>
        </w:rPr>
        <w:t>与客</w:t>
      </w:r>
      <w:r>
        <w:rPr>
          <w:rFonts w:ascii="SimHei" w:hAnsi="SimHei" w:eastAsia="SimHei" w:cs="SimHei"/>
          <w:sz w:val="28"/>
          <w:szCs w:val="28"/>
          <w:spacing w:val="1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户及消费者相关的透明规则</w:t>
      </w:r>
      <w:r>
        <w:rPr>
          <w:rFonts w:ascii="FangSong" w:hAnsi="FangSong" w:eastAsia="FangSong" w:cs="FangSong"/>
          <w:sz w:val="28"/>
          <w:szCs w:val="28"/>
          <w:spacing w:val="1"/>
        </w:rPr>
        <w:t>可分为如下类别，一是用户服务保障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类规则，如退款退换货政策、品质安全保证、发货配送政策、匿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名号码保护、售后服务保障、价格服务保障、订单处理规则；二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是互联网企业相关服务通用协议模板；三是用户检索、排序、选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择、推送、展示等相关的算法推荐服务的基本逻辑和考虑因素；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四是用户与生态伙伴之间的相关规则，如用户评价相关规则；五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是用户信用管理规则；六是用户与互联网企业、生态伙伴之间相</w:t>
      </w:r>
      <w:r>
        <w:rPr>
          <w:rFonts w:ascii="FangSong" w:hAnsi="FangSong" w:eastAsia="FangSong" w:cs="FangSong"/>
          <w:sz w:val="28"/>
          <w:szCs w:val="28"/>
          <w:spacing w:val="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关申诉、投诉、争议纠纷处置等相关规则及渠道。</w:t>
      </w:r>
      <w:r>
        <w:rPr>
          <w:rFonts w:ascii="SimHei" w:hAnsi="SimHei" w:eastAsia="SimHei" w:cs="SimHei"/>
          <w:sz w:val="28"/>
          <w:szCs w:val="28"/>
          <w:spacing w:val="1"/>
        </w:rPr>
        <w:t>与生态伙伴相</w:t>
      </w:r>
      <w:r>
        <w:rPr>
          <w:rFonts w:ascii="SimHei" w:hAnsi="SimHei" w:eastAsia="SimHei" w:cs="SimHei"/>
          <w:sz w:val="28"/>
          <w:szCs w:val="28"/>
          <w:spacing w:val="11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关的透明规则</w:t>
      </w:r>
      <w:r>
        <w:rPr>
          <w:rFonts w:ascii="FangSong" w:hAnsi="FangSong" w:eastAsia="FangSong" w:cs="FangSong"/>
          <w:sz w:val="28"/>
          <w:szCs w:val="28"/>
          <w:spacing w:val="1"/>
        </w:rPr>
        <w:t>可分为如下类别，一是参与互联网企业交易活动相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关规则，如入驻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上架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加盟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退出的申请材料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资质要求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受理条件等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的具体要求及处理流程、参与企业业务重大</w:t>
      </w:r>
      <w:r>
        <w:rPr>
          <w:rFonts w:ascii="FangSong" w:hAnsi="FangSong" w:eastAsia="FangSong" w:cs="FangSong"/>
          <w:sz w:val="28"/>
          <w:szCs w:val="28"/>
          <w:spacing w:val="-2"/>
        </w:rPr>
        <w:t>活动的资质要求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管理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规范；二是互联网企业相关服务合作通用协议模板；三是业务运</w:t>
      </w:r>
    </w:p>
    <w:p>
      <w:pPr>
        <w:spacing w:line="410" w:lineRule="auto"/>
        <w:sectPr>
          <w:headerReference w:type="default" r:id="rId15"/>
          <w:footerReference w:type="default" r:id="rId99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45" w:right="75" w:firstLine="18"/>
        <w:spacing w:before="91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营规则，如内容安全、商品质量、知识产权等；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四是生态伙伴的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订单分配、抽成比例、算法推荐服务等算法规则及交易规则的基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本逻辑和考虑因素；五是生态伙伴信用管理规则；六是生态伙伴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与互联网企业、与用户之间相关申诉、投诉、争议纠纷处置等相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关规则及渠道。</w:t>
      </w:r>
    </w:p>
    <w:p>
      <w:pPr>
        <w:ind w:left="434" w:right="74" w:firstLine="568"/>
        <w:spacing w:before="45" w:line="40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透明规则通常影响相关方重大权益，互联网企业多在规则中</w:t>
      </w:r>
      <w:r>
        <w:rPr>
          <w:rFonts w:ascii="SimHei" w:hAnsi="SimHei" w:eastAsia="SimHei" w:cs="SimHei"/>
          <w:sz w:val="28"/>
          <w:szCs w:val="28"/>
          <w:spacing w:val="10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心设置意见征集窗口，并依托企业资源对提供意见反馈的相关方</w:t>
      </w:r>
      <w:r>
        <w:rPr>
          <w:rFonts w:ascii="SimHei" w:hAnsi="SimHei" w:eastAsia="SimHei" w:cs="SimHei"/>
          <w:sz w:val="28"/>
          <w:szCs w:val="28"/>
          <w:spacing w:val="1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2"/>
        </w:rPr>
        <w:t>进行鼓励</w:t>
      </w:r>
      <w:r>
        <w:rPr>
          <w:rFonts w:ascii="FangSong" w:hAnsi="FangSong" w:eastAsia="FangSong" w:cs="FangSong"/>
          <w:sz w:val="28"/>
          <w:szCs w:val="28"/>
          <w:spacing w:val="-2"/>
        </w:rPr>
        <w:t>。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62.5%</w:t>
      </w:r>
      <w:r>
        <w:rPr>
          <w:rFonts w:ascii="FangSong" w:hAnsi="FangSong" w:eastAsia="FangSong" w:cs="FangSong"/>
          <w:sz w:val="28"/>
          <w:szCs w:val="28"/>
          <w:spacing w:val="-2"/>
        </w:rPr>
        <w:t>电子商务平台、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60%</w:t>
      </w:r>
      <w:r>
        <w:rPr>
          <w:rFonts w:ascii="FangSong" w:hAnsi="FangSong" w:eastAsia="FangSong" w:cs="FangSong"/>
          <w:sz w:val="28"/>
          <w:szCs w:val="28"/>
          <w:spacing w:val="-2"/>
        </w:rPr>
        <w:t>生活服务</w:t>
      </w:r>
      <w:r>
        <w:rPr>
          <w:rFonts w:ascii="FangSong" w:hAnsi="FangSong" w:eastAsia="FangSong" w:cs="FangSong"/>
          <w:sz w:val="28"/>
          <w:szCs w:val="28"/>
          <w:spacing w:val="-3"/>
        </w:rPr>
        <w:t>平台开辟了“规则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议事厅”“规则众议院”“规则评审团”等单独板块，并进行了</w:t>
      </w:r>
      <w:r>
        <w:rPr>
          <w:rFonts w:ascii="FangSong" w:hAnsi="FangSong" w:eastAsia="FangSong" w:cs="FangSong"/>
          <w:sz w:val="28"/>
          <w:szCs w:val="28"/>
          <w:spacing w:val="1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详细的信息展示，一是分类展示规则</w:t>
      </w:r>
      <w:r>
        <w:rPr>
          <w:rFonts w:ascii="FangSong" w:hAnsi="FangSong" w:eastAsia="FangSong" w:cs="FangSong"/>
          <w:sz w:val="28"/>
          <w:szCs w:val="28"/>
          <w:spacing w:val="-10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“投票中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征集</w:t>
      </w:r>
      <w:r>
        <w:rPr>
          <w:rFonts w:ascii="FangSong" w:hAnsi="FangSong" w:eastAsia="FangSong" w:cs="FangSong"/>
          <w:sz w:val="28"/>
          <w:szCs w:val="28"/>
          <w:spacing w:val="-5"/>
        </w:rPr>
        <w:t>期”“</w:t>
      </w:r>
      <w:r>
        <w:rPr>
          <w:rFonts w:ascii="FangSong" w:hAnsi="FangSong" w:eastAsia="FangSong" w:cs="FangSong"/>
          <w:sz w:val="28"/>
          <w:szCs w:val="28"/>
          <w:spacing w:val="-8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已公示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/</w:t>
      </w:r>
      <w:r>
        <w:rPr>
          <w:rFonts w:ascii="FangSong" w:hAnsi="FangSong" w:eastAsia="FangSong" w:cs="FangSong"/>
          <w:sz w:val="28"/>
          <w:szCs w:val="28"/>
          <w:spacing w:val="-1"/>
        </w:rPr>
        <w:t>已完成”等阶段；二是提供了具体规则的背景说明、核</w:t>
      </w:r>
      <w:r>
        <w:rPr>
          <w:rFonts w:ascii="FangSong" w:hAnsi="FangSong" w:eastAsia="FangSong" w:cs="FangSong"/>
          <w:sz w:val="28"/>
          <w:szCs w:val="28"/>
          <w:spacing w:val="-2"/>
        </w:rPr>
        <w:t>心变化、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审议内容、意见征集期等信息；三是设置了投票入口和讨论区，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从而协助相关方全面知晓规则内容，充分征求相关方意见。</w:t>
      </w:r>
    </w:p>
    <w:p>
      <w:pPr>
        <w:ind w:left="439" w:firstLine="563"/>
        <w:spacing w:before="43" w:line="40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透明规则通常与法律法规要求密切相关，互联网企业常在规</w:t>
      </w:r>
      <w:r>
        <w:rPr>
          <w:rFonts w:ascii="SimHei" w:hAnsi="SimHei" w:eastAsia="SimHei" w:cs="SimHei"/>
          <w:sz w:val="28"/>
          <w:szCs w:val="28"/>
          <w:spacing w:val="10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则中心设置普法专栏和违规违法行为公示</w:t>
      </w:r>
      <w:r>
        <w:rPr>
          <w:rFonts w:ascii="FangSong" w:hAnsi="FangSong" w:eastAsia="FangSong" w:cs="FangSong"/>
          <w:sz w:val="28"/>
          <w:szCs w:val="28"/>
          <w:spacing w:val="1"/>
        </w:rPr>
        <w:t>，其中，普法专栏提供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法规文件解读文章、权威媒体新闻转载等内容；违规违法公示则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针对相关方所发生的违规违法行为，以及处置措施进行持续公示，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滚动显示相关方名称、具体违规违法行为、处罚措施、处罚时间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等信息。互联网企业充分利用行业平台属性，不断提升各利益相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关方的合规意识和法律常识，鼓励社会公众、消费者及客户、生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态伙伴等相关方更好地知法、懂法、用法。</w:t>
      </w:r>
    </w:p>
    <w:p>
      <w:pPr>
        <w:spacing w:line="408" w:lineRule="auto"/>
        <w:sectPr>
          <w:headerReference w:type="default" r:id="rId100"/>
          <w:footerReference w:type="default" r:id="rId101"/>
          <w:pgSz w:w="11906" w:h="16839"/>
          <w:pgMar w:top="1134" w:right="1724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55" w:lineRule="auto"/>
        <w:rPr/>
      </w:pPr>
      <w:r/>
    </w:p>
    <w:p>
      <w:pPr>
        <w:ind w:left="1112"/>
        <w:spacing w:before="101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50" w:id="142"/>
      <w:bookmarkEnd w:id="142"/>
      <w:bookmarkStart w:name="bookmark49" w:id="143"/>
      <w:bookmarkEnd w:id="143"/>
      <w:r>
        <w:rPr>
          <w:rFonts w:ascii="KaiTi" w:hAnsi="KaiTi" w:eastAsia="KaiTi" w:cs="KaiTi"/>
          <w:sz w:val="31"/>
          <w:szCs w:val="31"/>
          <w:b/>
          <w:bCs/>
          <w:spacing w:val="6"/>
        </w:rPr>
        <w:t>（五）展望拓宽细分领域，着力提升相关方认知</w:t>
      </w:r>
    </w:p>
    <w:p>
      <w:pPr>
        <w:ind w:left="450" w:right="13" w:firstLine="588"/>
        <w:spacing w:before="322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当前，电子商务平台、生活服务平台等细分领域已充分开展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了规则透明度信息披露实践，并取得了一定成效。基于规则透明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对企业内部生态系统的重要意义，互联网行业需进一步拓宽透明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规则的适用范围，以合规性和自主性为前提，引导更多细分领域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主动探索、积极开展具体实践，获取各利益相关方理解认同。</w:t>
      </w:r>
    </w:p>
    <w:p>
      <w:pPr>
        <w:ind w:left="443" w:right="13" w:firstLine="565"/>
        <w:spacing w:before="41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鉴于规则对互联网企业内部生态系统运转的重要作用，大多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数大中型企业已构建了体系化规则管理机制，但主要涉及企业内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部的运营管理规则，多仅有企业内具有一定权限的员工或某一特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定相关方（多为生态伙伴）才可查阅下载。为更好提升规则透明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度，互联网企业需进一步将透明规则补充完善至已有的内部规则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管理机制，涵盖透明规则的需求提出、透明规则制修订、透明规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则意见征集及发布、透明规则定期维护及失效管理等阶段，积极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构建更为完善、流畅、严谨的透明规则全生命周期管理体系。</w:t>
      </w:r>
    </w:p>
    <w:p>
      <w:pPr>
        <w:ind w:left="441" w:right="13" w:firstLine="597"/>
        <w:spacing w:before="42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当前，互联网行业规则透明度不断提升，但社会公众、消费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者及客户、生态伙伴等相关方对透明规则的访问渠道、展现形式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及具体内容仍缺乏了解。在促进互联网企业规则透明度实质提升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的同时，应向利益相关方大力普及透明规则相关知识，积极引导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其访问规则中心、查阅规则解读、检索具体规则、参与规则的意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见征集及制修订过程，让规则真正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“查得到”“看得懂”</w:t>
      </w:r>
      <w:r>
        <w:rPr>
          <w:rFonts w:ascii="FangSong" w:hAnsi="FangSong" w:eastAsia="FangSong" w:cs="FangSong"/>
          <w:sz w:val="28"/>
          <w:szCs w:val="28"/>
          <w:spacing w:val="-1"/>
        </w:rPr>
        <w:t>“易参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与”，有效提升互联网行业各利益相关方满意度，助力互联网行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业社会共治体系的最终实现。</w:t>
      </w:r>
    </w:p>
    <w:p>
      <w:pPr>
        <w:spacing w:line="408" w:lineRule="auto"/>
        <w:sectPr>
          <w:headerReference w:type="default" r:id="rId15"/>
          <w:footerReference w:type="default" r:id="rId102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57" w:lineRule="auto"/>
        <w:rPr/>
      </w:pPr>
      <w:r/>
    </w:p>
    <w:p>
      <w:pPr>
        <w:ind w:left="1097"/>
        <w:spacing w:before="100" w:line="223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51" w:id="144"/>
      <w:bookmarkEnd w:id="144"/>
      <w:r>
        <w:rPr>
          <w:rFonts w:ascii="SimHei" w:hAnsi="SimHei" w:eastAsia="SimHei" w:cs="SimHei"/>
          <w:sz w:val="31"/>
          <w:szCs w:val="31"/>
          <w:spacing w:val="8"/>
        </w:rPr>
        <w:t>六、主题实践之碳信息披露重要性凸显发展迅速</w:t>
      </w:r>
    </w:p>
    <w:p>
      <w:pPr>
        <w:ind w:left="1112"/>
        <w:spacing w:before="248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52" w:id="145"/>
      <w:bookmarkEnd w:id="145"/>
      <w:bookmarkStart w:name="bookmark54" w:id="146"/>
      <w:bookmarkEnd w:id="146"/>
      <w:bookmarkStart w:name="bookmark53" w:id="147"/>
      <w:bookmarkEnd w:id="147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（一）政策加严趋势显著，披露意识全面提升</w:t>
      </w:r>
    </w:p>
    <w:p>
      <w:pPr>
        <w:ind w:left="447" w:right="13" w:firstLine="556"/>
        <w:spacing w:before="322" w:line="400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本报告基于主题定位，从要求层面和实践层面考虑，将</w:t>
      </w:r>
      <w:r>
        <w:rPr>
          <w:rFonts w:ascii="SimHei" w:hAnsi="SimHei" w:eastAsia="SimHei" w:cs="SimHei"/>
          <w:sz w:val="28"/>
          <w:szCs w:val="28"/>
          <w:spacing w:val="1"/>
        </w:rPr>
        <w:t>碳信</w:t>
      </w:r>
      <w:r>
        <w:rPr>
          <w:rFonts w:ascii="SimHei" w:hAnsi="SimHei" w:eastAsia="SimHei" w:cs="SimHei"/>
          <w:sz w:val="28"/>
          <w:szCs w:val="28"/>
          <w:spacing w:val="9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息披露</w:t>
      </w:r>
      <w:r>
        <w:rPr>
          <w:rFonts w:ascii="FangSong" w:hAnsi="FangSong" w:eastAsia="FangSong" w:cs="FangSong"/>
          <w:sz w:val="28"/>
          <w:szCs w:val="28"/>
          <w:spacing w:val="1"/>
        </w:rPr>
        <w:t>作为本年度的重点主题，深入分析行业的信息披露实践情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况。具体为：</w:t>
      </w:r>
    </w:p>
    <w:p>
      <w:pPr>
        <w:ind w:left="448" w:right="13" w:firstLine="564"/>
        <w:spacing w:before="49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9"/>
        </w:rPr>
        <w:t>首先，</w:t>
      </w:r>
      <w:r>
        <w:rPr>
          <w:rFonts w:ascii="SimHei" w:hAnsi="SimHei" w:eastAsia="SimHei" w:cs="SimHei"/>
          <w:sz w:val="28"/>
          <w:szCs w:val="28"/>
          <w:spacing w:val="-9"/>
        </w:rPr>
        <w:t>碳信息披露成为可持续信息披露核心关注点之一</w:t>
      </w:r>
      <w:r>
        <w:rPr>
          <w:rFonts w:ascii="FangSong" w:hAnsi="FangSong" w:eastAsia="FangSong" w:cs="FangSong"/>
          <w:sz w:val="28"/>
          <w:szCs w:val="28"/>
          <w:spacing w:val="-9"/>
        </w:rPr>
        <w:t>。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2023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6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月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26</w:t>
      </w:r>
      <w:r>
        <w:rPr>
          <w:rFonts w:ascii="Times New Roman" w:hAnsi="Times New Roman" w:eastAsia="Times New Roman" w:cs="Times New Roman"/>
          <w:sz w:val="28"/>
          <w:szCs w:val="28"/>
          <w:spacing w:val="64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日，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正式发布首批两份国际可持</w:t>
      </w:r>
      <w:r>
        <w:rPr>
          <w:rFonts w:ascii="FangSong" w:hAnsi="FangSong" w:eastAsia="FangSong" w:cs="FangSong"/>
          <w:sz w:val="28"/>
          <w:szCs w:val="28"/>
          <w:spacing w:val="-3"/>
        </w:rPr>
        <w:t>续披露准则。其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中，专门发布的气候信息披露准则充分纳入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TCFD </w:t>
      </w:r>
      <w:r>
        <w:rPr>
          <w:rFonts w:ascii="FangSong" w:hAnsi="FangSong" w:eastAsia="FangSong" w:cs="FangSong"/>
          <w:sz w:val="28"/>
          <w:szCs w:val="28"/>
        </w:rPr>
        <w:t>披露建议，并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在此基础上对披露内容、信息可比性、信息质量可靠性均提出更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高要求。国家标准《组织碳排放管理信息披露指南》进入征求意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见稿阶段，从碳排放管理、合规等多个方面规范披露要求。</w:t>
      </w:r>
    </w:p>
    <w:p>
      <w:pPr>
        <w:ind w:left="442" w:right="13" w:firstLine="561"/>
        <w:spacing w:before="51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其次，法律法规政策加严趋势显著。一是</w:t>
      </w:r>
      <w:r>
        <w:rPr>
          <w:rFonts w:ascii="SimHei" w:hAnsi="SimHei" w:eastAsia="SimHei" w:cs="SimHei"/>
          <w:sz w:val="28"/>
          <w:szCs w:val="28"/>
          <w:spacing w:val="1"/>
        </w:rPr>
        <w:t>在“双碳”目标引</w:t>
      </w:r>
      <w:r>
        <w:rPr>
          <w:rFonts w:ascii="SimHei" w:hAnsi="SimHei" w:eastAsia="SimHei" w:cs="SimHei"/>
          <w:sz w:val="28"/>
          <w:szCs w:val="28"/>
          <w:spacing w:val="9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8"/>
        </w:rPr>
        <w:t>领下，我国各层次政策文件均多次强调碳信息披露的重要性。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>2021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年</w:t>
      </w:r>
      <w:r>
        <w:rPr>
          <w:rFonts w:ascii="FangSong" w:hAnsi="FangSong" w:eastAsia="FangSong" w:cs="FangSong"/>
          <w:sz w:val="28"/>
          <w:szCs w:val="28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10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月，中共中央、国务院印发《关于完整准确全面贯彻新发展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理念做好碳达峰碳中和工作的意见》、国务院印发《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2030 </w:t>
      </w:r>
      <w:r>
        <w:rPr>
          <w:rFonts w:ascii="FangSong" w:hAnsi="FangSong" w:eastAsia="FangSong" w:cs="FangSong"/>
          <w:sz w:val="28"/>
          <w:szCs w:val="28"/>
          <w:spacing w:val="-2"/>
        </w:rPr>
        <w:t>年前碳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达峰行动方案》，</w:t>
      </w:r>
      <w:r>
        <w:rPr>
          <w:rFonts w:ascii="FangSong" w:hAnsi="FangSong" w:eastAsia="FangSong" w:cs="FangSong"/>
          <w:sz w:val="28"/>
          <w:szCs w:val="28"/>
          <w:spacing w:val="-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提出健全企业、金融机构等碳排放报告和信息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披露制度，并要求相关上市公司和发债企业要按照环境信息依法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披露要求，定期公布企业碳排放信息。同年</w:t>
      </w:r>
      <w:r>
        <w:rPr>
          <w:rFonts w:ascii="FangSong" w:hAnsi="FangSong" w:eastAsia="FangSong" w:cs="FangSong"/>
          <w:sz w:val="28"/>
          <w:szCs w:val="28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12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月，生态环境部印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发《企业环境信息依法披露管理办法》，</w:t>
      </w:r>
      <w:r>
        <w:rPr>
          <w:rFonts w:ascii="FangSong" w:hAnsi="FangSong" w:eastAsia="FangSong" w:cs="FangSong"/>
          <w:sz w:val="28"/>
          <w:szCs w:val="28"/>
          <w:spacing w:val="-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要求重点排污单位披露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企业环境管理信息、碳排放信息等八类信息。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2023 </w:t>
      </w:r>
      <w:r>
        <w:rPr>
          <w:rFonts w:ascii="FangSong" w:hAnsi="FangSong" w:eastAsia="FangSong" w:cs="FangSong"/>
          <w:sz w:val="28"/>
          <w:szCs w:val="28"/>
          <w:spacing w:val="-2"/>
        </w:rPr>
        <w:t>年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4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月，联交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所发布《优化环境、社会及管治框架下的气候相关信息披露（咨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询文件）》，</w:t>
      </w:r>
      <w:r>
        <w:rPr>
          <w:rFonts w:ascii="FangSong" w:hAnsi="FangSong" w:eastAsia="FangSong" w:cs="FangSong"/>
          <w:sz w:val="28"/>
          <w:szCs w:val="28"/>
          <w:spacing w:val="-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率先提出对上市公司的强制性气候信息披露建议。</w:t>
      </w:r>
    </w:p>
    <w:p>
      <w:pPr>
        <w:spacing w:line="408" w:lineRule="auto"/>
        <w:sectPr>
          <w:footerReference w:type="default" r:id="rId103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7" w:lineRule="auto"/>
        <w:rPr/>
      </w:pPr>
      <w:r/>
    </w:p>
    <w:p>
      <w:pPr>
        <w:ind w:left="444" w:firstLine="16"/>
        <w:spacing w:before="9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二是</w:t>
      </w:r>
      <w:r>
        <w:rPr>
          <w:rFonts w:ascii="SimHei" w:hAnsi="SimHei" w:eastAsia="SimHei" w:cs="SimHei"/>
          <w:sz w:val="28"/>
          <w:szCs w:val="28"/>
          <w:spacing w:val="1"/>
        </w:rPr>
        <w:t>国际气候信息披露责任正由自愿性向强</w:t>
      </w:r>
      <w:r>
        <w:rPr>
          <w:rFonts w:ascii="SimHei" w:hAnsi="SimHei" w:eastAsia="SimHei" w:cs="SimHei"/>
          <w:sz w:val="28"/>
          <w:szCs w:val="28"/>
        </w:rPr>
        <w:t>制性逐步转变。</w:t>
      </w:r>
      <w:r>
        <w:rPr>
          <w:rFonts w:ascii="FangSong" w:hAnsi="FangSong" w:eastAsia="FangSong" w:cs="FangSong"/>
          <w:sz w:val="28"/>
          <w:szCs w:val="28"/>
        </w:rPr>
        <w:t>近年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来，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自愿性气候倡议蓬勃发展，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TCFD</w:t>
      </w:r>
      <w:r>
        <w:rPr>
          <w:rFonts w:ascii="Times New Roman" w:hAnsi="Times New Roman" w:eastAsia="Times New Roman" w:cs="Times New Roman"/>
          <w:sz w:val="28"/>
          <w:szCs w:val="28"/>
          <w:spacing w:val="-3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、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SASB</w:t>
      </w:r>
      <w:r>
        <w:rPr>
          <w:rFonts w:ascii="Times New Roman" w:hAnsi="Times New Roman" w:eastAsia="Times New Roman" w:cs="Times New Roman"/>
          <w:sz w:val="28"/>
          <w:szCs w:val="28"/>
          <w:spacing w:val="-3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、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GRI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和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CDP</w:t>
      </w:r>
      <w:r>
        <w:rPr>
          <w:rFonts w:ascii="FangSong" w:hAnsi="FangSong" w:eastAsia="FangSong" w:cs="FangSong"/>
          <w:sz w:val="28"/>
          <w:szCs w:val="28"/>
          <w:spacing w:val="-6"/>
        </w:rPr>
        <w:t>（碳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4"/>
        </w:rPr>
        <w:t>披露项目</w:t>
      </w:r>
      <w:r>
        <w:rPr>
          <w:rFonts w:ascii="FangSong" w:hAnsi="FangSong" w:eastAsia="FangSong" w:cs="FangSong"/>
          <w:sz w:val="28"/>
          <w:szCs w:val="28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Carbon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Disclosure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Project</w:t>
      </w:r>
      <w:r>
        <w:rPr>
          <w:rFonts w:ascii="FangSong" w:hAnsi="FangSong" w:eastAsia="FangSong" w:cs="FangSong"/>
          <w:sz w:val="28"/>
          <w:szCs w:val="28"/>
          <w:spacing w:val="4"/>
        </w:rPr>
        <w:t>）等主流信息披露框架应用实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践不断积累。为进一步规范披露统一性、提高披露全面性，欧盟、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日本等国家和地区已逐步构建强制性气候信息披露体系，如欧盟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CSRD </w:t>
      </w:r>
      <w:r>
        <w:rPr>
          <w:rFonts w:ascii="FangSong" w:hAnsi="FangSong" w:eastAsia="FangSong" w:cs="FangSong"/>
          <w:sz w:val="28"/>
          <w:szCs w:val="28"/>
        </w:rPr>
        <w:t>指令要求企业披露符合</w:t>
      </w:r>
      <w:r>
        <w:rPr>
          <w:rFonts w:ascii="FangSong" w:hAnsi="FangSong" w:eastAsia="FangSong" w:cs="FangSong"/>
          <w:sz w:val="28"/>
          <w:szCs w:val="28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CSRD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要求的可持续性信息披露报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告，并在与其配套的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ESRS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准则中对碳相关信息披露提出定量化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要求。</w:t>
      </w:r>
    </w:p>
    <w:p>
      <w:pPr>
        <w:ind w:left="436" w:right="87" w:firstLine="574"/>
        <w:spacing w:before="47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最后，碳信息披露意识逐步提升，定量数据披露良好。一是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2"/>
        </w:rPr>
        <w:t>专项报告数量逐渐提升</w:t>
      </w:r>
      <w:r>
        <w:rPr>
          <w:rFonts w:ascii="FangSong" w:hAnsi="FangSong" w:eastAsia="FangSong" w:cs="FangSong"/>
          <w:sz w:val="28"/>
          <w:szCs w:val="28"/>
          <w:spacing w:val="-2"/>
        </w:rPr>
        <w:t>，近三年行业内已发布</w:t>
      </w:r>
      <w:r>
        <w:rPr>
          <w:rFonts w:ascii="FangSong" w:hAnsi="FangSong" w:eastAsia="FangSong" w:cs="FangSong"/>
          <w:sz w:val="28"/>
          <w:szCs w:val="28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6 </w:t>
      </w:r>
      <w:r>
        <w:rPr>
          <w:rFonts w:ascii="FangSong" w:hAnsi="FangSong" w:eastAsia="FangSong" w:cs="FangSong"/>
          <w:sz w:val="28"/>
          <w:szCs w:val="28"/>
          <w:spacing w:val="-2"/>
        </w:rPr>
        <w:t>份碳中和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低碳发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展专项报告，充分体现行业企业对碳信息披露的高度重视。二是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2"/>
        </w:rPr>
        <w:t>主题重要性得到广泛共识</w:t>
      </w:r>
      <w:r>
        <w:rPr>
          <w:rFonts w:ascii="FangSong" w:hAnsi="FangSong" w:eastAsia="FangSong" w:cs="FangSong"/>
          <w:sz w:val="28"/>
          <w:szCs w:val="28"/>
          <w:spacing w:val="-2"/>
        </w:rPr>
        <w:t>，共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90.91%</w:t>
      </w:r>
      <w:r>
        <w:rPr>
          <w:rFonts w:ascii="FangSong" w:hAnsi="FangSong" w:eastAsia="FangSong" w:cs="FangSong"/>
          <w:sz w:val="28"/>
          <w:szCs w:val="28"/>
          <w:spacing w:val="-2"/>
        </w:rPr>
        <w:t>企业披露或提及碳信息相关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内容，其中</w:t>
      </w:r>
      <w:r>
        <w:rPr>
          <w:rFonts w:ascii="FangSong" w:hAnsi="FangSong" w:eastAsia="FangSong" w:cs="FangSong"/>
          <w:sz w:val="28"/>
          <w:szCs w:val="28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72.73%</w:t>
      </w:r>
      <w:r>
        <w:rPr>
          <w:rFonts w:ascii="FangSong" w:hAnsi="FangSong" w:eastAsia="FangSong" w:cs="FangSong"/>
          <w:sz w:val="28"/>
          <w:szCs w:val="28"/>
          <w:spacing w:val="-4"/>
        </w:rPr>
        <w:t>企业将应对气候变化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/</w:t>
      </w:r>
      <w:r>
        <w:rPr>
          <w:rFonts w:ascii="FangSong" w:hAnsi="FangSong" w:eastAsia="FangSong" w:cs="FangSong"/>
          <w:sz w:val="28"/>
          <w:szCs w:val="28"/>
          <w:spacing w:val="-4"/>
        </w:rPr>
        <w:t>绿</w:t>
      </w:r>
      <w:r>
        <w:rPr>
          <w:rFonts w:ascii="FangSong" w:hAnsi="FangSong" w:eastAsia="FangSong" w:cs="FangSong"/>
          <w:sz w:val="28"/>
          <w:szCs w:val="28"/>
          <w:spacing w:val="-5"/>
        </w:rPr>
        <w:t>色低碳发展作为独立板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块开展信息披露。三是</w:t>
      </w:r>
      <w:r>
        <w:rPr>
          <w:rFonts w:ascii="SimHei" w:hAnsi="SimHei" w:eastAsia="SimHei" w:cs="SimHei"/>
          <w:sz w:val="28"/>
          <w:szCs w:val="28"/>
          <w:spacing w:val="-1"/>
        </w:rPr>
        <w:t>定量化数据披露表现良好</w:t>
      </w:r>
      <w:r>
        <w:rPr>
          <w:rFonts w:ascii="FangSong" w:hAnsi="FangSong" w:eastAsia="FangSong" w:cs="FangSong"/>
          <w:sz w:val="28"/>
          <w:szCs w:val="28"/>
          <w:spacing w:val="-1"/>
        </w:rPr>
        <w:t>，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21 </w:t>
      </w:r>
      <w:r>
        <w:rPr>
          <w:rFonts w:ascii="FangSong" w:hAnsi="FangSong" w:eastAsia="FangSong" w:cs="FangSong"/>
          <w:sz w:val="28"/>
          <w:szCs w:val="28"/>
          <w:spacing w:val="-1"/>
        </w:rPr>
        <w:t>个信息点中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有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6 </w:t>
      </w:r>
      <w:r>
        <w:rPr>
          <w:rFonts w:ascii="FangSong" w:hAnsi="FangSong" w:eastAsia="FangSong" w:cs="FangSong"/>
          <w:sz w:val="28"/>
          <w:szCs w:val="28"/>
          <w:spacing w:val="-2"/>
        </w:rPr>
        <w:t>个信息点直接涉及定量披露，平均披露率为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2.58%</w:t>
      </w:r>
      <w:r>
        <w:rPr>
          <w:rFonts w:ascii="FangSong" w:hAnsi="FangSong" w:eastAsia="FangSong" w:cs="FangSong"/>
          <w:sz w:val="28"/>
          <w:szCs w:val="28"/>
          <w:spacing w:val="-3"/>
        </w:rPr>
        <w:t>，且两个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信息点披露率达到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56.82%</w:t>
      </w:r>
      <w:r>
        <w:rPr>
          <w:rFonts w:ascii="FangSong" w:hAnsi="FangSong" w:eastAsia="FangSong" w:cs="FangSong"/>
          <w:sz w:val="28"/>
          <w:szCs w:val="28"/>
          <w:spacing w:val="-2"/>
        </w:rPr>
        <w:t>，表明大部分企业已开展碳数据的基础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管理工作。</w:t>
      </w:r>
    </w:p>
    <w:p>
      <w:pPr>
        <w:ind w:left="1112"/>
        <w:spacing w:before="90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56" w:id="148"/>
      <w:bookmarkEnd w:id="148"/>
      <w:bookmarkStart w:name="bookmark55" w:id="149"/>
      <w:bookmarkEnd w:id="149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（二）披露实践逐步提升，组织治理初具规模</w:t>
      </w:r>
    </w:p>
    <w:p>
      <w:pPr>
        <w:ind w:left="459" w:right="87" w:firstLine="556"/>
        <w:spacing w:before="325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互联网行业积极响应我国</w:t>
      </w:r>
      <w:r>
        <w:rPr>
          <w:rFonts w:ascii="FangSong" w:hAnsi="FangSong" w:eastAsia="FangSong" w:cs="FangSong"/>
          <w:sz w:val="28"/>
          <w:szCs w:val="28"/>
          <w:spacing w:val="-9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“双碳”战略，探索开展绿色低碳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实践并披露相关信息，行业披露实践成效初步</w:t>
      </w:r>
      <w:r>
        <w:rPr>
          <w:rFonts w:ascii="FangSong" w:hAnsi="FangSong" w:eastAsia="FangSong" w:cs="FangSong"/>
          <w:sz w:val="28"/>
          <w:szCs w:val="28"/>
          <w:spacing w:val="-2"/>
        </w:rPr>
        <w:t>显现。</w:t>
      </w:r>
    </w:p>
    <w:p>
      <w:pPr>
        <w:ind w:left="450" w:right="87" w:firstLine="553"/>
        <w:spacing w:before="47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本报告基于</w:t>
      </w:r>
      <w:r>
        <w:rPr>
          <w:rFonts w:ascii="FangSong" w:hAnsi="FangSong" w:eastAsia="FangSong" w:cs="FangSong"/>
          <w:sz w:val="28"/>
          <w:szCs w:val="28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TCFD </w:t>
      </w:r>
      <w:r>
        <w:rPr>
          <w:rFonts w:ascii="FangSong" w:hAnsi="FangSong" w:eastAsia="FangSong" w:cs="FangSong"/>
          <w:sz w:val="28"/>
          <w:szCs w:val="28"/>
        </w:rPr>
        <w:t>框架建议，充分考虑互联网行业的平台属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性与赋能特性，围绕组织治理、组织管理、产业协同、减碳赋能</w:t>
      </w:r>
    </w:p>
    <w:p>
      <w:pPr>
        <w:spacing w:line="396" w:lineRule="auto"/>
        <w:sectPr>
          <w:headerReference w:type="default" r:id="rId104"/>
          <w:footerReference w:type="default" r:id="rId105"/>
          <w:pgSz w:w="11906" w:h="16839"/>
          <w:pgMar w:top="1134" w:right="1712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3" w:lineRule="auto"/>
        <w:rPr/>
      </w:pPr>
      <w:r/>
    </w:p>
    <w:p>
      <w:pPr>
        <w:ind w:left="453" w:right="13" w:firstLine="24"/>
        <w:spacing w:before="91" w:line="37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drawing>
          <wp:anchor distT="0" distB="0" distL="0" distR="0" simplePos="0" relativeHeight="251774976" behindDoc="0" locked="0" layoutInCell="1" allowOverlap="1">
            <wp:simplePos x="0" y="0"/>
            <wp:positionH relativeFrom="column">
              <wp:posOffset>49826</wp:posOffset>
            </wp:positionH>
            <wp:positionV relativeFrom="paragraph">
              <wp:posOffset>390735</wp:posOffset>
            </wp:positionV>
            <wp:extent cx="5192565" cy="7977335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2565" cy="79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5"/>
        </w:rPr>
        <w:t>四个维度，详细分析了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2022 </w:t>
      </w:r>
      <w:r>
        <w:rPr>
          <w:rFonts w:ascii="FangSong" w:hAnsi="FangSong" w:eastAsia="FangSong" w:cs="FangSong"/>
          <w:sz w:val="28"/>
          <w:szCs w:val="28"/>
          <w:spacing w:val="-5"/>
        </w:rPr>
        <w:t>年综合实力前百家互联网企业的可持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续发展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FangSong" w:hAnsi="FangSong" w:eastAsia="FangSong" w:cs="FangSong"/>
          <w:sz w:val="28"/>
          <w:szCs w:val="28"/>
          <w:spacing w:val="3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报告中绿色低碳发展、应对气候变化等相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关内容，系统性开展碳信息披露行业现状研究（见图</w:t>
      </w:r>
      <w:r>
        <w:rPr>
          <w:rFonts w:ascii="FangSong" w:hAnsi="FangSong" w:eastAsia="FangSong" w:cs="FangSong"/>
          <w:sz w:val="28"/>
          <w:szCs w:val="28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15</w:t>
      </w:r>
      <w:r>
        <w:rPr>
          <w:rFonts w:ascii="Times New Roman" w:hAnsi="Times New Roman" w:eastAsia="Times New Roman" w:cs="Times New Roman"/>
          <w:sz w:val="28"/>
          <w:szCs w:val="28"/>
          <w:spacing w:val="-3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）。</w:t>
      </w:r>
    </w:p>
    <w:p>
      <w:pPr>
        <w:ind w:firstLine="434"/>
        <w:spacing w:line="4627" w:lineRule="exact"/>
        <w:rPr/>
      </w:pPr>
      <w:r>
        <w:rPr>
          <w:position w:val="-92"/>
        </w:rPr>
        <w:drawing>
          <wp:inline distT="0" distB="0" distL="0" distR="0">
            <wp:extent cx="5006340" cy="2938271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6340" cy="29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5"/>
        <w:spacing w:before="162" w:line="225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来源：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中国信息通信研究院整理</w:t>
      </w:r>
    </w:p>
    <w:p>
      <w:pPr>
        <w:ind w:left="2765"/>
        <w:spacing w:before="208" w:line="222" w:lineRule="auto"/>
        <w:outlineLvl w:val="0"/>
        <w:rPr>
          <w:rFonts w:ascii="FangSong" w:hAnsi="FangSong" w:eastAsia="FangSong" w:cs="FangSong"/>
          <w:sz w:val="24"/>
          <w:szCs w:val="24"/>
        </w:rPr>
      </w:pPr>
      <w:bookmarkStart w:name="bookmark101" w:id="150"/>
      <w:bookmarkEnd w:id="150"/>
      <w:r>
        <w:rPr>
          <w:rFonts w:ascii="FangSong" w:hAnsi="FangSong" w:eastAsia="FangSong" w:cs="FangSong"/>
          <w:sz w:val="24"/>
          <w:szCs w:val="24"/>
          <w:spacing w:val="-5"/>
        </w:rPr>
        <w:t>图</w:t>
      </w:r>
      <w:r>
        <w:rPr>
          <w:rFonts w:ascii="FangSong" w:hAnsi="FangSong" w:eastAsia="FangSong" w:cs="FangSong"/>
          <w:sz w:val="24"/>
          <w:szCs w:val="24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15  </w:t>
      </w:r>
      <w:r>
        <w:rPr>
          <w:rFonts w:ascii="FangSong" w:hAnsi="FangSong" w:eastAsia="FangSong" w:cs="FangSong"/>
          <w:sz w:val="24"/>
          <w:szCs w:val="24"/>
          <w:spacing w:val="-5"/>
        </w:rPr>
        <w:t>碳信息各信息点披露占比</w:t>
      </w:r>
    </w:p>
    <w:p>
      <w:pPr>
        <w:pStyle w:val="BodyText"/>
        <w:spacing w:line="425" w:lineRule="auto"/>
        <w:rPr/>
      </w:pPr>
      <w:r/>
    </w:p>
    <w:p>
      <w:pPr>
        <w:ind w:left="449" w:right="13" w:firstLine="553"/>
        <w:spacing w:before="91" w:line="403" w:lineRule="auto"/>
        <w:jc w:val="both"/>
        <w:rPr>
          <w:rFonts w:ascii="FangSong" w:hAnsi="FangSong" w:eastAsia="FangSong" w:cs="FangSong"/>
          <w:sz w:val="28"/>
          <w:szCs w:val="28"/>
        </w:rPr>
      </w:pPr>
      <w:bookmarkStart w:name="bookmark102" w:id="151"/>
      <w:bookmarkEnd w:id="151"/>
      <w:r>
        <w:rPr>
          <w:rFonts w:ascii="SimHei" w:hAnsi="SimHei" w:eastAsia="SimHei" w:cs="SimHei"/>
          <w:sz w:val="28"/>
          <w:szCs w:val="28"/>
          <w:spacing w:val="-9"/>
        </w:rPr>
        <w:t>组织治理</w:t>
      </w:r>
      <w:r>
        <w:rPr>
          <w:rFonts w:ascii="FangSong" w:hAnsi="FangSong" w:eastAsia="FangSong" w:cs="FangSong"/>
          <w:sz w:val="28"/>
          <w:szCs w:val="28"/>
          <w:spacing w:val="-9"/>
        </w:rPr>
        <w:t>维度关注企业宏观视角，重点分析“使命理念”“履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3"/>
        </w:rPr>
        <w:t>责承诺”“管理职责与组织架构”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3 </w:t>
      </w:r>
      <w:r>
        <w:rPr>
          <w:rFonts w:ascii="FangSong" w:hAnsi="FangSong" w:eastAsia="FangSong" w:cs="FangSong"/>
          <w:sz w:val="28"/>
          <w:szCs w:val="28"/>
          <w:spacing w:val="3"/>
        </w:rPr>
        <w:t>个方面共</w:t>
      </w:r>
      <w:r>
        <w:rPr>
          <w:rFonts w:ascii="FangSong" w:hAnsi="FangSong" w:eastAsia="FangSong" w:cs="FangSong"/>
          <w:sz w:val="28"/>
          <w:szCs w:val="28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个信息点的披露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情况。其中使命理念披露率较高，其他信息点整体披露率较为平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均，基本在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20%</w:t>
      </w:r>
      <w:r>
        <w:rPr>
          <w:rFonts w:ascii="FangSong" w:hAnsi="FangSong" w:eastAsia="FangSong" w:cs="FangSong"/>
          <w:sz w:val="28"/>
          <w:szCs w:val="28"/>
          <w:spacing w:val="-2"/>
        </w:rPr>
        <w:t>左右。</w:t>
      </w:r>
    </w:p>
    <w:p>
      <w:pPr>
        <w:ind w:left="434" w:right="13" w:firstLine="588"/>
        <w:spacing w:before="47" w:line="404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1"/>
        </w:rPr>
        <w:t>“</w:t>
      </w:r>
      <w:r>
        <w:rPr>
          <w:rFonts w:ascii="FangSong" w:hAnsi="FangSong" w:eastAsia="FangSong" w:cs="FangSong"/>
          <w:sz w:val="28"/>
          <w:szCs w:val="28"/>
          <w:spacing w:val="-10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1"/>
        </w:rPr>
        <w:t>使命理念</w:t>
      </w:r>
      <w:r>
        <w:rPr>
          <w:rFonts w:ascii="FangSong" w:hAnsi="FangSong" w:eastAsia="FangSong" w:cs="FangSong"/>
          <w:sz w:val="28"/>
          <w:szCs w:val="28"/>
          <w:spacing w:val="-9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1"/>
        </w:rPr>
        <w:t>”作为组织治理维度中披露率最高</w:t>
      </w:r>
      <w:r>
        <w:rPr>
          <w:rFonts w:ascii="FangSong" w:hAnsi="FangSong" w:eastAsia="FangSong" w:cs="FangSong"/>
          <w:sz w:val="28"/>
          <w:szCs w:val="28"/>
          <w:spacing w:val="20"/>
        </w:rPr>
        <w:t>的信息点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（</w:t>
      </w:r>
      <w:r>
        <w:rPr>
          <w:rFonts w:ascii="Times New Roman" w:hAnsi="Times New Roman" w:eastAsia="Times New Roman" w:cs="Times New Roman"/>
          <w:sz w:val="28"/>
          <w:szCs w:val="28"/>
        </w:rPr>
        <w:t>72.73%</w:t>
      </w:r>
      <w:r>
        <w:rPr>
          <w:rFonts w:ascii="FangSong" w:hAnsi="FangSong" w:eastAsia="FangSong" w:cs="FangSong"/>
          <w:sz w:val="28"/>
          <w:szCs w:val="28"/>
          <w:spacing w:val="10"/>
        </w:rPr>
        <w:t>），</w:t>
      </w:r>
      <w:r>
        <w:rPr>
          <w:rFonts w:ascii="FangSong" w:hAnsi="FangSong" w:eastAsia="FangSong" w:cs="FangSong"/>
          <w:sz w:val="28"/>
          <w:szCs w:val="28"/>
        </w:rPr>
        <w:t>披露难度最低，形式上多以开篇独立呈现的方式描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述相关战略、规划、方针、愿景、使命、理念等，具体内容呈现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出企业正从关注自身减碳逐步向赋能全社会减碳的转</w:t>
      </w:r>
      <w:r>
        <w:rPr>
          <w:rFonts w:ascii="FangSong" w:hAnsi="FangSong" w:eastAsia="FangSong" w:cs="FangSong"/>
          <w:sz w:val="28"/>
          <w:szCs w:val="28"/>
          <w:spacing w:val="-1"/>
        </w:rPr>
        <w:t>变。</w:t>
      </w:r>
    </w:p>
    <w:p>
      <w:pPr>
        <w:spacing w:line="404" w:lineRule="auto"/>
        <w:sectPr>
          <w:headerReference w:type="default" r:id="rId27"/>
          <w:footerReference w:type="default" r:id="rId106"/>
          <w:pgSz w:w="11906" w:h="16839"/>
          <w:pgMar w:top="1134" w:right="1785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369"/>
              <w:spacing w:before="178" w:line="216" w:lineRule="auto"/>
              <w:rPr/>
            </w:pPr>
            <w:r>
              <w:rPr>
                <w:b/>
                <w:bCs/>
                <w:spacing w:val="-5"/>
              </w:rPr>
              <w:t>案例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5"/>
              </w:rPr>
              <w:t>1</w:t>
            </w:r>
            <w:r>
              <w:rPr>
                <w:b/>
                <w:bCs/>
                <w:spacing w:val="-5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5"/>
              </w:rPr>
              <w:t>-</w:t>
            </w:r>
            <w:r>
              <w:rPr>
                <w:b/>
                <w:bCs/>
                <w:spacing w:val="-5"/>
              </w:rPr>
              <w:t>使命理念</w:t>
            </w:r>
          </w:p>
        </w:tc>
      </w:tr>
      <w:tr>
        <w:trPr>
          <w:trHeight w:val="3749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61" w:right="106" w:hanging="421"/>
              <w:spacing w:before="170" w:line="394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认可主题重要作用：</w:t>
            </w:r>
            <w:r>
              <w:rPr>
                <w:spacing w:val="-4"/>
              </w:rPr>
              <w:t>应对气候变化已成为全球共识、响应国家</w:t>
            </w:r>
            <w:r>
              <w:rPr/>
              <w:t xml:space="preserve"> </w:t>
            </w:r>
            <w:r>
              <w:rPr>
                <w:spacing w:val="-5"/>
              </w:rPr>
              <w:t>“双碳”</w:t>
            </w:r>
            <w:r>
              <w:rPr>
                <w:spacing w:val="-85"/>
              </w:rPr>
              <w:t xml:space="preserve"> </w:t>
            </w:r>
            <w:r>
              <w:rPr>
                <w:spacing w:val="-5"/>
              </w:rPr>
              <w:t>目标、践行绿色低碳发展理念</w:t>
            </w:r>
          </w:p>
          <w:p>
            <w:pPr>
              <w:pStyle w:val="TableText"/>
              <w:ind w:left="542" w:right="106" w:hanging="429"/>
              <w:spacing w:before="56" w:line="38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倡导低碳发展愿景：</w:t>
            </w:r>
            <w:r>
              <w:rPr>
                <w:spacing w:val="-3"/>
              </w:rPr>
              <w:t>关注自身减碳（如实现绿色运</w:t>
            </w:r>
            <w:r>
              <w:rPr>
                <w:spacing w:val="-4"/>
              </w:rPr>
              <w:t>营）、关注</w:t>
            </w:r>
            <w:r>
              <w:rPr/>
              <w:t xml:space="preserve"> </w:t>
            </w:r>
            <w:r>
              <w:rPr>
                <w:spacing w:val="-4"/>
              </w:rPr>
              <w:t>价值链减碳（如推动产业链绿色发展、构建绿色低碳供</w:t>
            </w:r>
            <w:r>
              <w:rPr>
                <w:spacing w:val="-5"/>
              </w:rPr>
              <w:t>应链体</w:t>
            </w:r>
            <w:r>
              <w:rPr/>
              <w:t xml:space="preserve"> </w:t>
            </w:r>
            <w:r>
              <w:rPr>
                <w:spacing w:val="-4"/>
              </w:rPr>
              <w:t>系）、关注科技赋能减碳（如打造一朵清洁的云、绿色</w:t>
            </w:r>
            <w:r>
              <w:rPr>
                <w:spacing w:val="-5"/>
              </w:rPr>
              <w:t>智慧解</w:t>
            </w:r>
            <w:r>
              <w:rPr/>
              <w:t xml:space="preserve"> </w:t>
            </w:r>
            <w:r>
              <w:rPr>
                <w:spacing w:val="-1"/>
              </w:rPr>
              <w:t>决方案、数字技术是应对环境风险的关键手段）</w:t>
            </w:r>
          </w:p>
        </w:tc>
      </w:tr>
    </w:tbl>
    <w:p>
      <w:pPr>
        <w:ind w:left="439" w:right="112" w:firstLine="583"/>
        <w:spacing w:before="322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“履责承诺”重点关注企业对履责目标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声</w:t>
      </w:r>
      <w:r>
        <w:rPr>
          <w:rFonts w:ascii="FangSong" w:hAnsi="FangSong" w:eastAsia="FangSong" w:cs="FangSong"/>
          <w:sz w:val="28"/>
          <w:szCs w:val="28"/>
          <w:spacing w:val="-3"/>
        </w:rPr>
        <w:t>明的定量化披露，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其中，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自身运营减碳目标（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27.27%</w:t>
      </w:r>
      <w:r>
        <w:rPr>
          <w:rFonts w:ascii="FangSong" w:hAnsi="FangSong" w:eastAsia="FangSong" w:cs="FangSong"/>
          <w:sz w:val="28"/>
          <w:szCs w:val="28"/>
          <w:spacing w:val="-2"/>
        </w:rPr>
        <w:t>）披露率略高于清洁能源使用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目标（</w:t>
      </w:r>
      <w:r>
        <w:rPr>
          <w:rFonts w:ascii="FangSong" w:hAnsi="FangSong" w:eastAsia="FangSong" w:cs="FangSong"/>
          <w:sz w:val="28"/>
          <w:szCs w:val="28"/>
          <w:spacing w:val="-7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13.64%</w:t>
      </w:r>
      <w:r>
        <w:rPr>
          <w:rFonts w:ascii="FangSong" w:hAnsi="FangSong" w:eastAsia="FangSong" w:cs="FangSong"/>
          <w:sz w:val="28"/>
          <w:szCs w:val="28"/>
          <w:spacing w:val="-4"/>
        </w:rPr>
        <w:t>）和供应链减碳目标（</w:t>
      </w:r>
      <w:r>
        <w:rPr>
          <w:rFonts w:ascii="FangSong" w:hAnsi="FangSong" w:eastAsia="FangSong" w:cs="FangSong"/>
          <w:sz w:val="28"/>
          <w:szCs w:val="28"/>
          <w:spacing w:val="-7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18.18%</w:t>
      </w:r>
      <w:r>
        <w:rPr>
          <w:rFonts w:ascii="FangSong" w:hAnsi="FangSong" w:eastAsia="FangSong" w:cs="FangSong"/>
          <w:sz w:val="28"/>
          <w:szCs w:val="28"/>
          <w:spacing w:val="-5"/>
        </w:rPr>
        <w:t>）。该信息点披露呈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现两个特点，</w:t>
      </w:r>
      <w:r>
        <w:rPr>
          <w:rFonts w:ascii="SimHei" w:hAnsi="SimHei" w:eastAsia="SimHei" w:cs="SimHei"/>
          <w:sz w:val="28"/>
          <w:szCs w:val="28"/>
          <w:spacing w:val="1"/>
        </w:rPr>
        <w:t>一是披露企业高度重视履责承诺及减碳决心</w:t>
      </w:r>
      <w:r>
        <w:rPr>
          <w:rFonts w:ascii="FangSong" w:hAnsi="FangSong" w:eastAsia="FangSong" w:cs="FangSong"/>
          <w:sz w:val="28"/>
          <w:szCs w:val="28"/>
          <w:spacing w:val="1"/>
        </w:rPr>
        <w:t>，具体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方式多见于专题发布减碳目标及行动路线报</w:t>
      </w:r>
      <w:r>
        <w:rPr>
          <w:rFonts w:ascii="FangSong" w:hAnsi="FangSong" w:eastAsia="FangSong" w:cs="FangSong"/>
          <w:sz w:val="28"/>
          <w:szCs w:val="28"/>
          <w:spacing w:val="-2"/>
        </w:rPr>
        <w:t>告，或在可持续发展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/ESG </w:t>
      </w:r>
      <w:r>
        <w:rPr>
          <w:rFonts w:ascii="FangSong" w:hAnsi="FangSong" w:eastAsia="FangSong" w:cs="FangSong"/>
          <w:sz w:val="28"/>
          <w:szCs w:val="28"/>
          <w:spacing w:val="-3"/>
        </w:rPr>
        <w:t>报告“管理层致辞”“高管声明”中披露目标及进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程。</w:t>
      </w:r>
      <w:r>
        <w:rPr>
          <w:rFonts w:ascii="SimHei" w:hAnsi="SimHei" w:eastAsia="SimHei" w:cs="SimHei"/>
          <w:sz w:val="28"/>
          <w:szCs w:val="28"/>
          <w:spacing w:val="1"/>
        </w:rPr>
        <w:t>二是中小企业较难设定量化目标</w:t>
      </w:r>
      <w:r>
        <w:rPr>
          <w:rFonts w:ascii="FangSong" w:hAnsi="FangSong" w:eastAsia="FangSong" w:cs="FangSong"/>
          <w:sz w:val="28"/>
          <w:szCs w:val="28"/>
          <w:spacing w:val="1"/>
        </w:rPr>
        <w:t>，鉴于碳核算基础薄弱、减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碳路径尚不明确等限制，大部分中小企业仍未提及</w:t>
      </w:r>
      <w:r>
        <w:rPr>
          <w:rFonts w:ascii="FangSong" w:hAnsi="FangSong" w:eastAsia="FangSong" w:cs="FangSong"/>
          <w:sz w:val="28"/>
          <w:szCs w:val="28"/>
          <w:spacing w:val="-1"/>
        </w:rPr>
        <w:t>具体承诺。</w:t>
      </w:r>
    </w:p>
    <w:p>
      <w:pPr>
        <w:spacing w:line="31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369"/>
              <w:spacing w:before="176" w:line="218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2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履责承诺</w:t>
            </w:r>
          </w:p>
        </w:tc>
      </w:tr>
      <w:tr>
        <w:trPr>
          <w:trHeight w:val="31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6" w:right="106" w:hanging="406"/>
              <w:spacing w:before="170" w:line="404" w:lineRule="auto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1.   </w:t>
            </w:r>
            <w:r>
              <w:rPr>
                <w:rFonts w:ascii="SimHei" w:hAnsi="SimHei" w:eastAsia="SimHei" w:cs="SimHei"/>
                <w:spacing w:val="-1"/>
              </w:rPr>
              <w:t>清洁能源使用目标：</w:t>
            </w:r>
            <w:r>
              <w:rPr>
                <w:spacing w:val="-1"/>
              </w:rPr>
              <w:t>企业层面绿</w:t>
            </w:r>
            <w:r>
              <w:rPr>
                <w:spacing w:val="-2"/>
              </w:rPr>
              <w:t>色电力使用比例目标（如</w:t>
            </w:r>
            <w:r>
              <w:rPr>
                <w:spacing w:val="-6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XX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-2"/>
              </w:rPr>
              <w:t>年实现</w:t>
            </w:r>
            <w:r>
              <w:rPr>
                <w:spacing w:val="-7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N%</w:t>
            </w:r>
            <w:r>
              <w:rPr>
                <w:spacing w:val="-2"/>
              </w:rPr>
              <w:t>绿色电力使用）、主营业务层面绿色电力使用</w:t>
            </w:r>
            <w:r>
              <w:rPr>
                <w:spacing w:val="-3"/>
              </w:rPr>
              <w:t>比例</w:t>
            </w:r>
            <w:r>
              <w:rPr/>
              <w:t xml:space="preserve"> </w:t>
            </w:r>
            <w:r>
              <w:rPr>
                <w:spacing w:val="1"/>
              </w:rPr>
              <w:t>目标（如</w:t>
            </w:r>
            <w:r>
              <w:rPr>
                <w:spacing w:val="-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XX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1"/>
              </w:rPr>
              <w:t>年物流运输车实现</w:t>
            </w:r>
            <w:r>
              <w:rPr>
                <w:spacing w:val="-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N%</w:t>
            </w:r>
            <w:r>
              <w:rPr>
                <w:spacing w:val="1"/>
              </w:rPr>
              <w:t>新能源、</w:t>
            </w:r>
            <w:r>
              <w:rPr>
                <w:rFonts w:ascii="Times New Roman" w:hAnsi="Times New Roman" w:eastAsia="Times New Roman" w:cs="Times New Roman"/>
              </w:rPr>
              <w:t>XX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1"/>
              </w:rPr>
              <w:t>年起云计算</w:t>
            </w:r>
            <w:r>
              <w:rPr/>
              <w:t xml:space="preserve"> </w:t>
            </w:r>
            <w:r>
              <w:rPr>
                <w:spacing w:val="-1"/>
              </w:rPr>
              <w:t>电力供给</w:t>
            </w:r>
            <w:r>
              <w:rPr>
                <w:spacing w:val="-7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N%</w:t>
            </w:r>
            <w:r>
              <w:rPr>
                <w:spacing w:val="-1"/>
              </w:rPr>
              <w:t>采用清洁能源）</w:t>
            </w:r>
          </w:p>
          <w:p>
            <w:pPr>
              <w:pStyle w:val="TableText"/>
              <w:ind w:left="113"/>
              <w:spacing w:before="45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自身运营减碳目标：</w:t>
            </w:r>
            <w:r>
              <w:rPr>
                <w:spacing w:val="-3"/>
              </w:rPr>
              <w:t>预期碳中和目标（如</w:t>
            </w:r>
            <w:r>
              <w:rPr>
                <w:spacing w:val="-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XX</w:t>
            </w:r>
            <w:r>
              <w:rPr>
                <w:rFonts w:ascii="Times New Roman" w:hAnsi="Times New Roman" w:eastAsia="Times New Roman" w:cs="Times New Roman"/>
                <w:spacing w:val="15"/>
              </w:rPr>
              <w:t xml:space="preserve"> </w:t>
            </w:r>
            <w:r>
              <w:rPr>
                <w:spacing w:val="-3"/>
              </w:rPr>
              <w:t>年</w:t>
            </w:r>
            <w:r>
              <w:rPr>
                <w:spacing w:val="-4"/>
              </w:rPr>
              <w:t>实现运营碳中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70"/>
          <w:footerReference w:type="default" r:id="rId108"/>
          <w:pgSz w:w="11906" w:h="16839"/>
          <w:pgMar w:top="1134" w:right="1687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2505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50"/>
              <w:spacing w:before="177" w:line="218" w:lineRule="auto"/>
              <w:rPr/>
            </w:pPr>
            <w:hyperlink w:history="true" w:anchor="bookmark114">
              <w:r>
                <w:rPr/>
                <w:t>和）、基于基准年</w:t>
              </w:r>
              <w:r>
                <w:rPr>
                  <w:rFonts w:ascii="Times New Roman" w:hAnsi="Times New Roman" w:eastAsia="Times New Roman" w:cs="Times New Roman"/>
                  <w:sz w:val="18"/>
                  <w:szCs w:val="18"/>
                </w:rPr>
                <w:t>12</w:t>
              </w:r>
            </w:hyperlink>
            <w:r>
              <w:rPr/>
              <w:t>的减碳目标（如不晚于</w:t>
            </w:r>
            <w:r>
              <w:rPr>
                <w:spacing w:val="-6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XX </w:t>
            </w:r>
            <w:r>
              <w:rPr/>
              <w:t>年主营业务排</w:t>
            </w:r>
          </w:p>
          <w:p>
            <w:pPr>
              <w:pStyle w:val="TableText"/>
              <w:ind w:left="544"/>
              <w:spacing w:before="293" w:line="218" w:lineRule="auto"/>
              <w:rPr/>
            </w:pPr>
            <w:r>
              <w:rPr>
                <w:spacing w:val="-1"/>
              </w:rPr>
              <w:t>放量降至基准年排放量的</w:t>
            </w:r>
            <w:r>
              <w:rPr>
                <w:spacing w:val="-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N%</w:t>
            </w:r>
            <w:r>
              <w:rPr>
                <w:spacing w:val="-1"/>
              </w:rPr>
              <w:t>）</w:t>
            </w:r>
          </w:p>
          <w:p>
            <w:pPr>
              <w:pStyle w:val="TableText"/>
              <w:ind w:left="119"/>
              <w:spacing w:before="291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供应链减碳目标：</w:t>
            </w:r>
            <w:r>
              <w:rPr>
                <w:spacing w:val="-3"/>
              </w:rPr>
              <w:t>基于基准年的供应链协同减碳目标（如不晚</w:t>
            </w:r>
          </w:p>
          <w:p>
            <w:pPr>
              <w:pStyle w:val="TableText"/>
              <w:ind w:left="556"/>
              <w:spacing w:before="288" w:line="218" w:lineRule="auto"/>
              <w:rPr/>
            </w:pPr>
            <w:r>
              <w:rPr>
                <w:spacing w:val="-9"/>
              </w:rPr>
              <w:t>于</w:t>
            </w:r>
            <w:r>
              <w:rPr>
                <w:spacing w:val="-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</w:rPr>
              <w:t>XX </w:t>
            </w:r>
            <w:r>
              <w:rPr>
                <w:spacing w:val="-9"/>
              </w:rPr>
              <w:t>年协同上下游价值链实现碳排放强度比基准年降低</w:t>
            </w:r>
            <w:r>
              <w:rPr>
                <w:rFonts w:ascii="Times New Roman" w:hAnsi="Times New Roman" w:eastAsia="Times New Roman" w:cs="Times New Roman"/>
                <w:spacing w:val="-9"/>
              </w:rPr>
              <w:t>N%</w:t>
            </w:r>
            <w:r>
              <w:rPr>
                <w:spacing w:val="-9"/>
              </w:rPr>
              <w:t>）</w:t>
            </w:r>
          </w:p>
        </w:tc>
      </w:tr>
    </w:tbl>
    <w:p>
      <w:pPr>
        <w:ind w:left="442" w:right="112" w:firstLine="580"/>
        <w:spacing w:before="332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pict>
          <v:shape id="_x0000_s110" style="position:absolute;margin-left:21.705pt;margin-top:554.528pt;mso-position-vertical-relative:text;mso-position-horizontal-relative:text;width:144pt;height:0pt;z-index:251779072;" filled="false" strokecolor="#000000" strokeweight="0.00pt" coordsize="2880,0" coordorigin="0,0" path="m,l2880,0e">
            <v:stroke endcap="square" joinstyle="bevel" miterlimit="0"/>
          </v:shape>
        </w:pict>
      </w:r>
      <w:r>
        <w:rPr>
          <w:rFonts w:ascii="FangSong" w:hAnsi="FangSong" w:eastAsia="FangSong" w:cs="FangSong"/>
          <w:sz w:val="28"/>
          <w:szCs w:val="28"/>
        </w:rPr>
        <w:t>“管理职责与组织架构”是履责承诺如期实现的重要保障。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该信息点披露率（</w:t>
      </w:r>
      <w:r>
        <w:rPr>
          <w:rFonts w:ascii="FangSong" w:hAnsi="FangSong" w:eastAsia="FangSong" w:cs="FangSong"/>
          <w:sz w:val="28"/>
          <w:szCs w:val="28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18.18%</w:t>
      </w:r>
      <w:r>
        <w:rPr>
          <w:rFonts w:ascii="FangSong" w:hAnsi="FangSong" w:eastAsia="FangSong" w:cs="FangSong"/>
          <w:sz w:val="28"/>
          <w:szCs w:val="28"/>
          <w:spacing w:val="-2"/>
        </w:rPr>
        <w:t>）与履责承诺整体披露率基本一致。披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露内容体现三个层次，</w:t>
      </w:r>
      <w:r>
        <w:rPr>
          <w:rFonts w:ascii="SimHei" w:hAnsi="SimHei" w:eastAsia="SimHei" w:cs="SimHei"/>
          <w:sz w:val="28"/>
          <w:szCs w:val="28"/>
          <w:spacing w:val="-9"/>
        </w:rPr>
        <w:t>一是构建独立组织架构</w:t>
      </w:r>
      <w:r>
        <w:rPr>
          <w:rFonts w:ascii="FangSong" w:hAnsi="FangSong" w:eastAsia="FangSong" w:cs="FangSong"/>
          <w:sz w:val="28"/>
          <w:szCs w:val="28"/>
          <w:spacing w:val="-9"/>
        </w:rPr>
        <w:t>，披露其董事会（适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用时）、管理层、执行层、独立项目组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专班职责及岗位分工。</w:t>
      </w:r>
      <w:r>
        <w:rPr>
          <w:rFonts w:ascii="SimHei" w:hAnsi="SimHei" w:eastAsia="SimHei" w:cs="SimHei"/>
          <w:sz w:val="28"/>
          <w:szCs w:val="28"/>
          <w:spacing w:val="-2"/>
        </w:rPr>
        <w:t>二</w:t>
      </w:r>
      <w:r>
        <w:rPr>
          <w:rFonts w:ascii="SimHei" w:hAnsi="SimHei" w:eastAsia="SimHei" w:cs="SimHei"/>
          <w:sz w:val="28"/>
          <w:szCs w:val="28"/>
          <w:spacing w:val="17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4"/>
        </w:rPr>
        <w:t>是将相关职责与组织层面可持续发展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SimHei" w:hAnsi="SimHei" w:eastAsia="SimHei" w:cs="SimHei"/>
          <w:sz w:val="28"/>
          <w:szCs w:val="28"/>
          <w:spacing w:val="4"/>
        </w:rPr>
        <w:t>社会责任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/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4"/>
        </w:rPr>
        <w:t>管理职责合</w:t>
      </w:r>
      <w:r>
        <w:rPr>
          <w:rFonts w:ascii="SimHei" w:hAnsi="SimHei" w:eastAsia="SimHei" w:cs="SimHei"/>
          <w:sz w:val="28"/>
          <w:szCs w:val="28"/>
          <w:spacing w:val="10"/>
        </w:rPr>
        <w:t xml:space="preserve"> </w:t>
      </w:r>
      <w:r>
        <w:rPr>
          <w:rFonts w:ascii="SimHei" w:hAnsi="SimHei" w:eastAsia="SimHei" w:cs="SimHei"/>
          <w:sz w:val="28"/>
          <w:szCs w:val="28"/>
        </w:rPr>
        <w:t>并</w:t>
      </w:r>
      <w:r>
        <w:rPr>
          <w:rFonts w:ascii="FangSong" w:hAnsi="FangSong" w:eastAsia="FangSong" w:cs="FangSong"/>
          <w:sz w:val="28"/>
          <w:szCs w:val="28"/>
        </w:rPr>
        <w:t>，未单独设置相关管理职责及组织架构。</w:t>
      </w:r>
      <w:r>
        <w:rPr>
          <w:rFonts w:ascii="SimHei" w:hAnsi="SimHei" w:eastAsia="SimHei" w:cs="SimHei"/>
          <w:sz w:val="28"/>
          <w:szCs w:val="28"/>
          <w:spacing w:val="-1"/>
        </w:rPr>
        <w:t>三是大多数企业（约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82%</w:t>
      </w:r>
      <w:r>
        <w:rPr>
          <w:rFonts w:ascii="SimHei" w:hAnsi="SimHei" w:eastAsia="SimHei" w:cs="SimHei"/>
          <w:sz w:val="28"/>
          <w:szCs w:val="28"/>
          <w:spacing w:val="3"/>
        </w:rPr>
        <w:t>）未提及</w:t>
      </w:r>
      <w:r>
        <w:rPr>
          <w:rFonts w:ascii="FangSong" w:hAnsi="FangSong" w:eastAsia="FangSong" w:cs="FangSong"/>
          <w:sz w:val="28"/>
          <w:szCs w:val="28"/>
          <w:spacing w:val="3"/>
        </w:rPr>
        <w:t>绿色低碳、应对气候变化岗位设置与管理</w:t>
      </w:r>
      <w:r>
        <w:rPr>
          <w:rFonts w:ascii="FangSong" w:hAnsi="FangSong" w:eastAsia="FangSong" w:cs="FangSong"/>
          <w:sz w:val="28"/>
          <w:szCs w:val="28"/>
          <w:spacing w:val="2"/>
        </w:rPr>
        <w:t>职责，管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理意识有待提升。</w:t>
      </w:r>
    </w:p>
    <w:p>
      <w:pPr>
        <w:spacing w:line="33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275"/>
              <w:spacing w:before="176" w:line="219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3</w:t>
            </w:r>
            <w:r>
              <w:rPr>
                <w:b/>
                <w:bCs/>
                <w:spacing w:val="-4"/>
              </w:rPr>
              <w:t>：管理职责及组织架构</w:t>
            </w:r>
          </w:p>
        </w:tc>
      </w:tr>
      <w:tr>
        <w:trPr>
          <w:trHeight w:val="4997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36" w:right="82" w:hanging="396"/>
              <w:spacing w:before="170" w:line="405" w:lineRule="auto"/>
              <w:rPr/>
            </w:pPr>
            <w:r>
              <w:rPr>
                <w:rFonts w:ascii="Times New Roman" w:hAnsi="Times New Roman" w:eastAsia="Times New Roman" w:cs="Times New Roman"/>
                <w:spacing w:val="-1"/>
              </w:rPr>
              <w:t>1.   </w:t>
            </w:r>
            <w:r>
              <w:rPr>
                <w:rFonts w:ascii="SimHei" w:hAnsi="SimHei" w:eastAsia="SimHei" w:cs="SimHei"/>
                <w:spacing w:val="-1"/>
              </w:rPr>
              <w:t>构建项目组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</w:t>
            </w:r>
            <w:r>
              <w:rPr>
                <w:rFonts w:ascii="SimHei" w:hAnsi="SimHei" w:eastAsia="SimHei" w:cs="SimHei"/>
                <w:spacing w:val="-1"/>
              </w:rPr>
              <w:t>专班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</w:t>
            </w:r>
            <w:r>
              <w:rPr>
                <w:rFonts w:ascii="SimHei" w:hAnsi="SimHei" w:eastAsia="SimHei" w:cs="SimHei"/>
                <w:spacing w:val="-1"/>
              </w:rPr>
              <w:t>委员会等独立组织架构</w:t>
            </w:r>
            <w:r>
              <w:rPr>
                <w:rFonts w:ascii="SimHei" w:hAnsi="SimHei" w:eastAsia="SimHei" w:cs="SimHei"/>
                <w:spacing w:val="-2"/>
              </w:rPr>
              <w:t>，同时涉及董事会、</w:t>
            </w:r>
            <w:r>
              <w:rPr>
                <w:rFonts w:ascii="SimHei" w:hAnsi="SimHei" w:eastAsia="SimHei" w:cs="SimHei"/>
              </w:rPr>
              <w:t xml:space="preserve"> </w:t>
            </w:r>
            <w:r>
              <w:rPr>
                <w:rFonts w:ascii="SimHei" w:hAnsi="SimHei" w:eastAsia="SimHei" w:cs="SimHei"/>
                <w:spacing w:val="-4"/>
              </w:rPr>
              <w:t>管理层、执行层等多层次：</w:t>
            </w:r>
            <w:r>
              <w:rPr>
                <w:spacing w:val="-4"/>
              </w:rPr>
              <w:t>董事会授权企业管制委员会监督气</w:t>
            </w:r>
            <w:r>
              <w:rPr>
                <w:spacing w:val="4"/>
              </w:rPr>
              <w:t xml:space="preserve"> </w:t>
            </w:r>
            <w:r>
              <w:rPr>
                <w:spacing w:val="-3"/>
              </w:rPr>
              <w:t>候相关事宜、董事会负责制定气候策略和监督相关议题管理；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构建碳中和联合项目组、气候风险管理专班、节能减碳领导小</w:t>
            </w:r>
            <w:r>
              <w:rPr>
                <w:spacing w:val="4"/>
              </w:rPr>
              <w:t xml:space="preserve"> </w:t>
            </w:r>
            <w:r>
              <w:rPr>
                <w:spacing w:val="-4"/>
              </w:rPr>
              <w:t>组等；人力资源行政中心负责制定并执行节能减碳具体措施等</w:t>
            </w:r>
          </w:p>
          <w:p>
            <w:pPr>
              <w:pStyle w:val="TableText"/>
              <w:ind w:left="546" w:right="106" w:hanging="433"/>
              <w:spacing w:before="48" w:line="37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2.   </w:t>
            </w:r>
            <w:r>
              <w:rPr>
                <w:rFonts w:ascii="SimHei" w:hAnsi="SimHei" w:eastAsia="SimHei" w:cs="SimHei"/>
              </w:rPr>
              <w:t>将相关职责与组织层面可持续发展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</w:t>
            </w:r>
            <w:r>
              <w:rPr>
                <w:rFonts w:ascii="SimHei" w:hAnsi="SimHei" w:eastAsia="SimHei" w:cs="SimHei"/>
                <w:spacing w:val="-1"/>
              </w:rPr>
              <w:t>社会责任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/ESG </w:t>
            </w:r>
            <w:r>
              <w:rPr>
                <w:rFonts w:ascii="SimHei" w:hAnsi="SimHei" w:eastAsia="SimHei" w:cs="SimHei"/>
                <w:spacing w:val="-1"/>
              </w:rPr>
              <w:t>管理职责合</w:t>
            </w:r>
            <w:r>
              <w:rPr>
                <w:rFonts w:ascii="SimHei" w:hAnsi="SimHei" w:eastAsia="SimHei" w:cs="SimHei"/>
              </w:rPr>
              <w:t xml:space="preserve"> </w:t>
            </w:r>
            <w:r>
              <w:rPr>
                <w:rFonts w:ascii="SimHei" w:hAnsi="SimHei" w:eastAsia="SimHei" w:cs="SimHei"/>
                <w:spacing w:val="-4"/>
              </w:rPr>
              <w:t>并：</w:t>
            </w:r>
            <w:r>
              <w:rPr>
                <w:spacing w:val="-4"/>
              </w:rPr>
              <w:t>社会责任工作组负责企业碳盘查工作、董事</w:t>
            </w:r>
            <w:r>
              <w:rPr>
                <w:spacing w:val="-5"/>
              </w:rPr>
              <w:t>会战略委员会</w:t>
            </w:r>
            <w:r>
              <w:rPr/>
              <w:t xml:space="preserve"> </w:t>
            </w:r>
            <w:bookmarkStart w:name="bookmark114" w:id="152"/>
            <w:bookmarkEnd w:id="152"/>
            <w:r>
              <w:rPr>
                <w:spacing w:val="-12"/>
              </w:rPr>
              <w:t>下设的可持续发展管理工作组负责规划气候变化风险管理方案</w:t>
            </w:r>
          </w:p>
        </w:tc>
      </w:tr>
    </w:tbl>
    <w:p>
      <w:pPr>
        <w:ind w:left="447"/>
        <w:spacing w:before="28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Times New Roman" w:hAnsi="Times New Roman" w:eastAsia="Times New Roman" w:cs="Times New Roman"/>
          <w:sz w:val="11"/>
          <w:szCs w:val="11"/>
          <w:position w:val="6"/>
        </w:rPr>
        <w:t>12   </w:t>
      </w:r>
      <w:r>
        <w:rPr>
          <w:rFonts w:ascii="SimSun" w:hAnsi="SimSun" w:eastAsia="SimSun" w:cs="SimSun"/>
          <w:sz w:val="18"/>
          <w:szCs w:val="18"/>
        </w:rPr>
        <w:t>基准年是指为比较企业碳排放量信息而确定的特定历史年份</w:t>
      </w:r>
    </w:p>
    <w:p>
      <w:pPr>
        <w:spacing w:line="219" w:lineRule="auto"/>
        <w:sectPr>
          <w:footerReference w:type="default" r:id="rId109"/>
          <w:pgSz w:w="11906" w:h="16839"/>
          <w:pgMar w:top="1134" w:right="1687" w:bottom="1156" w:left="1785" w:header="862" w:footer="994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55" w:lineRule="auto"/>
        <w:rPr/>
      </w:pPr>
      <w:r/>
    </w:p>
    <w:p>
      <w:pPr>
        <w:ind w:left="1112"/>
        <w:spacing w:before="101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58" w:id="153"/>
      <w:bookmarkEnd w:id="153"/>
      <w:bookmarkStart w:name="bookmark57" w:id="154"/>
      <w:bookmarkEnd w:id="154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（三）组织管理取得突破，减碳实践有序推进</w:t>
      </w:r>
    </w:p>
    <w:p>
      <w:pPr>
        <w:ind w:left="442" w:firstLine="560"/>
        <w:spacing w:before="324" w:line="40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组织管理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维度关注企业减碳实践、碳信息管理相关的实践探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 </w:t>
      </w:r>
      <w:r>
        <w:rPr>
          <w:rFonts w:ascii="FangSong" w:hAnsi="FangSong" w:eastAsia="FangSong" w:cs="FangSong"/>
          <w:sz w:val="28"/>
          <w:szCs w:val="28"/>
        </w:rPr>
        <w:t>索与披露内容，重点分析</w:t>
      </w:r>
      <w:r>
        <w:rPr>
          <w:rFonts w:ascii="FangSong" w:hAnsi="FangSong" w:eastAsia="FangSong" w:cs="FangSong"/>
          <w:sz w:val="28"/>
          <w:szCs w:val="28"/>
          <w:spacing w:val="-99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“组织减碳行为”“合规及</w:t>
      </w:r>
      <w:r>
        <w:rPr>
          <w:rFonts w:ascii="FangSong" w:hAnsi="FangSong" w:eastAsia="FangSong" w:cs="FangSong"/>
          <w:sz w:val="28"/>
          <w:szCs w:val="28"/>
          <w:spacing w:val="-1"/>
        </w:rPr>
        <w:t>气候风险管</w:t>
      </w:r>
      <w:r>
        <w:rPr>
          <w:rFonts w:ascii="FangSong" w:hAnsi="FangSong" w:eastAsia="FangSong" w:cs="FangSong"/>
          <w:sz w:val="28"/>
          <w:szCs w:val="28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3"/>
        </w:rPr>
        <w:t>理”“碳绩效管理”“资源支持”“第三方核</w:t>
      </w:r>
      <w:r>
        <w:rPr>
          <w:rFonts w:ascii="FangSong" w:hAnsi="FangSong" w:eastAsia="FangSong" w:cs="FangSong"/>
          <w:sz w:val="28"/>
          <w:szCs w:val="28"/>
          <w:spacing w:val="2"/>
        </w:rPr>
        <w:t>查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认证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评估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审计”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“</w:t>
      </w:r>
      <w:r>
        <w:rPr>
          <w:rFonts w:ascii="FangSong" w:hAnsi="FangSong" w:eastAsia="FangSong" w:cs="FangSong"/>
          <w:sz w:val="28"/>
          <w:szCs w:val="28"/>
          <w:spacing w:val="-8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9"/>
        </w:rPr>
        <w:t>内部意识提升”等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6 </w:t>
      </w:r>
      <w:r>
        <w:rPr>
          <w:rFonts w:ascii="FangSong" w:hAnsi="FangSong" w:eastAsia="FangSong" w:cs="FangSong"/>
          <w:sz w:val="28"/>
          <w:szCs w:val="28"/>
          <w:spacing w:val="-9"/>
        </w:rPr>
        <w:t>个方面共</w:t>
      </w:r>
      <w:r>
        <w:rPr>
          <w:rFonts w:ascii="FangSong" w:hAnsi="FangSong" w:eastAsia="FangSong" w:cs="FangSong"/>
          <w:sz w:val="28"/>
          <w:szCs w:val="28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>12 </w:t>
      </w:r>
      <w:r>
        <w:rPr>
          <w:rFonts w:ascii="FangSong" w:hAnsi="FangSong" w:eastAsia="FangSong" w:cs="FangSong"/>
          <w:sz w:val="28"/>
          <w:szCs w:val="28"/>
          <w:spacing w:val="-9"/>
        </w:rPr>
        <w:t>个信息</w:t>
      </w:r>
      <w:r>
        <w:rPr>
          <w:rFonts w:ascii="FangSong" w:hAnsi="FangSong" w:eastAsia="FangSong" w:cs="FangSong"/>
          <w:sz w:val="28"/>
          <w:szCs w:val="28"/>
          <w:spacing w:val="-10"/>
        </w:rPr>
        <w:t>点的披露情况。整体看，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该维度披露率在</w:t>
      </w:r>
      <w:r>
        <w:rPr>
          <w:rFonts w:ascii="FangSong" w:hAnsi="FangSong" w:eastAsia="FangSong" w:cs="FangSong"/>
          <w:sz w:val="28"/>
          <w:szCs w:val="28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15.91%</w:t>
      </w:r>
      <w:r>
        <w:rPr>
          <w:rFonts w:ascii="FangSong" w:hAnsi="FangSong" w:eastAsia="FangSong" w:cs="FangSong"/>
          <w:sz w:val="28"/>
          <w:szCs w:val="28"/>
          <w:spacing w:val="-6"/>
        </w:rPr>
        <w:t>至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>77.27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%</w:t>
      </w:r>
      <w:r>
        <w:rPr>
          <w:rFonts w:ascii="FangSong" w:hAnsi="FangSong" w:eastAsia="FangSong" w:cs="FangSong"/>
          <w:sz w:val="28"/>
          <w:szCs w:val="28"/>
          <w:spacing w:val="-7"/>
        </w:rPr>
        <w:t>之间浮动，平均披露率约为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40%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反应出行业有序推进各层次减碳实践工作。</w:t>
      </w:r>
    </w:p>
    <w:p>
      <w:pPr>
        <w:ind w:left="447" w:right="192" w:firstLine="575"/>
        <w:spacing w:before="44" w:line="40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“组织减碳行为”涵盖绿色能源、绿色产品、绿色包装与绿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色运营四个方面，是企业减碳实践的重要体现。</w:t>
      </w:r>
      <w:r>
        <w:rPr>
          <w:rFonts w:ascii="SimHei" w:hAnsi="SimHei" w:eastAsia="SimHei" w:cs="SimHei"/>
          <w:sz w:val="28"/>
          <w:szCs w:val="28"/>
          <w:spacing w:val="1"/>
        </w:rPr>
        <w:t>该部分披露整体</w:t>
      </w:r>
      <w:r>
        <w:rPr>
          <w:rFonts w:ascii="SimHei" w:hAnsi="SimHei" w:eastAsia="SimHei" w:cs="SimHei"/>
          <w:sz w:val="28"/>
          <w:szCs w:val="28"/>
          <w:spacing w:val="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呈现差异化与多样化并存的特点，</w:t>
      </w:r>
      <w:r>
        <w:rPr>
          <w:rFonts w:ascii="FangSong" w:hAnsi="FangSong" w:eastAsia="FangSong" w:cs="FangSong"/>
          <w:sz w:val="28"/>
          <w:szCs w:val="28"/>
          <w:spacing w:val="1"/>
        </w:rPr>
        <w:t>一是绿色运营是组织管理中披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露率最高的信息点（</w:t>
      </w:r>
      <w:r>
        <w:rPr>
          <w:rFonts w:ascii="Times New Roman" w:hAnsi="Times New Roman" w:eastAsia="Times New Roman" w:cs="Times New Roman"/>
          <w:sz w:val="28"/>
          <w:szCs w:val="28"/>
        </w:rPr>
        <w:t>77.27%</w:t>
      </w:r>
      <w:r>
        <w:rPr>
          <w:rFonts w:ascii="FangSong" w:hAnsi="FangSong" w:eastAsia="FangSong" w:cs="FangSong"/>
          <w:sz w:val="28"/>
          <w:szCs w:val="28"/>
          <w:spacing w:val="6"/>
        </w:rPr>
        <w:t>），</w:t>
      </w:r>
      <w:r>
        <w:rPr>
          <w:rFonts w:ascii="FangSong" w:hAnsi="FangSong" w:eastAsia="FangSong" w:cs="FangSong"/>
          <w:sz w:val="28"/>
          <w:szCs w:val="28"/>
        </w:rPr>
        <w:t>披露内容多为企业开展的</w:t>
      </w:r>
      <w:r>
        <w:rPr>
          <w:rFonts w:ascii="FangSong" w:hAnsi="FangSong" w:eastAsia="FangSong" w:cs="FangSong"/>
          <w:sz w:val="28"/>
          <w:szCs w:val="28"/>
          <w:spacing w:val="-1"/>
        </w:rPr>
        <w:t>各项绿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4"/>
        </w:rPr>
        <w:t>色运营与绿色办公实践活动。二是绿色能源管理及使用（</w:t>
      </w:r>
      <w:r>
        <w:rPr>
          <w:rFonts w:ascii="Times New Roman" w:hAnsi="Times New Roman" w:eastAsia="Times New Roman" w:cs="Times New Roman"/>
          <w:sz w:val="28"/>
          <w:szCs w:val="28"/>
          <w:spacing w:val="-14"/>
        </w:rPr>
        <w:t>31.82%</w:t>
      </w:r>
      <w:r>
        <w:rPr>
          <w:rFonts w:ascii="FangSong" w:hAnsi="FangSong" w:eastAsia="FangSong" w:cs="FangSong"/>
          <w:sz w:val="28"/>
          <w:szCs w:val="28"/>
          <w:spacing w:val="-15"/>
        </w:rPr>
        <w:t>）、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2"/>
        </w:rPr>
        <w:t>绿色产品设计研发（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25%</w:t>
      </w:r>
      <w:r>
        <w:rPr>
          <w:rFonts w:ascii="FangSong" w:hAnsi="FangSong" w:eastAsia="FangSong" w:cs="FangSong"/>
          <w:sz w:val="28"/>
          <w:szCs w:val="28"/>
          <w:spacing w:val="2"/>
        </w:rPr>
        <w:t>）和绿色包装设计使用（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22.73%</w:t>
      </w:r>
      <w:r>
        <w:rPr>
          <w:rFonts w:ascii="FangSong" w:hAnsi="FangSong" w:eastAsia="FangSong" w:cs="FangSong"/>
          <w:sz w:val="28"/>
          <w:szCs w:val="28"/>
          <w:spacing w:val="1"/>
        </w:rPr>
        <w:t>）披露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率基本一致，且仅有头部企业率先开展相关实践（仅排名前</w:t>
      </w:r>
      <w:r>
        <w:rPr>
          <w:rFonts w:ascii="FangSong" w:hAnsi="FangSong" w:eastAsia="FangSong" w:cs="FangSong"/>
          <w:sz w:val="28"/>
          <w:szCs w:val="28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30%  </w:t>
      </w:r>
      <w:r>
        <w:rPr>
          <w:rFonts w:ascii="FangSong" w:hAnsi="FangSong" w:eastAsia="FangSong" w:cs="FangSong"/>
          <w:sz w:val="28"/>
          <w:szCs w:val="28"/>
          <w:spacing w:val="1"/>
        </w:rPr>
        <w:t>企业披露）。披露率呈现较大差异的原因在于上述信息点均与主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营业务紧密结合，企业创新性开展了丰富多样的实践活动，但绿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色运营有利于节省企业成本、提高运营效率，而其他信息点则需</w:t>
      </w:r>
      <w:r>
        <w:rPr>
          <w:rFonts w:ascii="FangSong" w:hAnsi="FangSong" w:eastAsia="FangSong" w:cs="FangSong"/>
          <w:sz w:val="28"/>
          <w:szCs w:val="28"/>
          <w:spacing w:val="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投入一些额外成本才可实现。</w:t>
      </w:r>
    </w:p>
    <w:p>
      <w:pPr>
        <w:spacing w:line="27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088"/>
              <w:spacing w:before="178" w:line="216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4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组织减碳行为</w:t>
            </w:r>
          </w:p>
        </w:tc>
      </w:tr>
      <w:tr>
        <w:trPr>
          <w:trHeight w:val="1262" w:hRule="atLeast"/>
        </w:trPr>
        <w:tc>
          <w:tcPr>
            <w:tcW w:w="8106" w:type="dxa"/>
            <w:vAlign w:val="top"/>
          </w:tcPr>
          <w:p>
            <w:pPr>
              <w:pStyle w:val="TableText"/>
              <w:ind w:right="6"/>
              <w:spacing w:before="172" w:line="220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1.   </w:t>
            </w:r>
            <w:r>
              <w:rPr>
                <w:rFonts w:ascii="SimHei" w:hAnsi="SimHei" w:eastAsia="SimHei" w:cs="SimHei"/>
                <w:spacing w:val="-3"/>
              </w:rPr>
              <w:t>绿色能源管理及使用：</w:t>
            </w:r>
            <w:r>
              <w:rPr>
                <w:rFonts w:ascii="SimHei" w:hAnsi="SimHei" w:eastAsia="SimHei" w:cs="SimHei"/>
                <w:spacing w:val="-72"/>
              </w:rPr>
              <w:t xml:space="preserve"> </w:t>
            </w:r>
            <w:r>
              <w:rPr>
                <w:spacing w:val="-3"/>
              </w:rPr>
              <w:t>自建分布式光伏、参与绿电绿证交易、</w:t>
            </w:r>
          </w:p>
          <w:p>
            <w:pPr>
              <w:pStyle w:val="TableText"/>
              <w:ind w:left="548"/>
              <w:spacing w:before="292" w:line="215" w:lineRule="auto"/>
              <w:rPr/>
            </w:pPr>
            <w:r>
              <w:rPr>
                <w:spacing w:val="-4"/>
              </w:rPr>
              <w:t>新能源运输车辆替代、数据中心选址重点考虑</w:t>
            </w:r>
            <w:r>
              <w:rPr>
                <w:spacing w:val="-5"/>
              </w:rPr>
              <w:t>绿色能源丰富的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24"/>
          <w:footerReference w:type="default" r:id="rId110"/>
          <w:pgSz w:w="11906" w:h="16839"/>
          <w:pgMar w:top="1134" w:right="1520" w:bottom="1156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375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82"/>
              <w:spacing w:before="178" w:line="219" w:lineRule="auto"/>
              <w:rPr/>
            </w:pPr>
            <w:r>
              <w:rPr>
                <w:spacing w:val="-16"/>
              </w:rPr>
              <w:t>区域等</w:t>
            </w:r>
          </w:p>
          <w:p>
            <w:pPr>
              <w:pStyle w:val="TableText"/>
              <w:ind w:left="113"/>
              <w:spacing w:before="288" w:line="223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绿色产品设计研发：</w:t>
            </w:r>
            <w:r>
              <w:rPr>
                <w:spacing w:val="-3"/>
              </w:rPr>
              <w:t>数据中心绿色低碳科技创新、</w:t>
            </w:r>
            <w:r>
              <w:rPr>
                <w:spacing w:val="-4"/>
              </w:rPr>
              <w:t>液冷服务器</w:t>
            </w:r>
          </w:p>
          <w:p>
            <w:pPr>
              <w:pStyle w:val="TableText"/>
              <w:ind w:left="546"/>
              <w:spacing w:before="289" w:line="215" w:lineRule="auto"/>
              <w:rPr/>
            </w:pPr>
            <w:r>
              <w:rPr>
                <w:spacing w:val="-4"/>
              </w:rPr>
              <w:t>技术、高性能电源研发、共享单车设计生产、绿</w:t>
            </w:r>
            <w:r>
              <w:rPr>
                <w:spacing w:val="-5"/>
              </w:rPr>
              <w:t>色建材研发等</w:t>
            </w:r>
          </w:p>
          <w:p>
            <w:pPr>
              <w:pStyle w:val="TableText"/>
              <w:ind w:left="119"/>
              <w:spacing w:before="296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绿色包装设计使用：</w:t>
            </w:r>
            <w:r>
              <w:rPr>
                <w:spacing w:val="-3"/>
              </w:rPr>
              <w:t>快递及外卖绿色包装设计研发与生产、开</w:t>
            </w:r>
          </w:p>
          <w:p>
            <w:pPr>
              <w:pStyle w:val="TableText"/>
              <w:ind w:left="543"/>
              <w:spacing w:before="289" w:line="213" w:lineRule="auto"/>
              <w:rPr/>
            </w:pPr>
            <w:r>
              <w:rPr>
                <w:spacing w:val="-1"/>
              </w:rPr>
              <w:t>发基于行业特性的简约包装方案等</w:t>
            </w:r>
          </w:p>
          <w:p>
            <w:pPr>
              <w:pStyle w:val="TableText"/>
              <w:ind w:left="112"/>
              <w:spacing w:before="298" w:line="221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4.   </w:t>
            </w:r>
            <w:r>
              <w:rPr>
                <w:rFonts w:ascii="SimHei" w:hAnsi="SimHei" w:eastAsia="SimHei" w:cs="SimHei"/>
              </w:rPr>
              <w:t>绿色运营：</w:t>
            </w:r>
            <w:r>
              <w:rPr/>
              <w:t>节电节水、无纸化办公、智能化空调照明决策等</w:t>
            </w:r>
          </w:p>
        </w:tc>
      </w:tr>
    </w:tbl>
    <w:p>
      <w:pPr>
        <w:pStyle w:val="BodyText"/>
        <w:rPr/>
      </w:pPr>
      <w:r/>
    </w:p>
    <w:p>
      <w:pPr>
        <w:ind w:left="438" w:right="112" w:firstLine="569"/>
        <w:spacing w:before="91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合规及气候风险管理是行业核心关注要点之一，企业基于风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险管理意识，长期关注并落实政策合规要求、主动识别并适应气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候变化风险，以期对业务损害降到最低。其中，</w:t>
      </w:r>
      <w:r>
        <w:rPr>
          <w:rFonts w:ascii="FangSong" w:hAnsi="FangSong" w:eastAsia="FangSong" w:cs="FangSong"/>
          <w:sz w:val="28"/>
          <w:szCs w:val="28"/>
          <w:spacing w:val="-9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“合规要求识别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及落实”信息点披露率达到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65.91%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，重点在两个方</w:t>
      </w:r>
      <w:r>
        <w:rPr>
          <w:rFonts w:ascii="FangSong" w:hAnsi="FangSong" w:eastAsia="FangSong" w:cs="FangSong"/>
          <w:sz w:val="28"/>
          <w:szCs w:val="28"/>
          <w:spacing w:val="-4"/>
        </w:rPr>
        <w:t>面体现。一是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目前仍</w:t>
      </w:r>
      <w:r>
        <w:rPr>
          <w:rFonts w:ascii="SimHei" w:hAnsi="SimHei" w:eastAsia="SimHei" w:cs="SimHei"/>
          <w:sz w:val="28"/>
          <w:szCs w:val="28"/>
        </w:rPr>
        <w:t>以对标国际规则为主</w:t>
      </w:r>
      <w:r>
        <w:rPr>
          <w:rFonts w:ascii="FangSong" w:hAnsi="FangSong" w:eastAsia="FangSong" w:cs="FangSong"/>
          <w:sz w:val="28"/>
          <w:szCs w:val="28"/>
        </w:rPr>
        <w:t>，披露企业中超半数</w:t>
      </w:r>
      <w:r>
        <w:rPr>
          <w:rFonts w:ascii="FangSong" w:hAnsi="FangSong" w:eastAsia="FangSong" w:cs="FangSong"/>
          <w:sz w:val="28"/>
          <w:szCs w:val="28"/>
          <w:spacing w:val="-1"/>
        </w:rPr>
        <w:t>参考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TCFD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等框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架建议。二是</w:t>
      </w:r>
      <w:r>
        <w:rPr>
          <w:rFonts w:ascii="SimHei" w:hAnsi="SimHei" w:eastAsia="SimHei" w:cs="SimHei"/>
          <w:sz w:val="28"/>
          <w:szCs w:val="28"/>
          <w:spacing w:val="1"/>
        </w:rPr>
        <w:t>国内规则初步受到重视</w:t>
      </w:r>
      <w:r>
        <w:rPr>
          <w:rFonts w:ascii="FangSong" w:hAnsi="FangSong" w:eastAsia="FangSong" w:cs="FangSong"/>
          <w:sz w:val="28"/>
          <w:szCs w:val="28"/>
          <w:spacing w:val="1"/>
        </w:rPr>
        <w:t>，约三分之一企业参考联交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所、上交所和深交所环境信息披露规则。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“应对气候变化风险识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别及适应性”披露率为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45.45%</w:t>
      </w:r>
      <w:r>
        <w:rPr>
          <w:rFonts w:ascii="FangSong" w:hAnsi="FangSong" w:eastAsia="FangSong" w:cs="FangSong"/>
          <w:sz w:val="28"/>
          <w:szCs w:val="28"/>
          <w:spacing w:val="-2"/>
        </w:rPr>
        <w:t>，近半数企业关注气候变化带来的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物理风险与转型风险，并开展应对措施制定和转型机</w:t>
      </w:r>
      <w:r>
        <w:rPr>
          <w:rFonts w:ascii="FangSong" w:hAnsi="FangSong" w:eastAsia="FangSong" w:cs="FangSong"/>
          <w:sz w:val="28"/>
          <w:szCs w:val="28"/>
          <w:spacing w:val="-1"/>
        </w:rPr>
        <w:t>遇分析。</w:t>
      </w:r>
    </w:p>
    <w:p>
      <w:pPr>
        <w:spacing w:line="40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965"/>
              <w:spacing w:before="175" w:line="217" w:lineRule="auto"/>
              <w:rPr/>
            </w:pPr>
            <w:r>
              <w:rPr>
                <w:b/>
                <w:bCs/>
                <w:spacing w:val="-3"/>
              </w:rPr>
              <w:t>案例</w:t>
            </w:r>
            <w:r>
              <w:rPr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5</w:t>
            </w:r>
            <w:r>
              <w:rPr>
                <w:b/>
                <w:bCs/>
                <w:spacing w:val="-3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-</w:t>
            </w:r>
            <w:r>
              <w:rPr>
                <w:b/>
                <w:bCs/>
                <w:spacing w:val="-3"/>
              </w:rPr>
              <w:t>应对气候变化风险识别及适应性</w:t>
            </w:r>
          </w:p>
        </w:tc>
      </w:tr>
      <w:tr>
        <w:trPr>
          <w:trHeight w:val="31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0" w:right="106" w:hanging="400"/>
              <w:spacing w:before="171" w:line="401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气候风险识别：</w:t>
            </w:r>
            <w:r>
              <w:rPr>
                <w:spacing w:val="-4"/>
              </w:rPr>
              <w:t>气候情景分析（如严格气候变化政策干预下的</w:t>
            </w:r>
            <w:r>
              <w:rPr/>
              <w:t xml:space="preserve"> </w:t>
            </w:r>
            <w:r>
              <w:rPr>
                <w:spacing w:val="-4"/>
              </w:rPr>
              <w:t>低排放情景、无气候变化政策干预下的高排放情景）、气候风</w:t>
            </w:r>
            <w:r>
              <w:rPr/>
              <w:t xml:space="preserve"> </w:t>
            </w:r>
            <w:r>
              <w:rPr>
                <w:spacing w:val="-1"/>
              </w:rPr>
              <w:t>险量化与排序（如开发影响量化工具、筛选重点气候风险）</w:t>
            </w:r>
          </w:p>
          <w:p>
            <w:pPr>
              <w:pStyle w:val="TableText"/>
              <w:ind w:left="113"/>
              <w:spacing w:before="47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气候风险应对：</w:t>
            </w:r>
            <w:r>
              <w:rPr>
                <w:spacing w:val="-3"/>
              </w:rPr>
              <w:t>应对措施制定（如建立管理制度、</w:t>
            </w:r>
            <w:r>
              <w:rPr>
                <w:spacing w:val="-4"/>
              </w:rPr>
              <w:t>构建应急保</w:t>
            </w:r>
          </w:p>
          <w:p>
            <w:pPr>
              <w:pStyle w:val="TableText"/>
              <w:ind w:left="559"/>
              <w:spacing w:before="291" w:line="214" w:lineRule="auto"/>
              <w:rPr/>
            </w:pPr>
            <w:r>
              <w:rPr>
                <w:spacing w:val="-5"/>
              </w:rPr>
              <w:t>障、开展雇员关怀）、转型机遇分析（如业务融合发展、预测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70"/>
          <w:footerReference w:type="default" r:id="rId111"/>
          <w:pgSz w:w="11906" w:h="16839"/>
          <w:pgMar w:top="1134" w:right="1687" w:bottom="1153" w:left="1785" w:header="862" w:footer="994" w:gutter="0"/>
        </w:sectPr>
        <w:rPr/>
      </w:pPr>
    </w:p>
    <w:p>
      <w:pPr>
        <w:spacing w:before="63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57"/>
              <w:spacing w:before="178" w:line="214" w:lineRule="auto"/>
              <w:rPr/>
            </w:pPr>
            <w:r>
              <w:rPr>
                <w:spacing w:val="-5"/>
              </w:rPr>
              <w:t>转型成效）</w:t>
            </w:r>
          </w:p>
        </w:tc>
      </w:tr>
    </w:tbl>
    <w:p>
      <w:pPr>
        <w:ind w:left="434" w:right="37" w:firstLine="564"/>
        <w:spacing w:before="322" w:line="408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碳绩效管理是企业开展定量化碳披露的最直观体现。</w:t>
      </w:r>
      <w:r>
        <w:rPr>
          <w:rFonts w:ascii="SimHei" w:hAnsi="SimHei" w:eastAsia="SimHei" w:cs="SimHei"/>
          <w:sz w:val="28"/>
          <w:szCs w:val="28"/>
          <w:spacing w:val="1"/>
        </w:rPr>
        <w:t>该部分</w:t>
      </w:r>
      <w:r>
        <w:rPr>
          <w:rFonts w:ascii="SimHei" w:hAnsi="SimHei" w:eastAsia="SimHei" w:cs="SimHei"/>
          <w:sz w:val="28"/>
          <w:szCs w:val="28"/>
          <w:spacing w:val="14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2"/>
        </w:rPr>
        <w:t>整体呈现披露态势良好，披露分布较为均匀</w:t>
      </w:r>
      <w:r>
        <w:rPr>
          <w:rFonts w:ascii="SimHei" w:hAnsi="SimHei" w:eastAsia="SimHei" w:cs="SimHei"/>
          <w:sz w:val="28"/>
          <w:szCs w:val="28"/>
          <w:spacing w:val="1"/>
        </w:rPr>
        <w:t>的特点。</w:t>
      </w:r>
      <w:r>
        <w:rPr>
          <w:rFonts w:ascii="FangSong" w:hAnsi="FangSong" w:eastAsia="FangSong" w:cs="FangSong"/>
          <w:sz w:val="28"/>
          <w:szCs w:val="28"/>
          <w:spacing w:val="1"/>
        </w:rPr>
        <w:t>一是大中小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型企业均开展了定量化信息披露探索，直接（范围一）碳排放量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56.82%</w:t>
      </w:r>
      <w:r>
        <w:rPr>
          <w:rFonts w:ascii="FangSong" w:hAnsi="FangSong" w:eastAsia="FangSong" w:cs="FangSong"/>
          <w:sz w:val="28"/>
          <w:szCs w:val="28"/>
          <w:spacing w:val="-2"/>
        </w:rPr>
        <w:t>）与能源间接（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范围二）碳排放量（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56.82%</w:t>
      </w:r>
      <w:r>
        <w:rPr>
          <w:rFonts w:ascii="FangSong" w:hAnsi="FangSong" w:eastAsia="FangSong" w:cs="FangSong"/>
          <w:sz w:val="28"/>
          <w:szCs w:val="28"/>
          <w:spacing w:val="-3"/>
        </w:rPr>
        <w:t>）披露率保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持持平。二是头部企业逐步开展对供应链碳排放量的识别与管控，</w:t>
      </w:r>
      <w:r>
        <w:rPr>
          <w:rFonts w:ascii="FangSong" w:hAnsi="FangSong" w:eastAsia="FangSong" w:cs="FangSong"/>
          <w:sz w:val="28"/>
          <w:szCs w:val="28"/>
          <w:spacing w:val="1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其他间接（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范围三）碳排放量披露率达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22.73%</w:t>
      </w:r>
      <w:r>
        <w:rPr>
          <w:rFonts w:ascii="Times New Roman" w:hAnsi="Times New Roman" w:eastAsia="Times New Roman" w:cs="Times New Roman"/>
          <w:sz w:val="28"/>
          <w:szCs w:val="28"/>
          <w:spacing w:val="-3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，纳入</w:t>
      </w:r>
      <w:r>
        <w:rPr>
          <w:rFonts w:ascii="FangSong" w:hAnsi="FangSong" w:eastAsia="FangSong" w:cs="FangSong"/>
          <w:sz w:val="28"/>
          <w:szCs w:val="28"/>
          <w:spacing w:val="-6"/>
        </w:rPr>
        <w:t>类别由外购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商品服务、商务旅行逐步扩展更多细分领域，如雇员通勤、上游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与下游租赁资产等。</w:t>
      </w:r>
    </w:p>
    <w:p>
      <w:pPr>
        <w:ind w:left="443" w:right="112" w:firstLine="579"/>
        <w:spacing w:before="44" w:line="404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“资源支持”作为组织管理中</w:t>
      </w:r>
      <w:r>
        <w:rPr>
          <w:rFonts w:ascii="SimHei" w:hAnsi="SimHei" w:eastAsia="SimHei" w:cs="SimHei"/>
          <w:sz w:val="28"/>
          <w:szCs w:val="28"/>
          <w:spacing w:val="-3"/>
        </w:rPr>
        <w:t>披露较差</w:t>
      </w:r>
      <w:r>
        <w:rPr>
          <w:rFonts w:ascii="FangSong" w:hAnsi="FangSong" w:eastAsia="FangSong" w:cs="FangSong"/>
          <w:sz w:val="28"/>
          <w:szCs w:val="28"/>
          <w:spacing w:val="-3"/>
        </w:rPr>
        <w:t>（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18.18%</w:t>
      </w:r>
      <w:r>
        <w:rPr>
          <w:rFonts w:ascii="FangSong" w:hAnsi="FangSong" w:eastAsia="FangSong" w:cs="FangSong"/>
          <w:sz w:val="28"/>
          <w:szCs w:val="28"/>
          <w:spacing w:val="-3"/>
        </w:rPr>
        <w:t>）信息点，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重点关注行业绿色低碳发展资金投入计划或支持情况。产业实践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多体现为企业基于现有业务，通过探索绿色金融产品、提高清洁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科技领域研发投入比例、发起绿色基金等方式开展资源支持。</w:t>
      </w:r>
    </w:p>
    <w:p>
      <w:pPr>
        <w:spacing w:line="32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369"/>
              <w:spacing w:before="174" w:line="220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6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资源支持</w:t>
            </w:r>
          </w:p>
        </w:tc>
      </w:tr>
      <w:tr>
        <w:trPr>
          <w:trHeight w:val="3749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0" w:line="221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探索绿色金融产品：</w:t>
            </w:r>
            <w:r>
              <w:rPr>
                <w:spacing w:val="-4"/>
              </w:rPr>
              <w:t>提供绿色信贷、投资绿色债券、参加金融</w:t>
            </w:r>
          </w:p>
          <w:p>
            <w:pPr>
              <w:pStyle w:val="TableText"/>
              <w:ind w:left="541"/>
              <w:spacing w:before="291" w:line="215" w:lineRule="auto"/>
              <w:rPr/>
            </w:pPr>
            <w:r>
              <w:rPr>
                <w:spacing w:val="-1"/>
              </w:rPr>
              <w:t>机构绿色存款计划等</w:t>
            </w:r>
          </w:p>
          <w:p>
            <w:pPr>
              <w:pStyle w:val="TableText"/>
              <w:ind w:left="113"/>
              <w:spacing w:before="296" w:line="22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提高清洁科技领域研发投入比例：</w:t>
            </w:r>
            <w:r>
              <w:rPr>
                <w:spacing w:val="-3"/>
              </w:rPr>
              <w:t>设立绿色技术研发资金、支</w:t>
            </w:r>
          </w:p>
          <w:p>
            <w:pPr>
              <w:pStyle w:val="TableText"/>
              <w:ind w:left="546"/>
              <w:spacing w:before="289" w:line="217" w:lineRule="auto"/>
              <w:rPr/>
            </w:pPr>
            <w:r>
              <w:rPr>
                <w:spacing w:val="-1"/>
              </w:rPr>
              <w:t>持清洁技术专利研发、参与孵化新能源技术等</w:t>
            </w:r>
          </w:p>
          <w:p>
            <w:pPr>
              <w:pStyle w:val="TableText"/>
              <w:ind w:left="548" w:right="60" w:hanging="429"/>
              <w:spacing w:before="291" w:line="354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3.   </w:t>
            </w:r>
            <w:r>
              <w:rPr>
                <w:rFonts w:ascii="SimHei" w:hAnsi="SimHei" w:eastAsia="SimHei" w:cs="SimHei"/>
                <w:spacing w:val="-2"/>
              </w:rPr>
              <w:t>发起绿色基金：</w:t>
            </w:r>
            <w:r>
              <w:rPr>
                <w:spacing w:val="-2"/>
              </w:rPr>
              <w:t>对绿色低碳环保科技示范项目进行资金资助、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对绿色低碳环保优秀青年科学家给予奖励</w:t>
            </w:r>
          </w:p>
        </w:tc>
      </w:tr>
    </w:tbl>
    <w:p>
      <w:pPr>
        <w:ind w:left="1023"/>
        <w:spacing w:before="327" w:line="21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1"/>
        </w:rPr>
        <w:t>“</w:t>
      </w:r>
      <w:r>
        <w:rPr>
          <w:rFonts w:ascii="FangSong" w:hAnsi="FangSong" w:eastAsia="FangSong" w:cs="FangSong"/>
          <w:sz w:val="28"/>
          <w:szCs w:val="28"/>
          <w:spacing w:val="-9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1"/>
        </w:rPr>
        <w:t>第三方核查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/</w:t>
      </w:r>
      <w:r>
        <w:rPr>
          <w:rFonts w:ascii="FangSong" w:hAnsi="FangSong" w:eastAsia="FangSong" w:cs="FangSong"/>
          <w:sz w:val="28"/>
          <w:szCs w:val="28"/>
          <w:spacing w:val="11"/>
        </w:rPr>
        <w:t>认证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/</w:t>
      </w:r>
      <w:r>
        <w:rPr>
          <w:rFonts w:ascii="FangSong" w:hAnsi="FangSong" w:eastAsia="FangSong" w:cs="FangSong"/>
          <w:sz w:val="28"/>
          <w:szCs w:val="28"/>
          <w:spacing w:val="11"/>
        </w:rPr>
        <w:t>评估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/</w:t>
      </w:r>
      <w:r>
        <w:rPr>
          <w:rFonts w:ascii="FangSong" w:hAnsi="FangSong" w:eastAsia="FangSong" w:cs="FangSong"/>
          <w:sz w:val="28"/>
          <w:szCs w:val="28"/>
          <w:spacing w:val="11"/>
        </w:rPr>
        <w:t>审计”作为该主题中披露率最低</w:t>
      </w:r>
    </w:p>
    <w:p>
      <w:pPr>
        <w:spacing w:line="216" w:lineRule="auto"/>
        <w:sectPr>
          <w:footerReference w:type="default" r:id="rId112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3" w:lineRule="auto"/>
        <w:rPr/>
      </w:pPr>
      <w:r/>
    </w:p>
    <w:p>
      <w:pPr>
        <w:ind w:left="445" w:right="197" w:hanging="11"/>
        <w:spacing w:before="91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2"/>
        </w:rPr>
        <w:t>（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15.91%</w:t>
      </w:r>
      <w:r>
        <w:rPr>
          <w:rFonts w:ascii="FangSong" w:hAnsi="FangSong" w:eastAsia="FangSong" w:cs="FangSong"/>
          <w:sz w:val="28"/>
          <w:szCs w:val="28"/>
          <w:spacing w:val="-2"/>
        </w:rPr>
        <w:t>）的信息点，主要关注企业开展碳绩效管理相关的第三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方核查、认证、评估、审计工作。该信息点披露率较低的原因</w:t>
      </w:r>
      <w:r>
        <w:rPr>
          <w:rFonts w:ascii="SimHei" w:hAnsi="SimHei" w:eastAsia="SimHei" w:cs="SimHei"/>
          <w:sz w:val="28"/>
          <w:szCs w:val="28"/>
          <w:spacing w:val="1"/>
        </w:rPr>
        <w:t>一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方面是近半数企业仍未开展碳绩效管理，另一方面是企业出于成</w:t>
      </w:r>
      <w:r>
        <w:rPr>
          <w:rFonts w:ascii="SimHei" w:hAnsi="SimHei" w:eastAsia="SimHei" w:cs="SimHei"/>
          <w:sz w:val="28"/>
          <w:szCs w:val="28"/>
          <w:spacing w:val="5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6"/>
        </w:rPr>
        <w:t>本考虑</w:t>
      </w:r>
      <w:r>
        <w:rPr>
          <w:rFonts w:ascii="FangSong" w:hAnsi="FangSong" w:eastAsia="FangSong" w:cs="FangSong"/>
          <w:sz w:val="28"/>
          <w:szCs w:val="28"/>
          <w:spacing w:val="-6"/>
        </w:rPr>
        <w:t>，未将第三方核查、认证、评估、审计纳入碳管理体系中。</w:t>
      </w:r>
    </w:p>
    <w:p>
      <w:pPr>
        <w:ind w:left="434" w:right="204" w:firstLine="588"/>
        <w:spacing w:before="44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9"/>
        </w:rPr>
        <w:t>“</w:t>
      </w:r>
      <w:r>
        <w:rPr>
          <w:rFonts w:ascii="FangSong" w:hAnsi="FangSong" w:eastAsia="FangSong" w:cs="FangSong"/>
          <w:sz w:val="28"/>
          <w:szCs w:val="28"/>
          <w:spacing w:val="-6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9"/>
        </w:rPr>
        <w:t>内部意识提升”作为组织管理中披露情况较好的信息点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（</w:t>
      </w:r>
      <w:r>
        <w:rPr>
          <w:rFonts w:ascii="Times New Roman" w:hAnsi="Times New Roman" w:eastAsia="Times New Roman" w:cs="Times New Roman"/>
          <w:sz w:val="28"/>
          <w:szCs w:val="28"/>
        </w:rPr>
        <w:t>43.18%</w:t>
      </w:r>
      <w:r>
        <w:rPr>
          <w:rFonts w:ascii="FangSong" w:hAnsi="FangSong" w:eastAsia="FangSong" w:cs="FangSong"/>
          <w:sz w:val="28"/>
          <w:szCs w:val="28"/>
          <w:spacing w:val="10"/>
        </w:rPr>
        <w:t>），</w:t>
      </w:r>
      <w:r>
        <w:rPr>
          <w:rFonts w:ascii="FangSong" w:hAnsi="FangSong" w:eastAsia="FangSong" w:cs="FangSong"/>
          <w:sz w:val="28"/>
          <w:szCs w:val="28"/>
        </w:rPr>
        <w:t>产业实践主要表现为企业将员工意识融入绿色运营</w:t>
      </w:r>
      <w:r>
        <w:rPr>
          <w:rFonts w:ascii="FangSong" w:hAnsi="FangSong" w:eastAsia="FangSong" w:cs="FangSong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与绿色办公，通过设置长效绿色低碳行为激励机制、举办周期性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趣味宣传活动、开展常规视频标语宣传等方式充分激发员工活力，</w:t>
      </w:r>
      <w:r>
        <w:rPr>
          <w:rFonts w:ascii="FangSong" w:hAnsi="FangSong" w:eastAsia="FangSong" w:cs="FangSong"/>
          <w:sz w:val="28"/>
          <w:szCs w:val="28"/>
          <w:spacing w:val="1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提高员工参与积极性。</w:t>
      </w:r>
    </w:p>
    <w:p>
      <w:pPr>
        <w:spacing w:line="28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088"/>
              <w:spacing w:before="177" w:line="218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7</w:t>
            </w:r>
            <w:r>
              <w:rPr>
                <w:b/>
                <w:bCs/>
                <w:spacing w:val="-4"/>
              </w:rPr>
              <w:t>：组织治理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内部意识提升</w:t>
            </w:r>
          </w:p>
        </w:tc>
      </w:tr>
      <w:tr>
        <w:trPr>
          <w:trHeight w:val="437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42" w:right="106" w:hanging="402"/>
              <w:spacing w:before="170" w:line="400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设置长效绿色低碳行为激励机制：</w:t>
            </w:r>
            <w:r>
              <w:rPr>
                <w:spacing w:val="-4"/>
              </w:rPr>
              <w:t>对随手关灯、关空调、双面</w:t>
            </w:r>
            <w:r>
              <w:rPr/>
              <w:t xml:space="preserve"> </w:t>
            </w:r>
            <w:r>
              <w:rPr>
                <w:spacing w:val="-4"/>
              </w:rPr>
              <w:t>打印、回收纸箱等行为设置积分奖励；对员工通勤及差</w:t>
            </w:r>
            <w:r>
              <w:rPr>
                <w:spacing w:val="-5"/>
              </w:rPr>
              <w:t>旅场景</w:t>
            </w:r>
            <w:r>
              <w:rPr/>
              <w:t xml:space="preserve"> </w:t>
            </w:r>
            <w:r>
              <w:rPr>
                <w:spacing w:val="-1"/>
              </w:rPr>
              <w:t>进行低碳量化并建立相应积分激励体系</w:t>
            </w:r>
          </w:p>
          <w:p>
            <w:pPr>
              <w:pStyle w:val="TableText"/>
              <w:ind w:left="113"/>
              <w:spacing w:before="54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举办周期性趣味宣传活动：</w:t>
            </w:r>
            <w:r>
              <w:rPr>
                <w:spacing w:val="-3"/>
              </w:rPr>
              <w:t>垂直马拉松、环保月、</w:t>
            </w:r>
            <w:r>
              <w:rPr>
                <w:spacing w:val="-4"/>
              </w:rPr>
              <w:t>捐步数植树</w:t>
            </w:r>
          </w:p>
          <w:p>
            <w:pPr>
              <w:pStyle w:val="TableText"/>
              <w:ind w:left="546"/>
              <w:spacing w:before="291" w:line="218" w:lineRule="auto"/>
              <w:rPr/>
            </w:pPr>
            <w:r>
              <w:rPr>
                <w:spacing w:val="-4"/>
              </w:rPr>
              <w:t>造林活动</w:t>
            </w:r>
          </w:p>
          <w:p>
            <w:pPr>
              <w:pStyle w:val="TableText"/>
              <w:ind w:left="119"/>
              <w:spacing w:before="292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开展常规视频标语宣传：</w:t>
            </w:r>
            <w:r>
              <w:rPr>
                <w:spacing w:val="-3"/>
              </w:rPr>
              <w:t>拍摄或推送环</w:t>
            </w:r>
            <w:r>
              <w:rPr>
                <w:spacing w:val="-4"/>
              </w:rPr>
              <w:t>保宣传视频、张贴节能</w:t>
            </w:r>
          </w:p>
          <w:p>
            <w:pPr>
              <w:pStyle w:val="TableText"/>
              <w:ind w:left="552"/>
              <w:spacing w:before="290" w:line="216" w:lineRule="auto"/>
              <w:rPr/>
            </w:pPr>
            <w:r>
              <w:rPr>
                <w:spacing w:val="-2"/>
              </w:rPr>
              <w:t>节水标语、制作节能宣传品</w:t>
            </w:r>
          </w:p>
        </w:tc>
      </w:tr>
    </w:tbl>
    <w:p>
      <w:pPr>
        <w:ind w:left="1112"/>
        <w:spacing w:before="332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60" w:id="155"/>
      <w:bookmarkEnd w:id="155"/>
      <w:bookmarkStart w:name="bookmark59" w:id="156"/>
      <w:bookmarkEnd w:id="156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（四）产业协同监督为主，减碳赋能步伐加快</w:t>
      </w:r>
    </w:p>
    <w:p>
      <w:pPr>
        <w:ind w:left="438" w:firstLine="563"/>
        <w:spacing w:before="324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产业协同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维度关注企业对供应链上下游及生态圈的减碳意识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  </w:t>
      </w:r>
      <w:r>
        <w:rPr>
          <w:rFonts w:ascii="FangSong" w:hAnsi="FangSong" w:eastAsia="FangSong" w:cs="FangSong"/>
          <w:sz w:val="28"/>
          <w:szCs w:val="28"/>
          <w:spacing w:val="1"/>
        </w:rPr>
        <w:t>传导及减碳协同作用，重点分析“生态圈及供应商监督管理措施”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“生态圈及供应商履责支持措施”两个信息点的披露情况。整体</w:t>
      </w:r>
    </w:p>
    <w:p>
      <w:pPr>
        <w:spacing w:line="401" w:lineRule="auto"/>
        <w:sectPr>
          <w:headerReference w:type="default" r:id="rId83"/>
          <w:footerReference w:type="default" r:id="rId113"/>
          <w:pgSz w:w="11906" w:h="16839"/>
          <w:pgMar w:top="1134" w:right="1520" w:bottom="1153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4" w:lineRule="auto"/>
        <w:rPr/>
      </w:pPr>
      <w:r/>
    </w:p>
    <w:p>
      <w:pPr>
        <w:ind w:left="452" w:right="112" w:hanging="9"/>
        <w:spacing w:before="91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看，当前行业内产业协同减碳仍以监督管理为主，头部企业的履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责支持措施有待加强。</w:t>
      </w:r>
    </w:p>
    <w:p>
      <w:pPr>
        <w:ind w:left="448" w:right="112" w:firstLine="574"/>
        <w:spacing w:before="45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“生态圈及供应商监督管理措施”披露率为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25%</w:t>
      </w:r>
      <w:r>
        <w:rPr>
          <w:rFonts w:ascii="FangSong" w:hAnsi="FangSong" w:eastAsia="FangSong" w:cs="FangSong"/>
          <w:sz w:val="28"/>
          <w:szCs w:val="28"/>
          <w:spacing w:val="-1"/>
        </w:rPr>
        <w:t>，行业实践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中企业较为重视供应商绿色低碳发展情况，在供应商入库、产品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与服务招标采购、供应商周期性定级等多个节点制定相关监督管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理措施。</w:t>
      </w:r>
    </w:p>
    <w:p>
      <w:pPr>
        <w:spacing w:line="23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385"/>
              <w:spacing w:before="177" w:line="219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8</w:t>
            </w:r>
            <w:r>
              <w:rPr>
                <w:b/>
                <w:bCs/>
                <w:spacing w:val="-4"/>
              </w:rPr>
              <w:t>：生态圈及供应链发展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监督管理措施</w:t>
            </w:r>
          </w:p>
        </w:tc>
      </w:tr>
      <w:tr>
        <w:trPr>
          <w:trHeight w:val="3125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2" w:line="221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构建绿色采购管理制度：</w:t>
            </w:r>
            <w:r>
              <w:rPr>
                <w:spacing w:val="-4"/>
              </w:rPr>
              <w:t>制定《绿色采购管理规定》、将环境</w:t>
            </w:r>
          </w:p>
          <w:p>
            <w:pPr>
              <w:pStyle w:val="TableText"/>
              <w:ind w:left="540"/>
              <w:spacing w:before="290" w:line="216" w:lineRule="auto"/>
              <w:rPr/>
            </w:pPr>
            <w:r>
              <w:rPr>
                <w:spacing w:val="-1"/>
              </w:rPr>
              <w:t>保护能力和低碳发展列为供应商考核项</w:t>
            </w:r>
          </w:p>
          <w:p>
            <w:pPr>
              <w:pStyle w:val="TableText"/>
              <w:ind w:left="113"/>
              <w:spacing w:before="295" w:line="21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2.   </w:t>
            </w:r>
            <w:r>
              <w:rPr>
                <w:rFonts w:ascii="SimHei" w:hAnsi="SimHei" w:eastAsia="SimHei" w:cs="SimHei"/>
              </w:rPr>
              <w:t>开展供应商碳绩效管理：</w:t>
            </w:r>
            <w:r>
              <w:rPr/>
              <w:t>开展供应商碳盘查、减排潜力</w:t>
            </w:r>
            <w:r>
              <w:rPr>
                <w:spacing w:val="-1"/>
              </w:rPr>
              <w:t>评估</w:t>
            </w:r>
          </w:p>
          <w:p>
            <w:pPr>
              <w:pStyle w:val="TableText"/>
              <w:ind w:left="119"/>
              <w:spacing w:before="291" w:line="221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3.   </w:t>
            </w:r>
            <w:r>
              <w:rPr>
                <w:rFonts w:ascii="SimHei" w:hAnsi="SimHei" w:eastAsia="SimHei" w:cs="SimHei"/>
                <w:spacing w:val="-3"/>
              </w:rPr>
              <w:t>持续监测供应商能力：</w:t>
            </w:r>
            <w:r>
              <w:rPr>
                <w:spacing w:val="-3"/>
              </w:rPr>
              <w:t>定期开展供应商</w:t>
            </w:r>
            <w:r>
              <w:rPr>
                <w:spacing w:val="-4"/>
              </w:rPr>
              <w:t>考核与退出机制、对租</w:t>
            </w:r>
          </w:p>
          <w:p>
            <w:pPr>
              <w:pStyle w:val="TableText"/>
              <w:ind w:left="544"/>
              <w:spacing w:before="290" w:line="217" w:lineRule="auto"/>
              <w:rPr/>
            </w:pPr>
            <w:r>
              <w:rPr>
                <w:spacing w:val="-1"/>
              </w:rPr>
              <w:t>赁数据中心能耗与碳排放持续监测分析</w:t>
            </w:r>
          </w:p>
        </w:tc>
      </w:tr>
    </w:tbl>
    <w:p>
      <w:pPr>
        <w:ind w:left="442" w:right="112" w:firstLine="580"/>
        <w:spacing w:before="322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5"/>
        </w:rPr>
        <w:t>“生态圈及供应商履责支持措施”披露率仅为</w:t>
      </w:r>
      <w:r>
        <w:rPr>
          <w:rFonts w:ascii="FangSong" w:hAnsi="FangSong" w:eastAsia="FangSong" w:cs="FangSong"/>
          <w:sz w:val="28"/>
          <w:szCs w:val="28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11.36%</w:t>
      </w:r>
      <w:r>
        <w:rPr>
          <w:rFonts w:ascii="Times New Roman" w:hAnsi="Times New Roman" w:eastAsia="Times New Roman" w:cs="Times New Roman"/>
          <w:sz w:val="28"/>
          <w:szCs w:val="28"/>
          <w:spacing w:val="-3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，不足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监督管理措施的半数。</w:t>
      </w:r>
      <w:r>
        <w:rPr>
          <w:rFonts w:ascii="SimHei" w:hAnsi="SimHei" w:eastAsia="SimHei" w:cs="SimHei"/>
          <w:sz w:val="28"/>
          <w:szCs w:val="28"/>
          <w:spacing w:val="-1"/>
        </w:rPr>
        <w:t>披露多集中在行业前</w:t>
      </w:r>
      <w:r>
        <w:rPr>
          <w:rFonts w:ascii="SimHei" w:hAnsi="SimHei" w:eastAsia="SimHei" w:cs="SimHei"/>
          <w:sz w:val="28"/>
          <w:szCs w:val="28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15%</w:t>
      </w:r>
      <w:r>
        <w:rPr>
          <w:rFonts w:ascii="SimHei" w:hAnsi="SimHei" w:eastAsia="SimHei" w:cs="SimHei"/>
          <w:sz w:val="28"/>
          <w:szCs w:val="28"/>
          <w:spacing w:val="-1"/>
        </w:rPr>
        <w:t>企业</w:t>
      </w:r>
      <w:r>
        <w:rPr>
          <w:rFonts w:ascii="FangSong" w:hAnsi="FangSong" w:eastAsia="FangSong" w:cs="FangSong"/>
          <w:sz w:val="28"/>
          <w:szCs w:val="28"/>
          <w:spacing w:val="-1"/>
        </w:rPr>
        <w:t>，头部企业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的供应链协同减碳责任意识初步显现。产业良好实践包括向供应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商输出自有标准和技术、对供应商绿色低碳行为赋予绿色积分激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励、联合产业链上下游协同开展绿色物流解决方案设计、向合作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伙伴提供节能减排培训等。</w:t>
      </w:r>
    </w:p>
    <w:p>
      <w:pPr>
        <w:ind w:left="442" w:right="112" w:firstLine="558"/>
        <w:spacing w:before="46" w:line="40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1"/>
        </w:rPr>
        <w:t>减碳赋能</w:t>
      </w:r>
      <w:r>
        <w:rPr>
          <w:rFonts w:ascii="FangSong" w:hAnsi="FangSong" w:eastAsia="FangSong" w:cs="FangSong"/>
          <w:sz w:val="28"/>
          <w:szCs w:val="28"/>
          <w:spacing w:val="1"/>
        </w:rPr>
        <w:t>维度关注互联网行业特色属性，基于面向消费者和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面向产业两方面，重点分析</w:t>
      </w:r>
      <w:r>
        <w:rPr>
          <w:rFonts w:ascii="FangSong" w:hAnsi="FangSong" w:eastAsia="FangSong" w:cs="FangSong"/>
          <w:sz w:val="28"/>
          <w:szCs w:val="28"/>
          <w:spacing w:val="-9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“消费者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/</w:t>
      </w:r>
      <w:r>
        <w:rPr>
          <w:rFonts w:ascii="FangSong" w:hAnsi="FangSong" w:eastAsia="FangSong" w:cs="FangSong"/>
          <w:sz w:val="28"/>
          <w:szCs w:val="28"/>
          <w:spacing w:val="-3"/>
        </w:rPr>
        <w:t>用户低碳价值倡导”“产业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减碳赋能”两个信息点的披露情况。整体看，互联网行业充分利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用数字技术优势，体现了对其他产业及消费者等相关方的良好赋</w:t>
      </w:r>
    </w:p>
    <w:p>
      <w:pPr>
        <w:spacing w:line="403" w:lineRule="auto"/>
        <w:sectPr>
          <w:headerReference w:type="default" r:id="rId70"/>
          <w:footerReference w:type="default" r:id="rId114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5" w:lineRule="auto"/>
        <w:rPr/>
      </w:pPr>
      <w:r/>
    </w:p>
    <w:p>
      <w:pPr>
        <w:ind w:left="469"/>
        <w:spacing w:before="91" w:line="21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9"/>
        </w:rPr>
        <w:t>能效果。</w:t>
      </w:r>
    </w:p>
    <w:p>
      <w:pPr>
        <w:ind w:left="445" w:right="37" w:firstLine="578"/>
        <w:spacing w:before="292" w:line="404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“消费者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/</w:t>
      </w:r>
      <w:r>
        <w:rPr>
          <w:rFonts w:ascii="FangSong" w:hAnsi="FangSong" w:eastAsia="FangSong" w:cs="FangSong"/>
          <w:sz w:val="28"/>
          <w:szCs w:val="28"/>
          <w:spacing w:val="-1"/>
        </w:rPr>
        <w:t>用户低碳价值倡导”披露率较高（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50%</w:t>
      </w:r>
      <w:r>
        <w:rPr>
          <w:rFonts w:ascii="FangSong" w:hAnsi="FangSong" w:eastAsia="FangSong" w:cs="FangSong"/>
          <w:sz w:val="28"/>
          <w:szCs w:val="28"/>
          <w:spacing w:val="-1"/>
        </w:rPr>
        <w:t>）且产业实</w:t>
      </w:r>
      <w:r>
        <w:rPr>
          <w:rFonts w:ascii="FangSong" w:hAnsi="FangSong" w:eastAsia="FangSong" w:cs="FangSong"/>
          <w:sz w:val="28"/>
          <w:szCs w:val="28"/>
          <w:spacing w:val="1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践较好。一是行业企业充分利用互联网平台属性及信息传播特性，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构建了低碳价值传导体系。二是企业依托细分领域的特色优势，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开展了丰富多样的产业实践活动，形成了一批良好实践案例。</w:t>
      </w:r>
    </w:p>
    <w:p>
      <w:pPr>
        <w:spacing w:line="29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3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347"/>
              <w:spacing w:before="178" w:line="217" w:lineRule="auto"/>
              <w:rPr/>
            </w:pPr>
            <w:r>
              <w:rPr>
                <w:b/>
                <w:bCs/>
                <w:spacing w:val="-3"/>
              </w:rPr>
              <w:t>案例</w:t>
            </w:r>
            <w:r>
              <w:rPr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9</w:t>
            </w:r>
            <w:r>
              <w:rPr>
                <w:b/>
                <w:bCs/>
                <w:spacing w:val="-3"/>
              </w:rPr>
              <w:t>：减碳赋能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-</w:t>
            </w:r>
            <w:r>
              <w:rPr>
                <w:b/>
                <w:bCs/>
                <w:spacing w:val="-3"/>
              </w:rPr>
              <w:t>消费者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/</w:t>
            </w:r>
            <w:r>
              <w:rPr>
                <w:b/>
                <w:bCs/>
                <w:spacing w:val="-3"/>
              </w:rPr>
              <w:t>用户低碳价值倡导</w:t>
            </w:r>
          </w:p>
        </w:tc>
      </w:tr>
      <w:tr>
        <w:trPr>
          <w:trHeight w:val="3125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140"/>
              <w:spacing w:before="171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基于主营业务协同开展：</w:t>
            </w:r>
            <w:r>
              <w:rPr>
                <w:spacing w:val="-4"/>
              </w:rPr>
              <w:t>通过游戏输出低碳理念、鼓励创作者</w:t>
            </w:r>
          </w:p>
          <w:p>
            <w:pPr>
              <w:pStyle w:val="TableText"/>
              <w:ind w:left="561"/>
              <w:spacing w:before="292" w:line="217" w:lineRule="auto"/>
              <w:rPr/>
            </w:pPr>
            <w:r>
              <w:rPr>
                <w:spacing w:val="-2"/>
              </w:rPr>
              <w:t>生产绿色科普视频、培训课程教学、相关公益直播</w:t>
            </w:r>
          </w:p>
          <w:p>
            <w:pPr>
              <w:pStyle w:val="TableText"/>
              <w:ind w:left="536" w:right="106" w:hanging="423"/>
              <w:spacing w:before="295" w:line="372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基于主营业务独立开展：</w:t>
            </w:r>
            <w:r>
              <w:rPr>
                <w:spacing w:val="-3"/>
              </w:rPr>
              <w:t>设立碳账户、打造个人碳</w:t>
            </w:r>
            <w:r>
              <w:rPr>
                <w:spacing w:val="-4"/>
              </w:rPr>
              <w:t>积分、设置</w:t>
            </w:r>
            <w:r>
              <w:rPr/>
              <w:t xml:space="preserve"> </w:t>
            </w:r>
            <w:r>
              <w:rPr>
                <w:spacing w:val="-4"/>
              </w:rPr>
              <w:t>创意大赛环保创作赛道、开发减排方法学并根据用户行为核算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减碳量、开设公益项目</w:t>
            </w:r>
          </w:p>
        </w:tc>
      </w:tr>
    </w:tbl>
    <w:p>
      <w:pPr>
        <w:ind w:left="443" w:right="112" w:firstLine="579"/>
        <w:spacing w:before="330" w:line="401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“产业减碳赋能”披露率为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25%</w:t>
      </w:r>
      <w:r>
        <w:rPr>
          <w:rFonts w:ascii="FangSong" w:hAnsi="FangSong" w:eastAsia="FangSong" w:cs="FangSong"/>
          <w:sz w:val="28"/>
          <w:szCs w:val="28"/>
          <w:spacing w:val="-1"/>
        </w:rPr>
        <w:t>，互联网行业基于面向产业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的平台属性及数字技术优势，主要通过主营业务带动和数字技术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赋能两方面挖掘减碳赋能潜力，助力千行百业减碳实践。</w:t>
      </w:r>
    </w:p>
    <w:p>
      <w:pPr>
        <w:spacing w:line="29" w:lineRule="exact"/>
        <w:rPr/>
      </w:pPr>
      <w:r/>
    </w:p>
    <w:tbl>
      <w:tblPr>
        <w:tblStyle w:val="TableNormal"/>
        <w:tblW w:w="8106" w:type="dxa"/>
        <w:tblInd w:w="3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106"/>
      </w:tblGrid>
      <w:tr>
        <w:trPr>
          <w:trHeight w:val="63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2019"/>
              <w:spacing w:before="177" w:line="217" w:lineRule="auto"/>
              <w:rPr/>
            </w:pPr>
            <w:r>
              <w:rPr>
                <w:b/>
                <w:bCs/>
                <w:spacing w:val="-4"/>
              </w:rPr>
              <w:t>案例</w:t>
            </w:r>
            <w:r>
              <w:rPr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10</w:t>
            </w:r>
            <w:r>
              <w:rPr>
                <w:b/>
                <w:bCs/>
                <w:spacing w:val="-4"/>
              </w:rPr>
              <w:t>：减碳赋能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4"/>
              </w:rPr>
              <w:t>-</w:t>
            </w:r>
            <w:r>
              <w:rPr>
                <w:b/>
                <w:bCs/>
                <w:spacing w:val="-4"/>
              </w:rPr>
              <w:t>产业减碳赋能</w:t>
            </w:r>
          </w:p>
        </w:tc>
      </w:tr>
      <w:tr>
        <w:trPr>
          <w:trHeight w:val="2502" w:hRule="atLeast"/>
        </w:trPr>
        <w:tc>
          <w:tcPr>
            <w:tcW w:w="8106" w:type="dxa"/>
            <w:vAlign w:val="top"/>
          </w:tcPr>
          <w:p>
            <w:pPr>
              <w:pStyle w:val="TableText"/>
              <w:ind w:left="554" w:right="106" w:hanging="414"/>
              <w:spacing w:before="171" w:line="315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1.   </w:t>
            </w:r>
            <w:r>
              <w:rPr>
                <w:rFonts w:ascii="SimHei" w:hAnsi="SimHei" w:eastAsia="SimHei" w:cs="SimHei"/>
                <w:spacing w:val="-4"/>
              </w:rPr>
              <w:t>主营业务带动：</w:t>
            </w:r>
            <w:r>
              <w:rPr>
                <w:spacing w:val="-4"/>
              </w:rPr>
              <w:t>在线办公服务、云计算服务、小微企业绿色评</w:t>
            </w:r>
            <w:r>
              <w:rPr/>
              <w:t xml:space="preserve"> </w:t>
            </w:r>
            <w:r>
              <w:rPr>
                <w:spacing w:val="-2"/>
              </w:rPr>
              <w:t>级及绿色贷款服务、废旧电池回收体系建设</w:t>
            </w:r>
          </w:p>
          <w:p>
            <w:pPr>
              <w:pStyle w:val="TableText"/>
              <w:ind w:left="113"/>
              <w:spacing w:before="293" w:line="220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2.   </w:t>
            </w:r>
            <w:r>
              <w:rPr>
                <w:rFonts w:ascii="SimHei" w:hAnsi="SimHei" w:eastAsia="SimHei" w:cs="SimHei"/>
                <w:spacing w:val="-3"/>
              </w:rPr>
              <w:t>数字技术赋能：</w:t>
            </w:r>
            <w:r>
              <w:rPr>
                <w:spacing w:val="-3"/>
              </w:rPr>
              <w:t>能源数字化平台、企业碳中和管理</w:t>
            </w:r>
            <w:r>
              <w:rPr>
                <w:spacing w:val="-4"/>
              </w:rPr>
              <w:t>平台、低碳</w:t>
            </w:r>
          </w:p>
          <w:p>
            <w:pPr>
              <w:pStyle w:val="TableText"/>
              <w:ind w:left="541"/>
              <w:spacing w:before="291" w:line="216" w:lineRule="auto"/>
              <w:rPr/>
            </w:pPr>
            <w:r>
              <w:rPr>
                <w:spacing w:val="-1"/>
              </w:rPr>
              <w:t>城市发展模型、数字化物流、低碳智慧工厂</w:t>
            </w:r>
          </w:p>
        </w:tc>
      </w:tr>
    </w:tbl>
    <w:p>
      <w:pPr>
        <w:ind w:left="1112"/>
        <w:spacing w:before="334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62" w:id="157"/>
      <w:bookmarkEnd w:id="157"/>
      <w:bookmarkStart w:name="bookmark61" w:id="158"/>
      <w:bookmarkEnd w:id="158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（五）展望夯实数据基础，强化价值传导能力</w:t>
      </w:r>
    </w:p>
    <w:p>
      <w:pPr>
        <w:ind w:left="1003"/>
        <w:spacing w:before="324" w:line="218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履责承诺与碳绩效管理是企业开展碳减排管理的重要数据基</w:t>
      </w:r>
    </w:p>
    <w:p>
      <w:pPr>
        <w:spacing w:line="218" w:lineRule="auto"/>
        <w:sectPr>
          <w:footerReference w:type="default" r:id="rId115"/>
          <w:pgSz w:w="11906" w:h="16839"/>
          <w:pgMar w:top="1134" w:right="168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7" w:lineRule="auto"/>
        <w:rPr/>
      </w:pPr>
      <w:r/>
    </w:p>
    <w:p>
      <w:pPr>
        <w:ind w:left="442" w:right="74" w:firstLine="3"/>
        <w:spacing w:before="91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础，也是企业主动承担环境责任的重要体现。互联网行业提升自</w:t>
      </w:r>
      <w:r>
        <w:rPr>
          <w:rFonts w:ascii="FangSong" w:hAnsi="FangSong" w:eastAsia="FangSong" w:cs="FangSong"/>
          <w:sz w:val="28"/>
          <w:szCs w:val="28"/>
          <w:spacing w:val="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主减排能力需要各企业深入夯实碳排放数据统计基础，科学合理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制定碳减排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/</w:t>
      </w:r>
      <w:r>
        <w:rPr>
          <w:rFonts w:ascii="FangSong" w:hAnsi="FangSong" w:eastAsia="FangSong" w:cs="FangSong"/>
          <w:sz w:val="28"/>
          <w:szCs w:val="28"/>
          <w:spacing w:val="-2"/>
        </w:rPr>
        <w:t>碳中和定量化目标，并持续关注供应链碳排放定量化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数据准确性与完整性，构建供应链协同减碳数据基础，实现产业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链供应链绿色低碳协同转型。</w:t>
      </w:r>
    </w:p>
    <w:p>
      <w:pPr>
        <w:ind w:left="445" w:right="74" w:firstLine="571"/>
        <w:spacing w:before="45" w:line="407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互联网行业充分发挥平台属性与信息传播特性，将绿色低碳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价值理念与主营业务深度融合，探索开展以长效性、周期性、趣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味性为基础的各类低碳价值传导活动。互联网企业面向消费者及</w:t>
      </w:r>
      <w:r>
        <w:rPr>
          <w:rFonts w:ascii="FangSong" w:hAnsi="FangSong" w:eastAsia="FangSong" w:cs="FangSong"/>
          <w:sz w:val="28"/>
          <w:szCs w:val="28"/>
          <w:spacing w:val="1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客户、内部员工等相关方持续输出绿色低碳价值理念，通过</w:t>
      </w:r>
      <w:r>
        <w:rPr>
          <w:rFonts w:ascii="FangSong" w:hAnsi="FangSong" w:eastAsia="FangSong" w:cs="FangSong"/>
          <w:sz w:val="28"/>
          <w:szCs w:val="28"/>
          <w:spacing w:val="-9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“互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联网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+</w:t>
      </w:r>
      <w:r>
        <w:rPr>
          <w:rFonts w:ascii="Times New Roman" w:hAnsi="Times New Roman" w:eastAsia="Times New Roman" w:cs="Times New Roman"/>
          <w:sz w:val="28"/>
          <w:szCs w:val="28"/>
          <w:spacing w:val="-4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”赋能低碳办公、低碳交通、低碳生活，全面形成行业一体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且独具特色的绿色低碳价值传导服务体系。</w:t>
      </w:r>
    </w:p>
    <w:p>
      <w:pPr>
        <w:ind w:left="445" w:firstLine="587"/>
        <w:spacing w:before="43" w:line="406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同时，进一步推动以互联网行业为核心的绿色低碳生态圈建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设，通过绿色低碳供应链管理、生态圈履责支持等多种方式协同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产业链上下游，实现绿色低碳共建与良好实践共享。同时，互联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网行业持续深化牵引作用，提升数字技术创新能力，促进能源结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构转型与生产制造全流程绿色化改造，培育绿色低碳发展新动能，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推动产业升级转型，全面赋能千行百业绿色低碳高质量发展。</w:t>
      </w:r>
    </w:p>
    <w:p>
      <w:pPr>
        <w:ind w:left="1086"/>
        <w:spacing w:before="28" w:line="226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63" w:id="159"/>
      <w:bookmarkEnd w:id="159"/>
      <w:r>
        <w:rPr>
          <w:rFonts w:ascii="SimHei" w:hAnsi="SimHei" w:eastAsia="SimHei" w:cs="SimHei"/>
          <w:sz w:val="31"/>
          <w:szCs w:val="31"/>
          <w:spacing w:val="8"/>
        </w:rPr>
        <w:t>七、可持续信息披露发展展望</w:t>
      </w:r>
    </w:p>
    <w:p>
      <w:pPr>
        <w:ind w:left="1112"/>
        <w:spacing w:before="243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64" w:id="160"/>
      <w:bookmarkEnd w:id="160"/>
      <w:bookmarkStart w:name="bookmark66" w:id="161"/>
      <w:bookmarkEnd w:id="161"/>
      <w:bookmarkStart w:name="bookmark65" w:id="162"/>
      <w:bookmarkEnd w:id="162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（一）着眼长远，加强企业信息披露能力建设</w:t>
      </w:r>
    </w:p>
    <w:p>
      <w:pPr>
        <w:ind w:left="448" w:right="75" w:firstLine="562"/>
        <w:spacing w:before="325" w:line="402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近年来，随着网络强国和数字中国战略深入实施，我国互联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网行业正实现跨越式发展，在经济社会发展中作用日益凸显。可</w:t>
      </w:r>
      <w:r>
        <w:rPr>
          <w:rFonts w:ascii="FangSong" w:hAnsi="FangSong" w:eastAsia="FangSong" w:cs="FangSong"/>
          <w:sz w:val="28"/>
          <w:szCs w:val="28"/>
          <w:spacing w:val="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持续信息披露已成为行业价值成长、获取社会认同、保持核心竞</w:t>
      </w:r>
    </w:p>
    <w:p>
      <w:pPr>
        <w:spacing w:line="402" w:lineRule="auto"/>
        <w:sectPr>
          <w:headerReference w:type="default" r:id="rId116"/>
          <w:footerReference w:type="default" r:id="rId117"/>
          <w:pgSz w:w="11906" w:h="16839"/>
          <w:pgMar w:top="1134" w:right="1724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4" w:lineRule="auto"/>
        <w:rPr/>
      </w:pPr>
      <w:r/>
    </w:p>
    <w:p>
      <w:pPr>
        <w:ind w:left="453" w:firstLine="6"/>
        <w:spacing w:before="91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6"/>
        </w:rPr>
        <w:t>争力的新型发展逻辑及有效路径，受到了社会公众、行业监管方、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消费者及客户、舆论媒体、生态伙伴等相关方的普遍关注。</w:t>
      </w:r>
    </w:p>
    <w:p>
      <w:pPr>
        <w:ind w:left="442" w:right="5" w:firstLine="573"/>
        <w:spacing w:before="40" w:line="410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互联网企业作为可持续发展实践主体，近几年在多利</w:t>
      </w:r>
      <w:r>
        <w:rPr>
          <w:rFonts w:ascii="FangSong" w:hAnsi="FangSong" w:eastAsia="FangSong" w:cs="FangSong"/>
          <w:sz w:val="28"/>
          <w:szCs w:val="28"/>
        </w:rPr>
        <w:t>益相关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方的驱动之下，信息披露意识普遍提升、实践水平稳中有进、特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色主题披露显著增强。</w:t>
      </w:r>
      <w:r>
        <w:rPr>
          <w:rFonts w:ascii="SimHei" w:hAnsi="SimHei" w:eastAsia="SimHei" w:cs="SimHei"/>
          <w:sz w:val="28"/>
          <w:szCs w:val="28"/>
          <w:spacing w:val="1"/>
        </w:rPr>
        <w:t>可持续信息披露只是对外展示的结果，重</w:t>
      </w:r>
      <w:r>
        <w:rPr>
          <w:rFonts w:ascii="SimHei" w:hAnsi="SimHei" w:eastAsia="SimHei" w:cs="SimHei"/>
          <w:sz w:val="28"/>
          <w:szCs w:val="28"/>
          <w:spacing w:val="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点仍在于企业信息披露的策划和管理能力，</w:t>
      </w:r>
      <w:r>
        <w:rPr>
          <w:rFonts w:ascii="FangSong" w:hAnsi="FangSong" w:eastAsia="FangSong" w:cs="FangSong"/>
          <w:sz w:val="28"/>
          <w:szCs w:val="28"/>
          <w:spacing w:val="1"/>
        </w:rPr>
        <w:t>如所披露的内容是否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与企业影响密切相关、所选择披露主题是否具备实质性、企业对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核心主题是否具备风险管理措施、核心主题目标指标是否有定量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化表现等。互联网企业要着眼长远，坚信只有做得好才能披得好，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扎实提升可持续发展、社会责任及</w:t>
      </w:r>
      <w:r>
        <w:rPr>
          <w:rFonts w:ascii="FangSong" w:hAnsi="FangSong" w:eastAsia="FangSong" w:cs="FangSong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FangSong" w:hAnsi="FangSong" w:eastAsia="FangSong" w:cs="FangSong"/>
          <w:sz w:val="28"/>
          <w:szCs w:val="28"/>
          <w:spacing w:val="-3"/>
        </w:rPr>
        <w:t>企业内部管理。一是</w:t>
      </w:r>
      <w:r>
        <w:rPr>
          <w:rFonts w:ascii="SimHei" w:hAnsi="SimHei" w:eastAsia="SimHei" w:cs="SimHei"/>
          <w:sz w:val="28"/>
          <w:szCs w:val="28"/>
          <w:spacing w:val="-3"/>
        </w:rPr>
        <w:t>建立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-3"/>
        </w:rPr>
        <w:t>跨部门、跨体系、跨业务的可持续发展、社会责任及</w:t>
      </w:r>
      <w:r>
        <w:rPr>
          <w:rFonts w:ascii="SimHei" w:hAnsi="SimHei" w:eastAsia="SimHei" w:cs="SimHei"/>
          <w:sz w:val="28"/>
          <w:szCs w:val="28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ESG </w:t>
      </w:r>
      <w:r>
        <w:rPr>
          <w:rFonts w:ascii="SimHei" w:hAnsi="SimHei" w:eastAsia="SimHei" w:cs="SimHei"/>
          <w:sz w:val="28"/>
          <w:szCs w:val="28"/>
          <w:spacing w:val="-3"/>
        </w:rPr>
        <w:t>信息披</w:t>
      </w:r>
      <w:r>
        <w:rPr>
          <w:rFonts w:ascii="SimHei" w:hAnsi="SimHei" w:eastAsia="SimHei" w:cs="SimHei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露管理架构</w:t>
      </w:r>
      <w:r>
        <w:rPr>
          <w:rFonts w:ascii="FangSong" w:hAnsi="FangSong" w:eastAsia="FangSong" w:cs="FangSong"/>
          <w:sz w:val="28"/>
          <w:szCs w:val="28"/>
          <w:spacing w:val="1"/>
        </w:rPr>
        <w:t>，着力将可持续发展理念有效落实到企业相关部门的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日常经营和业务发展之中。二是</w:t>
      </w:r>
      <w:r>
        <w:rPr>
          <w:rFonts w:ascii="SimHei" w:hAnsi="SimHei" w:eastAsia="SimHei" w:cs="SimHei"/>
          <w:sz w:val="28"/>
          <w:szCs w:val="28"/>
          <w:spacing w:val="1"/>
        </w:rPr>
        <w:t>牢牢把握信息披露的合规性、可</w:t>
      </w:r>
      <w:r>
        <w:rPr>
          <w:rFonts w:ascii="SimHei" w:hAnsi="SimHei" w:eastAsia="SimHei" w:cs="SimHei"/>
          <w:sz w:val="28"/>
          <w:szCs w:val="28"/>
          <w:spacing w:val="8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及性、实质性、全面性、可比性原则</w:t>
      </w:r>
      <w:r>
        <w:rPr>
          <w:rFonts w:ascii="FangSong" w:hAnsi="FangSong" w:eastAsia="FangSong" w:cs="FangSong"/>
          <w:sz w:val="28"/>
          <w:szCs w:val="28"/>
          <w:spacing w:val="1"/>
        </w:rPr>
        <w:t>，以切实遵守国家法律法规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要求为基础，以有效保障所披露的信息易于被利益相关方获取及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理解为目标，以如实准确披露企业对经济、环境和社会产生本质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影响、或对利益相关方有实质性影响的信息为准绳，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以尽可能完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整披露正面和负面表现为方向，以持续增强量化数据的口径一致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性及披露连贯性为思路，有效推动行业信息披露的持续深入发展。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三是</w:t>
      </w:r>
      <w:r>
        <w:rPr>
          <w:rFonts w:ascii="SimHei" w:hAnsi="SimHei" w:eastAsia="SimHei" w:cs="SimHei"/>
          <w:sz w:val="28"/>
          <w:szCs w:val="28"/>
          <w:spacing w:val="1"/>
        </w:rPr>
        <w:t>完善企业全生命周期信息披露管理流程</w:t>
      </w:r>
      <w:r>
        <w:rPr>
          <w:rFonts w:ascii="FangSong" w:hAnsi="FangSong" w:eastAsia="FangSong" w:cs="FangSong"/>
          <w:sz w:val="28"/>
          <w:szCs w:val="28"/>
          <w:spacing w:val="1"/>
        </w:rPr>
        <w:t>，互联网企业基于自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身实际发展阶段，选择更具适配性的可持续信息披露标准开展对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标研究，结合合规要求、业务经营状况、利益相关方期待、披露</w:t>
      </w:r>
    </w:p>
    <w:p>
      <w:pPr>
        <w:spacing w:line="410" w:lineRule="auto"/>
        <w:sectPr>
          <w:headerReference w:type="default" r:id="rId87"/>
          <w:footerReference w:type="default" r:id="rId118"/>
          <w:pgSz w:w="11906" w:h="16839"/>
          <w:pgMar w:top="1134" w:right="1712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4" w:lineRule="auto"/>
        <w:rPr/>
      </w:pPr>
      <w:r/>
    </w:p>
    <w:p>
      <w:pPr>
        <w:ind w:left="450" w:right="81" w:hanging="2"/>
        <w:spacing w:before="91" w:line="405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"/>
        </w:rPr>
        <w:t>渠道等多方面因素，策划披露内容，开展信息采集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筛选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审核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/</w:t>
      </w:r>
      <w:r>
        <w:rPr>
          <w:rFonts w:ascii="FangSong" w:hAnsi="FangSong" w:eastAsia="FangSong" w:cs="FangSong"/>
          <w:sz w:val="28"/>
          <w:szCs w:val="28"/>
          <w:spacing w:val="2"/>
        </w:rPr>
        <w:t>批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准，实施信息披露，跟踪披露效果，以企业管理促进披露质量提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升，不断增强企业经营和决策的透明度，推动互联网行业的可持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续发展。</w:t>
      </w:r>
    </w:p>
    <w:p>
      <w:pPr>
        <w:ind w:left="1112"/>
        <w:spacing w:before="80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68" w:id="163"/>
      <w:bookmarkEnd w:id="163"/>
      <w:bookmarkStart w:name="bookmark67" w:id="164"/>
      <w:bookmarkEnd w:id="164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（二）直面挑战，推动行业披露标准落地实施</w:t>
      </w:r>
    </w:p>
    <w:p>
      <w:pPr>
        <w:ind w:left="445" w:right="81" w:firstLine="576"/>
        <w:spacing w:before="323" w:line="403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</w:rPr>
        <w:t>随着行业实践情况的稳步提升，富有行业特色的可持续信息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披露标准作为行业发展基石，对行业信息披露统一共识、规范发</w:t>
      </w:r>
      <w:r>
        <w:rPr>
          <w:rFonts w:ascii="FangSong" w:hAnsi="FangSong" w:eastAsia="FangSong" w:cs="FangSong"/>
          <w:sz w:val="28"/>
          <w:szCs w:val="28"/>
          <w:spacing w:val="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"/>
        </w:rPr>
        <w:t>展具有重要意义。</w:t>
      </w:r>
    </w:p>
    <w:p>
      <w:pPr>
        <w:ind w:left="439" w:firstLine="599"/>
        <w:spacing w:before="33" w:line="409" w:lineRule="auto"/>
        <w:jc w:val="both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8"/>
        </w:rPr>
        <w:t>当前，互联网行业可持续信息披露标准体系仍面临多重挑战。</w:t>
      </w:r>
      <w:r>
        <w:rPr>
          <w:rFonts w:ascii="FangSong" w:hAnsi="FangSong" w:eastAsia="FangSong" w:cs="FangSong"/>
          <w:sz w:val="28"/>
          <w:szCs w:val="28"/>
          <w:spacing w:val="1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一是</w:t>
      </w:r>
      <w:r>
        <w:rPr>
          <w:rFonts w:ascii="SimHei" w:hAnsi="SimHei" w:eastAsia="SimHei" w:cs="SimHei"/>
          <w:sz w:val="28"/>
          <w:szCs w:val="28"/>
          <w:spacing w:val="1"/>
        </w:rPr>
        <w:t>国际标准与我国互联网行业的适用性仍需进一步探索</w:t>
      </w:r>
      <w:r>
        <w:rPr>
          <w:rFonts w:ascii="FangSong" w:hAnsi="FangSong" w:eastAsia="FangSong" w:cs="FangSong"/>
          <w:sz w:val="28"/>
          <w:szCs w:val="28"/>
          <w:spacing w:val="1"/>
        </w:rPr>
        <w:t>，如何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兼顾国际共识和我国国情文化、如何平衡通用主题和互联网行业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特色、如何既要学习国际经验又要争取标准自主权，都是行业信</w:t>
      </w:r>
      <w:r>
        <w:rPr>
          <w:rFonts w:ascii="FangSong" w:hAnsi="FangSong" w:eastAsia="FangSong" w:cs="FangSong"/>
          <w:sz w:val="28"/>
          <w:szCs w:val="28"/>
          <w:spacing w:val="1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息披露标准面临的必然之问。二是随着行业特色主题披露水平的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6"/>
        </w:rPr>
        <w:t>显著提升，</w:t>
      </w:r>
      <w:r>
        <w:rPr>
          <w:rFonts w:ascii="SimHei" w:hAnsi="SimHei" w:eastAsia="SimHei" w:cs="SimHei"/>
          <w:sz w:val="28"/>
          <w:szCs w:val="28"/>
          <w:spacing w:val="-6"/>
        </w:rPr>
        <w:t>特色主题亟需开展标准体系顶层设计，</w:t>
      </w:r>
      <w:r>
        <w:rPr>
          <w:rFonts w:ascii="FangSong" w:hAnsi="FangSong" w:eastAsia="FangSong" w:cs="FangSong"/>
          <w:sz w:val="28"/>
          <w:szCs w:val="28"/>
          <w:spacing w:val="-6"/>
        </w:rPr>
        <w:t>以标准促共识，</w:t>
      </w:r>
      <w:r>
        <w:rPr>
          <w:rFonts w:ascii="FangSong" w:hAnsi="FangSong" w:eastAsia="FangSong" w:cs="FangSong"/>
          <w:sz w:val="28"/>
          <w:szCs w:val="28"/>
          <w:spacing w:val="1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针对不同主题，逐步制定并完善特色信息披露标准已成为未来重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要发展方向。三是当前企业可持续信息披露基础和管理能力差异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较大，</w:t>
      </w:r>
      <w:r>
        <w:rPr>
          <w:rFonts w:ascii="SimHei" w:hAnsi="SimHei" w:eastAsia="SimHei" w:cs="SimHei"/>
          <w:sz w:val="28"/>
          <w:szCs w:val="28"/>
          <w:spacing w:val="1"/>
        </w:rPr>
        <w:t>标准制定应适用于不同规模和发展阶段的互联网企业</w:t>
      </w:r>
      <w:r>
        <w:rPr>
          <w:rFonts w:ascii="FangSong" w:hAnsi="FangSong" w:eastAsia="FangSong" w:cs="FangSong"/>
          <w:sz w:val="28"/>
          <w:szCs w:val="28"/>
          <w:spacing w:val="1"/>
        </w:rPr>
        <w:t>，为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其提供友好指引既是标准制定的初衷所在，也对行业信息披露规</w:t>
      </w:r>
      <w:r>
        <w:rPr>
          <w:rFonts w:ascii="FangSong" w:hAnsi="FangSong" w:eastAsia="FangSong" w:cs="FangSong"/>
          <w:sz w:val="28"/>
          <w:szCs w:val="28"/>
          <w:spacing w:val="1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范发展具有重大意义。</w:t>
      </w:r>
    </w:p>
    <w:p>
      <w:pPr>
        <w:ind w:left="1112"/>
        <w:spacing w:before="86" w:line="226" w:lineRule="auto"/>
        <w:outlineLvl w:val="1"/>
        <w:rPr>
          <w:rFonts w:ascii="KaiTi" w:hAnsi="KaiTi" w:eastAsia="KaiTi" w:cs="KaiTi"/>
          <w:sz w:val="31"/>
          <w:szCs w:val="31"/>
        </w:rPr>
      </w:pPr>
      <w:bookmarkStart w:name="bookmark70" w:id="165"/>
      <w:bookmarkEnd w:id="165"/>
      <w:bookmarkStart w:name="bookmark69" w:id="166"/>
      <w:bookmarkEnd w:id="166"/>
      <w:r>
        <w:rPr>
          <w:rFonts w:ascii="KaiTi" w:hAnsi="KaiTi" w:eastAsia="KaiTi" w:cs="KaiTi"/>
          <w:sz w:val="31"/>
          <w:szCs w:val="31"/>
          <w:b/>
          <w:bCs/>
          <w:spacing w:val="5"/>
        </w:rPr>
        <w:t>（三）群策群力，共建信息披露多元共治体系</w:t>
      </w:r>
    </w:p>
    <w:p>
      <w:pPr>
        <w:ind w:left="452" w:right="81" w:firstLine="602"/>
        <w:spacing w:before="324" w:line="396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"/>
        </w:rPr>
        <w:t>目前，互联网行业正朝着健康、规范、可持续的方向发展，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更为关注治理主体的多样性和多元化，从而更好保障消费者</w:t>
      </w:r>
      <w:r>
        <w:rPr>
          <w:rFonts w:ascii="FangSong" w:hAnsi="FangSong" w:eastAsia="FangSong" w:cs="FangSong"/>
          <w:sz w:val="28"/>
          <w:szCs w:val="28"/>
        </w:rPr>
        <w:t>及用</w:t>
      </w:r>
    </w:p>
    <w:p>
      <w:pPr>
        <w:spacing w:line="396" w:lineRule="auto"/>
        <w:sectPr>
          <w:headerReference w:type="default" r:id="rId119"/>
          <w:footerReference w:type="default" r:id="rId120"/>
          <w:pgSz w:w="11906" w:h="16839"/>
          <w:pgMar w:top="1134" w:right="1717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86" w:lineRule="auto"/>
        <w:rPr/>
      </w:pPr>
      <w:r/>
    </w:p>
    <w:p>
      <w:pPr>
        <w:ind w:left="445" w:right="100" w:firstLine="13"/>
        <w:spacing w:before="91" w:line="397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户等相关方的合法权益，促进技术向善，实现互</w:t>
      </w:r>
      <w:r>
        <w:rPr>
          <w:rFonts w:ascii="FangSong" w:hAnsi="FangSong" w:eastAsia="FangSong" w:cs="FangSong"/>
          <w:sz w:val="28"/>
          <w:szCs w:val="28"/>
        </w:rPr>
        <w:t>联网生态正向价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值引导。</w:t>
      </w:r>
    </w:p>
    <w:p>
      <w:pPr>
        <w:ind w:left="442" w:firstLine="573"/>
        <w:spacing w:before="47" w:line="40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"/>
        </w:rPr>
        <w:t>可持续信息披露可作为贯彻互联网行业共建共享共治</w:t>
      </w:r>
      <w:r>
        <w:rPr>
          <w:rFonts w:ascii="FangSong" w:hAnsi="FangSong" w:eastAsia="FangSong" w:cs="FangSong"/>
          <w:sz w:val="28"/>
          <w:szCs w:val="28"/>
        </w:rPr>
        <w:t>路径的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有效抓手。</w:t>
      </w:r>
      <w:r>
        <w:rPr>
          <w:rFonts w:ascii="SimHei" w:hAnsi="SimHei" w:eastAsia="SimHei" w:cs="SimHei"/>
          <w:sz w:val="28"/>
          <w:szCs w:val="28"/>
          <w:spacing w:val="-5"/>
        </w:rPr>
        <w:t>信息披露发展需要各利益相关方凝聚共识、发挥专长、</w:t>
      </w:r>
      <w:r>
        <w:rPr>
          <w:rFonts w:ascii="SimHei" w:hAnsi="SimHei" w:eastAsia="SimHei" w:cs="SimHei"/>
          <w:sz w:val="28"/>
          <w:szCs w:val="28"/>
          <w:spacing w:val="2"/>
        </w:rPr>
        <w:t xml:space="preserve"> </w:t>
      </w:r>
      <w:r>
        <w:rPr>
          <w:rFonts w:ascii="SimHei" w:hAnsi="SimHei" w:eastAsia="SimHei" w:cs="SimHei"/>
          <w:sz w:val="28"/>
          <w:szCs w:val="28"/>
          <w:spacing w:val="1"/>
        </w:rPr>
        <w:t>积极推动</w:t>
      </w:r>
      <w:r>
        <w:rPr>
          <w:rFonts w:ascii="FangSong" w:hAnsi="FangSong" w:eastAsia="FangSong" w:cs="FangSong"/>
          <w:sz w:val="28"/>
          <w:szCs w:val="28"/>
          <w:spacing w:val="1"/>
        </w:rPr>
        <w:t>，一是</w:t>
      </w:r>
      <w:r>
        <w:rPr>
          <w:rFonts w:ascii="SimHei" w:hAnsi="SimHei" w:eastAsia="SimHei" w:cs="SimHei"/>
          <w:sz w:val="28"/>
          <w:szCs w:val="28"/>
          <w:spacing w:val="1"/>
        </w:rPr>
        <w:t>政策监管方</w:t>
      </w:r>
      <w:r>
        <w:rPr>
          <w:rFonts w:ascii="FangSong" w:hAnsi="FangSong" w:eastAsia="FangSong" w:cs="FangSong"/>
          <w:sz w:val="28"/>
          <w:szCs w:val="28"/>
          <w:spacing w:val="1"/>
        </w:rPr>
        <w:t>进一步明确底线要求，督促企业提升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披露意识并加强相应管理能力。二是</w:t>
      </w:r>
      <w:r>
        <w:rPr>
          <w:rFonts w:ascii="SimHei" w:hAnsi="SimHei" w:eastAsia="SimHei" w:cs="SimHei"/>
          <w:sz w:val="28"/>
          <w:szCs w:val="28"/>
          <w:spacing w:val="1"/>
        </w:rPr>
        <w:t>金融机构、评级机构</w:t>
      </w:r>
      <w:r>
        <w:rPr>
          <w:rFonts w:ascii="FangSong" w:hAnsi="FangSong" w:eastAsia="FangSong" w:cs="FangSong"/>
          <w:sz w:val="28"/>
          <w:szCs w:val="28"/>
          <w:spacing w:val="1"/>
        </w:rPr>
        <w:t>继续加</w:t>
      </w:r>
      <w:r>
        <w:rPr>
          <w:rFonts w:ascii="FangSong" w:hAnsi="FangSong" w:eastAsia="FangSong" w:cs="FangSong"/>
          <w:sz w:val="28"/>
          <w:szCs w:val="28"/>
          <w:spacing w:val="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大关注力度，持续将企业</w:t>
      </w:r>
      <w:r>
        <w:rPr>
          <w:rFonts w:ascii="FangSong" w:hAnsi="FangSong" w:eastAsia="FangSong" w:cs="FangSong"/>
          <w:sz w:val="28"/>
          <w:szCs w:val="28"/>
          <w:spacing w:val="-6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表现作为其投资决策的重要</w:t>
      </w:r>
      <w:r>
        <w:rPr>
          <w:rFonts w:ascii="FangSong" w:hAnsi="FangSong" w:eastAsia="FangSong" w:cs="FangSong"/>
          <w:sz w:val="28"/>
          <w:szCs w:val="28"/>
        </w:rPr>
        <w:t>参考，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</w:rPr>
        <w:t>为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ESG </w:t>
      </w:r>
      <w:r>
        <w:rPr>
          <w:rFonts w:ascii="FangSong" w:hAnsi="FangSong" w:eastAsia="FangSong" w:cs="FangSong"/>
          <w:sz w:val="28"/>
          <w:szCs w:val="28"/>
        </w:rPr>
        <w:t>表现较好的企业提供更好的融资渠道、更快的审批速度、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更低的融资成本，以驱动互联网企业提升可持续信息披露水平。</w:t>
      </w:r>
      <w:r>
        <w:rPr>
          <w:rFonts w:ascii="FangSong" w:hAnsi="FangSong" w:eastAsia="FangSong" w:cs="FangSong"/>
          <w:sz w:val="28"/>
          <w:szCs w:val="28"/>
          <w:spacing w:val="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三是</w:t>
      </w:r>
      <w:r>
        <w:rPr>
          <w:rFonts w:ascii="SimHei" w:hAnsi="SimHei" w:eastAsia="SimHei" w:cs="SimHei"/>
          <w:sz w:val="28"/>
          <w:szCs w:val="28"/>
          <w:spacing w:val="-5"/>
        </w:rPr>
        <w:t>行业协会</w:t>
      </w:r>
      <w:r>
        <w:rPr>
          <w:rFonts w:ascii="FangSong" w:hAnsi="FangSong" w:eastAsia="FangSong" w:cs="FangSong"/>
          <w:sz w:val="28"/>
          <w:szCs w:val="28"/>
          <w:spacing w:val="-5"/>
        </w:rPr>
        <w:t>积极发挥平台作用，开展知识培训、宣传良好案例、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组织行业活动等，为行业企业，尤其是中小型企业提供信息披露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帮助。四是</w:t>
      </w:r>
      <w:r>
        <w:rPr>
          <w:rFonts w:ascii="SimHei" w:hAnsi="SimHei" w:eastAsia="SimHei" w:cs="SimHei"/>
          <w:sz w:val="28"/>
          <w:szCs w:val="28"/>
          <w:spacing w:val="1"/>
        </w:rPr>
        <w:t>第三方服务机构</w:t>
      </w:r>
      <w:r>
        <w:rPr>
          <w:rFonts w:ascii="FangSong" w:hAnsi="FangSong" w:eastAsia="FangSong" w:cs="FangSong"/>
          <w:sz w:val="28"/>
          <w:szCs w:val="28"/>
          <w:spacing w:val="1"/>
        </w:rPr>
        <w:t>发挥专业优势，响应行业需求，切实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帮助有需求的互联网企业提升信息披露能力，有效降低企业与披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露对象之间的信息不对称。五是</w:t>
      </w:r>
      <w:r>
        <w:rPr>
          <w:rFonts w:ascii="SimHei" w:hAnsi="SimHei" w:eastAsia="SimHei" w:cs="SimHei"/>
          <w:sz w:val="28"/>
          <w:szCs w:val="28"/>
          <w:spacing w:val="1"/>
        </w:rPr>
        <w:t>企业</w:t>
      </w:r>
      <w:r>
        <w:rPr>
          <w:rFonts w:ascii="FangSong" w:hAnsi="FangSong" w:eastAsia="FangSong" w:cs="FangSong"/>
          <w:sz w:val="28"/>
          <w:szCs w:val="28"/>
          <w:spacing w:val="1"/>
        </w:rPr>
        <w:t>持续挖掘内生动力，进一步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"/>
        </w:rPr>
        <w:t>完善可持续信息管理能力。通过各利益相关方的共同努力，多措</w:t>
      </w:r>
      <w:r>
        <w:rPr>
          <w:rFonts w:ascii="FangSong" w:hAnsi="FangSong" w:eastAsia="FangSong" w:cs="FangSong"/>
          <w:sz w:val="28"/>
          <w:szCs w:val="28"/>
          <w:spacing w:val="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5"/>
        </w:rPr>
        <w:t>并举、多管齐下，推动互联网行业可持续信息披露生态体系建设，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1"/>
        </w:rPr>
        <w:t>贡献行业高质量发展，打造行业多元共治新格局。</w:t>
      </w:r>
    </w:p>
    <w:p>
      <w:pPr>
        <w:spacing w:line="409" w:lineRule="auto"/>
        <w:sectPr>
          <w:headerReference w:type="default" r:id="rId121"/>
          <w:footerReference w:type="default" r:id="rId122"/>
          <w:pgSz w:w="11906" w:h="16839"/>
          <w:pgMar w:top="1134" w:right="1699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357" w:lineRule="auto"/>
        <w:rPr/>
      </w:pPr>
      <w:r/>
    </w:p>
    <w:p>
      <w:pPr>
        <w:ind w:left="464"/>
        <w:spacing w:before="100" w:line="226" w:lineRule="auto"/>
        <w:outlineLvl w:val="0"/>
        <w:rPr>
          <w:rFonts w:ascii="SimHei" w:hAnsi="SimHei" w:eastAsia="SimHei" w:cs="SimHei"/>
          <w:sz w:val="31"/>
          <w:szCs w:val="31"/>
        </w:rPr>
      </w:pPr>
      <w:bookmarkStart w:name="bookmark72" w:id="167"/>
      <w:bookmarkEnd w:id="167"/>
      <w:bookmarkStart w:name="bookmark71" w:id="168"/>
      <w:bookmarkEnd w:id="168"/>
      <w:r>
        <w:rPr>
          <w:rFonts w:ascii="SimHei" w:hAnsi="SimHei" w:eastAsia="SimHei" w:cs="SimHei"/>
          <w:sz w:val="31"/>
          <w:szCs w:val="31"/>
          <w:spacing w:val="4"/>
        </w:rPr>
        <w:t>附件：缩略语</w:t>
      </w:r>
    </w:p>
    <w:p>
      <w:pPr>
        <w:spacing w:before="323" w:line="218" w:lineRule="auto"/>
        <w:outlineLvl w:val="0"/>
        <w:jc w:val="right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>1.   ESG</w:t>
      </w:r>
      <w:r>
        <w:rPr>
          <w:rFonts w:ascii="FangSong" w:hAnsi="FangSong" w:eastAsia="FangSong" w:cs="FangSong"/>
          <w:sz w:val="28"/>
          <w:szCs w:val="28"/>
          <w:spacing w:val="-17"/>
        </w:rPr>
        <w:t>：环境（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>Environmental</w:t>
      </w:r>
      <w:r>
        <w:rPr>
          <w:rFonts w:ascii="FangSong" w:hAnsi="FangSong" w:eastAsia="FangSong" w:cs="FangSong"/>
          <w:sz w:val="28"/>
          <w:szCs w:val="28"/>
          <w:spacing w:val="-17"/>
        </w:rPr>
        <w:t>）、社会（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>Social</w:t>
      </w:r>
      <w:r>
        <w:rPr>
          <w:rFonts w:ascii="FangSong" w:hAnsi="FangSong" w:eastAsia="FangSong" w:cs="FangSong"/>
          <w:sz w:val="28"/>
          <w:szCs w:val="28"/>
          <w:spacing w:val="-17"/>
        </w:rPr>
        <w:t>）、治理（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>Governance</w:t>
      </w:r>
      <w:r>
        <w:rPr>
          <w:rFonts w:ascii="FangSong" w:hAnsi="FangSong" w:eastAsia="FangSong" w:cs="FangSong"/>
          <w:sz w:val="28"/>
          <w:szCs w:val="28"/>
          <w:spacing w:val="-17"/>
        </w:rPr>
        <w:t>）</w:t>
      </w:r>
    </w:p>
    <w:p>
      <w:pPr>
        <w:spacing w:before="294" w:line="210" w:lineRule="auto"/>
        <w:outlineLvl w:val="0"/>
        <w:jc w:val="right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2.   UNGC</w:t>
      </w:r>
      <w:r>
        <w:rPr>
          <w:rFonts w:ascii="FangSong" w:hAnsi="FangSong" w:eastAsia="FangSong" w:cs="FangSong"/>
          <w:sz w:val="28"/>
          <w:szCs w:val="28"/>
          <w:spacing w:val="-3"/>
        </w:rPr>
        <w:t>：联合国全球契约组织（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United N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ations Global Compact</w:t>
      </w:r>
      <w:r>
        <w:rPr>
          <w:rFonts w:ascii="FangSong" w:hAnsi="FangSong" w:eastAsia="FangSong" w:cs="FangSong"/>
          <w:sz w:val="28"/>
          <w:szCs w:val="28"/>
          <w:spacing w:val="-4"/>
        </w:rPr>
        <w:t>）</w:t>
      </w:r>
    </w:p>
    <w:p>
      <w:pPr>
        <w:ind w:left="445"/>
        <w:spacing w:before="305" w:line="210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3.   CSRD</w:t>
      </w:r>
      <w:r>
        <w:rPr>
          <w:rFonts w:ascii="FangSong" w:hAnsi="FangSong" w:eastAsia="FangSong" w:cs="FangSong"/>
          <w:sz w:val="28"/>
          <w:szCs w:val="28"/>
        </w:rPr>
        <w:t>：《企业可持续发展报告指令》</w:t>
      </w:r>
      <w:r>
        <w:rPr>
          <w:rFonts w:ascii="Times New Roman" w:hAnsi="Times New Roman" w:eastAsia="Times New Roman" w:cs="Times New Roman"/>
          <w:sz w:val="28"/>
          <w:szCs w:val="28"/>
        </w:rPr>
        <w:t>(Corp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orate Sustainability</w:t>
      </w:r>
    </w:p>
    <w:p>
      <w:pPr>
        <w:pStyle w:val="BodyText"/>
        <w:spacing w:line="262" w:lineRule="auto"/>
        <w:rPr/>
      </w:pPr>
      <w:r/>
    </w:p>
    <w:p>
      <w:pPr>
        <w:ind w:left="438"/>
        <w:spacing w:before="80" w:line="193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Reporting Directive)</w:t>
      </w:r>
    </w:p>
    <w:p>
      <w:pPr>
        <w:ind w:left="438"/>
        <w:spacing w:before="326" w:line="210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4.   ESRS</w:t>
      </w:r>
      <w:r>
        <w:rPr>
          <w:rFonts w:ascii="FangSong" w:hAnsi="FangSong" w:eastAsia="FangSong" w:cs="FangSong"/>
          <w:sz w:val="28"/>
          <w:szCs w:val="28"/>
          <w:spacing w:val="-2"/>
        </w:rPr>
        <w:t>：《欧洲可持续发展报告准则》（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European Sustainability</w:t>
      </w:r>
    </w:p>
    <w:p>
      <w:pPr>
        <w:ind w:left="438"/>
        <w:spacing w:before="306" w:line="21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Reporting Standards</w:t>
      </w:r>
      <w:r>
        <w:rPr>
          <w:rFonts w:ascii="FangSong" w:hAnsi="FangSong" w:eastAsia="FangSong" w:cs="FangSong"/>
          <w:sz w:val="28"/>
          <w:szCs w:val="28"/>
          <w:spacing w:val="-1"/>
        </w:rPr>
        <w:t>）</w:t>
      </w:r>
    </w:p>
    <w:p>
      <w:pPr>
        <w:ind w:left="447"/>
        <w:spacing w:before="305" w:line="210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>5.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>ISSB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3"/>
        </w:rPr>
        <w:t>：</w:t>
      </w:r>
      <w:r>
        <w:rPr>
          <w:rFonts w:ascii="FangSong" w:hAnsi="FangSong" w:eastAsia="FangSong" w:cs="FangSong"/>
          <w:sz w:val="28"/>
          <w:szCs w:val="28"/>
          <w:spacing w:val="-5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13"/>
        </w:rPr>
        <w:t>国际可持续准则理事会（</w:t>
      </w:r>
      <w:r>
        <w:rPr>
          <w:rFonts w:ascii="FangSong" w:hAnsi="FangSong" w:eastAsia="FangSong" w:cs="FangSong"/>
          <w:sz w:val="28"/>
          <w:szCs w:val="28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International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Sustainability</w:t>
      </w:r>
    </w:p>
    <w:p>
      <w:pPr>
        <w:ind w:left="451"/>
        <w:spacing w:before="304" w:line="23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Standards Board</w:t>
      </w:r>
      <w:r>
        <w:rPr>
          <w:rFonts w:ascii="FangSong" w:hAnsi="FangSong" w:eastAsia="FangSong" w:cs="FangSong"/>
          <w:sz w:val="28"/>
          <w:szCs w:val="28"/>
          <w:spacing w:val="-2"/>
        </w:rPr>
        <w:t>）</w:t>
      </w:r>
    </w:p>
    <w:p>
      <w:pPr>
        <w:ind w:left="446"/>
        <w:spacing w:before="273" w:line="216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6.   TCFD </w:t>
      </w:r>
      <w:r>
        <w:rPr>
          <w:rFonts w:ascii="FangSong" w:hAnsi="FangSong" w:eastAsia="FangSong" w:cs="FangSong"/>
          <w:sz w:val="28"/>
          <w:szCs w:val="28"/>
          <w:spacing w:val="-7"/>
        </w:rPr>
        <w:t>：</w:t>
      </w:r>
      <w:r>
        <w:rPr>
          <w:rFonts w:ascii="FangSong" w:hAnsi="FangSong" w:eastAsia="FangSong" w:cs="FangSong"/>
          <w:sz w:val="28"/>
          <w:szCs w:val="28"/>
          <w:spacing w:val="-4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气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候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相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关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财</w:t>
      </w:r>
      <w:r>
        <w:rPr>
          <w:rFonts w:ascii="FangSong" w:hAnsi="FangSong" w:eastAsia="FangSong" w:cs="FangSong"/>
          <w:sz w:val="28"/>
          <w:szCs w:val="28"/>
          <w:spacing w:val="-7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务</w:t>
      </w:r>
      <w:r>
        <w:rPr>
          <w:rFonts w:ascii="FangSong" w:hAnsi="FangSong" w:eastAsia="FangSong" w:cs="FangSong"/>
          <w:sz w:val="28"/>
          <w:szCs w:val="28"/>
          <w:spacing w:val="-8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信</w:t>
      </w:r>
      <w:r>
        <w:rPr>
          <w:rFonts w:ascii="FangSong" w:hAnsi="FangSong" w:eastAsia="FangSong" w:cs="FangSong"/>
          <w:sz w:val="28"/>
          <w:szCs w:val="28"/>
          <w:spacing w:val="-5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息</w:t>
      </w:r>
      <w:r>
        <w:rPr>
          <w:rFonts w:ascii="FangSong" w:hAnsi="FangSong" w:eastAsia="FangSong" w:cs="FangSong"/>
          <w:sz w:val="28"/>
          <w:szCs w:val="28"/>
          <w:spacing w:val="-7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披</w:t>
      </w:r>
      <w:r>
        <w:rPr>
          <w:rFonts w:ascii="FangSong" w:hAnsi="FangSong" w:eastAsia="FangSong" w:cs="FangSong"/>
          <w:sz w:val="28"/>
          <w:szCs w:val="28"/>
          <w:spacing w:val="-6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露</w:t>
      </w:r>
      <w:r>
        <w:rPr>
          <w:rFonts w:ascii="FangSong" w:hAnsi="FangSong" w:eastAsia="FangSong" w:cs="FangSong"/>
          <w:sz w:val="28"/>
          <w:szCs w:val="28"/>
          <w:spacing w:val="-7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工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作</w:t>
      </w:r>
      <w:r>
        <w:rPr>
          <w:rFonts w:ascii="FangSong" w:hAnsi="FangSong" w:eastAsia="FangSong" w:cs="FangSong"/>
          <w:sz w:val="28"/>
          <w:szCs w:val="28"/>
          <w:spacing w:val="-73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7"/>
        </w:rPr>
        <w:t>组（</w:t>
      </w:r>
      <w:r>
        <w:rPr>
          <w:rFonts w:ascii="FangSong" w:hAnsi="FangSong" w:eastAsia="FangSong" w:cs="FangSong"/>
          <w:sz w:val="28"/>
          <w:szCs w:val="28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>Task  Force  on</w:t>
      </w:r>
    </w:p>
    <w:p>
      <w:pPr>
        <w:ind w:left="444"/>
        <w:spacing w:before="296" w:line="23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Climate-Related Financial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Disclosure</w:t>
      </w:r>
      <w:r>
        <w:rPr>
          <w:rFonts w:ascii="FangSong" w:hAnsi="FangSong" w:eastAsia="FangSong" w:cs="FangSong"/>
          <w:sz w:val="28"/>
          <w:szCs w:val="28"/>
          <w:spacing w:val="-1"/>
        </w:rPr>
        <w:t>）</w:t>
      </w:r>
    </w:p>
    <w:p>
      <w:pPr>
        <w:ind w:left="444"/>
        <w:spacing w:before="273" w:line="210" w:lineRule="auto"/>
        <w:outlineLvl w:val="0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7.   GRI</w:t>
      </w:r>
      <w:r>
        <w:rPr>
          <w:rFonts w:ascii="FangSong" w:hAnsi="FangSong" w:eastAsia="FangSong" w:cs="FangSong"/>
          <w:sz w:val="28"/>
          <w:szCs w:val="28"/>
        </w:rPr>
        <w:t>：全球报告倡议组织（</w:t>
      </w:r>
      <w:r>
        <w:rPr>
          <w:rFonts w:ascii="Times New Roman" w:hAnsi="Times New Roman" w:eastAsia="Times New Roman" w:cs="Times New Roman"/>
          <w:sz w:val="28"/>
          <w:szCs w:val="28"/>
        </w:rPr>
        <w:t>Global Reporting I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nitiative</w:t>
      </w:r>
      <w:r>
        <w:rPr>
          <w:rFonts w:ascii="FangSong" w:hAnsi="FangSong" w:eastAsia="FangSong" w:cs="FangSong"/>
          <w:sz w:val="28"/>
          <w:szCs w:val="28"/>
          <w:spacing w:val="-1"/>
        </w:rPr>
        <w:t>）</w:t>
      </w:r>
    </w:p>
    <w:p>
      <w:pPr>
        <w:ind w:left="451"/>
        <w:spacing w:before="306" w:line="210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8.   </w:t>
      </w:r>
      <w:r>
        <w:rPr>
          <w:rFonts w:ascii="Times New Roman" w:hAnsi="Times New Roman" w:eastAsia="Times New Roman" w:cs="Times New Roman"/>
          <w:sz w:val="28"/>
          <w:szCs w:val="28"/>
        </w:rPr>
        <w:t>EFRAG</w:t>
      </w:r>
      <w:r>
        <w:rPr>
          <w:rFonts w:ascii="FangSong" w:hAnsi="FangSong" w:eastAsia="FangSong" w:cs="FangSong"/>
          <w:sz w:val="28"/>
          <w:szCs w:val="28"/>
          <w:spacing w:val="4"/>
        </w:rPr>
        <w:t>：欧洲财务报告咨询组（</w:t>
      </w:r>
      <w:r>
        <w:rPr>
          <w:rFonts w:ascii="Times New Roman" w:hAnsi="Times New Roman" w:eastAsia="Times New Roman" w:cs="Times New Roman"/>
          <w:sz w:val="28"/>
          <w:szCs w:val="28"/>
        </w:rPr>
        <w:t>European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Financial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Reporting</w:t>
      </w:r>
    </w:p>
    <w:p>
      <w:pPr>
        <w:ind w:left="436"/>
        <w:spacing w:before="305" w:line="21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Advisory Group</w:t>
      </w:r>
      <w:r>
        <w:rPr>
          <w:rFonts w:ascii="FangSong" w:hAnsi="FangSong" w:eastAsia="FangSong" w:cs="FangSong"/>
          <w:sz w:val="28"/>
          <w:szCs w:val="28"/>
          <w:spacing w:val="-1"/>
        </w:rPr>
        <w:t>）</w:t>
      </w:r>
    </w:p>
    <w:p>
      <w:pPr>
        <w:ind w:left="445"/>
        <w:spacing w:before="305" w:line="218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9.   IFRS </w:t>
      </w:r>
      <w:r>
        <w:rPr>
          <w:rFonts w:ascii="FangSong" w:hAnsi="FangSong" w:eastAsia="FangSong" w:cs="FangSong"/>
          <w:sz w:val="28"/>
          <w:szCs w:val="28"/>
          <w:spacing w:val="-4"/>
        </w:rPr>
        <w:t>：</w:t>
      </w:r>
      <w:r>
        <w:rPr>
          <w:rFonts w:ascii="FangSong" w:hAnsi="FangSong" w:eastAsia="FangSong" w:cs="FangSong"/>
          <w:sz w:val="28"/>
          <w:szCs w:val="28"/>
          <w:spacing w:val="-4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国</w:t>
      </w:r>
      <w:r>
        <w:rPr>
          <w:rFonts w:ascii="FangSong" w:hAnsi="FangSong" w:eastAsia="FangSong" w:cs="FangSong"/>
          <w:sz w:val="28"/>
          <w:szCs w:val="28"/>
          <w:spacing w:val="-6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际</w:t>
      </w:r>
      <w:r>
        <w:rPr>
          <w:rFonts w:ascii="FangSong" w:hAnsi="FangSong" w:eastAsia="FangSong" w:cs="FangSong"/>
          <w:sz w:val="28"/>
          <w:szCs w:val="28"/>
          <w:spacing w:val="-80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财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务</w:t>
      </w:r>
      <w:r>
        <w:rPr>
          <w:rFonts w:ascii="FangSong" w:hAnsi="FangSong" w:eastAsia="FangSong" w:cs="FangSong"/>
          <w:sz w:val="28"/>
          <w:szCs w:val="28"/>
          <w:spacing w:val="-7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报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告</w:t>
      </w:r>
      <w:r>
        <w:rPr>
          <w:rFonts w:ascii="FangSong" w:hAnsi="FangSong" w:eastAsia="FangSong" w:cs="FangSong"/>
          <w:sz w:val="28"/>
          <w:szCs w:val="28"/>
          <w:spacing w:val="-7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准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则基</w:t>
      </w:r>
      <w:r>
        <w:rPr>
          <w:rFonts w:ascii="FangSong" w:hAnsi="FangSong" w:eastAsia="FangSong" w:cs="FangSong"/>
          <w:sz w:val="28"/>
          <w:szCs w:val="28"/>
          <w:spacing w:val="-8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金</w:t>
      </w:r>
      <w:r>
        <w:rPr>
          <w:rFonts w:ascii="FangSong" w:hAnsi="FangSong" w:eastAsia="FangSong" w:cs="FangSong"/>
          <w:sz w:val="28"/>
          <w:szCs w:val="28"/>
          <w:spacing w:val="-7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4"/>
        </w:rPr>
        <w:t>会（</w:t>
      </w:r>
      <w:r>
        <w:rPr>
          <w:rFonts w:ascii="FangSong" w:hAnsi="FangSong" w:eastAsia="FangSong" w:cs="FangSong"/>
          <w:sz w:val="28"/>
          <w:szCs w:val="28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>Interna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tional</w:t>
      </w:r>
      <w:r>
        <w:rPr>
          <w:rFonts w:ascii="Times New Roman" w:hAnsi="Times New Roman" w:eastAsia="Times New Roman" w:cs="Times New Roman"/>
          <w:sz w:val="28"/>
          <w:szCs w:val="28"/>
          <w:spacing w:val="4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>Financial</w:t>
      </w:r>
    </w:p>
    <w:p>
      <w:pPr>
        <w:ind w:left="438"/>
        <w:spacing w:before="294" w:line="21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Reporting Standards Foundat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ion</w:t>
      </w:r>
      <w:r>
        <w:rPr>
          <w:rFonts w:ascii="FangSong" w:hAnsi="FangSong" w:eastAsia="FangSong" w:cs="FangSong"/>
          <w:sz w:val="28"/>
          <w:szCs w:val="28"/>
          <w:spacing w:val="-1"/>
        </w:rPr>
        <w:t>）</w:t>
      </w:r>
    </w:p>
    <w:p>
      <w:pPr>
        <w:ind w:left="466"/>
        <w:spacing w:before="306" w:line="210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10. </w:t>
      </w:r>
      <w:r>
        <w:rPr>
          <w:rFonts w:ascii="Times New Roman" w:hAnsi="Times New Roman" w:eastAsia="Times New Roman" w:cs="Times New Roman"/>
          <w:sz w:val="28"/>
          <w:szCs w:val="28"/>
        </w:rPr>
        <w:t>SASB</w:t>
      </w:r>
      <w:r>
        <w:rPr>
          <w:rFonts w:ascii="FangSong" w:hAnsi="FangSong" w:eastAsia="FangSong" w:cs="FangSong"/>
          <w:sz w:val="28"/>
          <w:szCs w:val="28"/>
          <w:spacing w:val="5"/>
        </w:rPr>
        <w:t>：可持续性会计准则委员会（</w:t>
      </w:r>
      <w:r>
        <w:rPr>
          <w:rFonts w:ascii="FangSong" w:hAnsi="FangSong" w:eastAsia="FangSong" w:cs="FangSong"/>
          <w:sz w:val="28"/>
          <w:szCs w:val="28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Sustainability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Accounting</w:t>
      </w:r>
    </w:p>
    <w:p>
      <w:pPr>
        <w:ind w:left="451"/>
        <w:spacing w:before="304" w:line="23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Standards Board</w:t>
      </w:r>
      <w:r>
        <w:rPr>
          <w:rFonts w:ascii="FangSong" w:hAnsi="FangSong" w:eastAsia="FangSong" w:cs="FangSong"/>
          <w:sz w:val="28"/>
          <w:szCs w:val="28"/>
          <w:spacing w:val="-2"/>
        </w:rPr>
        <w:t>）</w:t>
      </w:r>
    </w:p>
    <w:p>
      <w:pPr>
        <w:ind w:left="466"/>
        <w:spacing w:before="273" w:line="210" w:lineRule="auto"/>
        <w:outlineLvl w:val="0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11. VRF</w:t>
      </w:r>
      <w:r>
        <w:rPr>
          <w:rFonts w:ascii="FangSong" w:hAnsi="FangSong" w:eastAsia="FangSong" w:cs="FangSong"/>
          <w:sz w:val="28"/>
          <w:szCs w:val="28"/>
          <w:spacing w:val="-1"/>
        </w:rPr>
        <w:t>：价值报告基金会（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Value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Reporting Foundation</w:t>
      </w:r>
      <w:r>
        <w:rPr>
          <w:rFonts w:ascii="FangSong" w:hAnsi="FangSong" w:eastAsia="FangSong" w:cs="FangSong"/>
          <w:sz w:val="28"/>
          <w:szCs w:val="28"/>
          <w:spacing w:val="-2"/>
        </w:rPr>
        <w:t>）</w:t>
      </w:r>
    </w:p>
    <w:p>
      <w:pPr>
        <w:ind w:left="466"/>
        <w:spacing w:before="305" w:line="216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12. TNFD</w:t>
      </w:r>
      <w:r>
        <w:rPr>
          <w:rFonts w:ascii="FangSong" w:hAnsi="FangSong" w:eastAsia="FangSong" w:cs="FangSong"/>
          <w:sz w:val="28"/>
          <w:szCs w:val="28"/>
          <w:spacing w:val="-3"/>
        </w:rPr>
        <w:t>：自然相关财务披露工作组（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Taskforce for Nature-related</w:t>
      </w:r>
    </w:p>
    <w:p>
      <w:pPr>
        <w:ind w:left="438"/>
        <w:spacing w:before="296" w:line="23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Financial Disclosures</w:t>
      </w:r>
      <w:r>
        <w:rPr>
          <w:rFonts w:ascii="FangSong" w:hAnsi="FangSong" w:eastAsia="FangSong" w:cs="FangSong"/>
          <w:sz w:val="28"/>
          <w:szCs w:val="28"/>
          <w:spacing w:val="-1"/>
        </w:rPr>
        <w:t>）</w:t>
      </w:r>
    </w:p>
    <w:p>
      <w:pPr>
        <w:ind w:left="466"/>
        <w:spacing w:before="273" w:line="210" w:lineRule="auto"/>
        <w:outlineLvl w:val="0"/>
        <w:rPr>
          <w:rFonts w:ascii="FangSong" w:hAnsi="FangSong" w:eastAsia="FangSong" w:cs="FangSong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13. APP</w:t>
      </w:r>
      <w:r>
        <w:rPr>
          <w:rFonts w:ascii="FangSong" w:hAnsi="FangSong" w:eastAsia="FangSong" w:cs="FangSong"/>
          <w:sz w:val="28"/>
          <w:szCs w:val="28"/>
          <w:spacing w:val="-1"/>
        </w:rPr>
        <w:t>：移动互联网应用程序（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Applicat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ion</w:t>
      </w:r>
      <w:r>
        <w:rPr>
          <w:rFonts w:ascii="FangSong" w:hAnsi="FangSong" w:eastAsia="FangSong" w:cs="FangSong"/>
          <w:sz w:val="28"/>
          <w:szCs w:val="28"/>
          <w:spacing w:val="-2"/>
        </w:rPr>
        <w:t>）</w:t>
      </w:r>
    </w:p>
    <w:p>
      <w:pPr>
        <w:spacing w:line="210" w:lineRule="auto"/>
        <w:sectPr>
          <w:headerReference w:type="default" r:id="rId64"/>
          <w:footerReference w:type="default" r:id="rId123"/>
          <w:pgSz w:w="11906" w:h="16839"/>
          <w:pgMar w:top="1134" w:right="1660" w:bottom="1156" w:left="1785" w:header="862" w:footer="994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61"/>
        <w:spacing w:before="101" w:line="222" w:lineRule="auto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z w:val="31"/>
          <w:szCs w:val="31"/>
          <w:spacing w:val="4"/>
        </w:rPr>
        <w:t>中国信息通信研究院</w:t>
      </w:r>
    </w:p>
    <w:p>
      <w:pPr>
        <w:ind w:left="34" w:right="3983" w:hanging="14"/>
        <w:spacing w:before="269" w:line="39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distT="0" distB="0" distL="0" distR="0" simplePos="0" relativeHeight="251803648" behindDoc="0" locked="0" layoutInCell="1" allowOverlap="1">
            <wp:simplePos x="0" y="0"/>
            <wp:positionH relativeFrom="column">
              <wp:posOffset>4134326</wp:posOffset>
            </wp:positionH>
            <wp:positionV relativeFrom="paragraph">
              <wp:posOffset>718064</wp:posOffset>
            </wp:positionV>
            <wp:extent cx="1133855" cy="1133855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3855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8"/>
          <w:szCs w:val="28"/>
          <w:spacing w:val="-3"/>
        </w:rPr>
        <w:t>地址：北京市海淀区花园北路</w:t>
      </w:r>
      <w:r>
        <w:rPr>
          <w:rFonts w:ascii="FangSong" w:hAnsi="FangSong" w:eastAsia="FangSong" w:cs="FangSong"/>
          <w:sz w:val="28"/>
          <w:szCs w:val="28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52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号</w:t>
      </w:r>
      <w:r>
        <w:rPr>
          <w:rFonts w:ascii="FangSong" w:hAnsi="FangSong" w:eastAsia="FangSong" w:cs="FangSong"/>
          <w:sz w:val="28"/>
          <w:szCs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邮编：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100191</w:t>
      </w:r>
    </w:p>
    <w:p>
      <w:pPr>
        <w:ind w:left="16" w:right="5643" w:firstLine="39"/>
        <w:spacing w:before="41" w:line="403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电话：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>010-82051631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>
        <w:rPr>
          <w:rFonts w:ascii="FangSong" w:hAnsi="FangSong" w:eastAsia="FangSong" w:cs="FangSong"/>
          <w:sz w:val="28"/>
          <w:szCs w:val="28"/>
          <w:spacing w:val="-1"/>
        </w:rPr>
        <w:t>传真：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010-62304980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   </w:t>
      </w:r>
      <w:r>
        <w:rPr>
          <w:rFonts w:ascii="FangSong" w:hAnsi="FangSong" w:eastAsia="FangSong" w:cs="FangSong"/>
          <w:sz w:val="28"/>
          <w:szCs w:val="28"/>
          <w:spacing w:val="-2"/>
        </w:rPr>
        <w:t>网址：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www.caict.ac.cn</w:t>
      </w:r>
    </w:p>
    <w:sectPr>
      <w:headerReference w:type="default" r:id="rId124"/>
      <w:footerReference w:type="default" r:id="rId125"/>
      <w:pgSz w:w="11907" w:h="16840"/>
      <w:pgMar w:top="400" w:right="1786" w:bottom="400" w:left="1786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32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10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91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12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13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15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16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18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0"/>
      </w:rPr>
      <w:t>19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5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20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21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22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23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24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25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26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27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28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30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31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32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34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35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36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37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38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39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20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51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52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54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55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56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57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58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4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59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60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61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62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63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3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64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8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22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156972</wp:posOffset>
          </wp:positionV>
          <wp:extent cx="7560309" cy="10535157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60309" cy="105351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34" style="position:absolute;margin-left:111pt;margin-top:55.2pt;mso-position-vertical-relative:page;mso-position-horizontal-relative:page;width:394.3pt;height:0.75pt;z-index:251679744;" o:allowincell="f" fillcolor="#000000" filled="true" stroked="false" coordsize="7885,15" coordorigin="0,0" path="m,l7885,0l7885,14l0,14l0,0xe"/>
      </w:pict>
    </w:r>
    <w:r>
      <w:pict>
        <v:shape id="WordPictureWatermark36" style="position:absolute;margin-left:93.2183pt;margin-top:106.882pt;mso-position-vertical-relative:page;mso-position-horizontal-relative:page;width:408.9pt;height:628.15pt;z-index:-25163776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38" style="position:absolute;margin-left:111pt;margin-top:55.2pt;mso-position-vertical-relative:page;mso-position-horizontal-relative:page;width:394.3pt;height:0.75pt;z-index:251682816;" o:allowincell="f" fillcolor="#000000" filled="true" stroked="false" coordsize="7885,15" coordorigin="0,0" path="m,l7885,0l7885,14l0,14l0,0xe"/>
      </w:pict>
    </w:r>
    <w:r>
      <w:pict>
        <v:shape id="WordPictureWatermark40" style="position:absolute;margin-left:93.2183pt;margin-top:106.882pt;mso-position-vertical-relative:page;mso-position-horizontal-relative:page;width:408.9pt;height:628.15pt;z-index:-251634688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44" style="position:absolute;margin-left:111pt;margin-top:55.2pt;mso-position-vertical-relative:page;mso-position-horizontal-relative:page;width:394.3pt;height:0.75pt;z-index:251684864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46" style="position:absolute;margin-left:111pt;margin-top:55.2pt;mso-position-vertical-relative:page;mso-position-horizontal-relative:page;width:394.3pt;height:0.75pt;z-index:251686912;" o:allowincell="f" fillcolor="#000000" filled="true" stroked="false" coordsize="7885,15" coordorigin="0,0" path="m,l7885,0l7885,14l0,14l0,0xe"/>
      </w:pict>
    </w:r>
    <w:r>
      <w:pict>
        <v:shape id="WordPictureWatermark48" style="position:absolute;margin-left:93.2183pt;margin-top:106.882pt;mso-position-vertical-relative:page;mso-position-horizontal-relative:page;width:408.9pt;height:628.15pt;z-index:-251630592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50" style="position:absolute;margin-left:111pt;margin-top:55.2pt;mso-position-vertical-relative:page;mso-position-horizontal-relative:page;width:394.3pt;height:0.75pt;z-index:251687936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52" style="position:absolute;margin-left:111pt;margin-top:55.2pt;mso-position-vertical-relative:page;mso-position-horizontal-relative:page;width:394.3pt;height:0.75pt;z-index:251688960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54" style="position:absolute;margin-left:111pt;margin-top:55.2pt;mso-position-vertical-relative:page;mso-position-horizontal-relative:page;width:394.3pt;height:0.75pt;z-index:251689984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56" style="position:absolute;margin-left:111pt;margin-top:55.2pt;mso-position-vertical-relative:page;mso-position-horizontal-relative:page;width:394.3pt;height:0.75pt;z-index:251692032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62" style="position:absolute;margin-left:111pt;margin-top:55.2pt;mso-position-vertical-relative:page;mso-position-horizontal-relative:page;width:394.3pt;height:0.75pt;z-index:251694080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66" style="position:absolute;margin-left:111pt;margin-top:55.2pt;mso-position-vertical-relative:page;mso-position-horizontal-relative:page;width:394.3pt;height:0.75pt;z-index:251695104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46" w:lineRule="auto"/>
      <w:rPr>
        <w:sz w:val="2"/>
      </w:rPr>
    </w:pPr>
    <w:r>
      <w:pict>
        <v:shape id="_x0000_s2" style="position:absolute;margin-left:89.85pt;margin-top:103.2pt;mso-position-vertical-relative:page;mso-position-horizontal-relative:page;width:406.05pt;height:0.75pt;z-index:251659264;" o:allowincell="f" fillcolor="#808080" filled="true" stroked="false" coordsize="8120,15" coordorigin="0,0" path="m,l8120,0l8120,14l0,14l0,0xe"/>
      </w:pict>
    </w:r>
    <w:r/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68" style="position:absolute;margin-left:111pt;margin-top:55.2pt;mso-position-vertical-relative:page;mso-position-horizontal-relative:page;width:394.3pt;height:0.75pt;z-index:251699200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70" style="position:absolute;margin-left:111pt;margin-top:55.2pt;mso-position-vertical-relative:page;mso-position-horizontal-relative:page;width:394.3pt;height:0.75pt;z-index:251701248;" o:allowincell="f" fillcolor="#000000" filled="true" stroked="false" coordsize="7885,15" coordorigin="0,0" path="m,l7885,0l7885,14l0,14l0,0xe"/>
      </w:pict>
    </w:r>
    <w:r>
      <w:pict>
        <v:shape id="WordPictureWatermark72" style="position:absolute;margin-left:93.2183pt;margin-top:106.882pt;mso-position-vertical-relative:page;mso-position-horizontal-relative:page;width:408.9pt;height:628.15pt;z-index:-251616256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74" style="position:absolute;margin-left:111pt;margin-top:55.2pt;mso-position-vertical-relative:page;mso-position-horizontal-relative:page;width:394.3pt;height:0.75pt;z-index:251703296;" o:allowincell="f" fillcolor="#000000" filled="true" stroked="false" coordsize="7885,15" coordorigin="0,0" path="m,l7885,0l7885,14l0,14l0,0xe"/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76" style="position:absolute;margin-left:111pt;margin-top:55.2pt;mso-position-vertical-relative:page;mso-position-horizontal-relative:page;width:394.3pt;height:0.75pt;z-index:251705344;" o:allowincell="f" fillcolor="#000000" filled="true" stroked="false" coordsize="7885,15" coordorigin="0,0" path="m,l7885,0l7885,14l0,14l0,0xe"/>
      </w:pict>
    </w:r>
    <w:r>
      <w:pict>
        <v:shape id="WordPictureWatermark78" style="position:absolute;margin-left:93.2183pt;margin-top:106.882pt;mso-position-vertical-relative:page;mso-position-horizontal-relative:page;width:408.9pt;height:628.15pt;z-index:-25161216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80" style="position:absolute;margin-left:111pt;margin-top:55.2pt;mso-position-vertical-relative:page;mso-position-horizontal-relative:page;width:394.3pt;height:0.75pt;z-index:251717632;" o:allowincell="f" fillcolor="#000000" filled="true" stroked="false" coordsize="7885,15" coordorigin="0,0" path="m,l7885,0l7885,14l0,14l0,0xe"/>
      </w:pict>
    </w:r>
    <w:r>
      <w:pict>
        <v:shape id="WordPictureWatermark82" style="position:absolute;margin-left:93.2183pt;margin-top:106.882pt;mso-position-vertical-relative:page;mso-position-horizontal-relative:page;width:408.9pt;height:628.15pt;z-index:-251599872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84" style="position:absolute;margin-left:111pt;margin-top:55.2pt;mso-position-vertical-relative:page;mso-position-horizontal-relative:page;width:394.3pt;height:0.75pt;z-index:251719680;" o:allowincell="f" fillcolor="#000000" filled="true" stroked="false" coordsize="7885,15" coordorigin="0,0" path="m,l7885,0l7885,14l0,14l0,0xe"/>
      </w:pict>
    </w:r>
    <w:r>
      <w:pict>
        <v:shape id="WordPictureWatermark86" style="position:absolute;margin-left:93.2183pt;margin-top:106.882pt;mso-position-vertical-relative:page;mso-position-horizontal-relative:page;width:408.9pt;height:628.15pt;z-index:-251597824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88" style="position:absolute;margin-left:111pt;margin-top:55.2pt;mso-position-vertical-relative:page;mso-position-horizontal-relative:page;width:394.3pt;height:0.75pt;z-index:251721728;" o:allowincell="f" fillcolor="#000000" filled="true" stroked="false" coordsize="7885,15" coordorigin="0,0" path="m,l7885,0l7885,14l0,14l0,0xe"/>
      </w:pict>
    </w:r>
    <w:r>
      <w:pict>
        <v:shape id="WordPictureWatermark90" style="position:absolute;margin-left:93.2183pt;margin-top:106.882pt;mso-position-vertical-relative:page;mso-position-horizontal-relative:page;width:408.9pt;height:628.15pt;z-index:-251595776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92" style="position:absolute;margin-left:111pt;margin-top:55.2pt;mso-position-vertical-relative:page;mso-position-horizontal-relative:page;width:394.3pt;height:0.75pt;z-index:251723776;" o:allowincell="f" fillcolor="#000000" filled="true" stroked="false" coordsize="7885,15" coordorigin="0,0" path="m,l7885,0l7885,14l0,14l0,0xe"/>
      </w:pict>
    </w:r>
    <w:r>
      <w:pict>
        <v:shape id="WordPictureWatermark94" style="position:absolute;margin-left:93.2183pt;margin-top:106.882pt;mso-position-vertical-relative:page;mso-position-horizontal-relative:page;width:408.9pt;height:628.15pt;z-index:-251593728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98" style="position:absolute;margin-left:111pt;margin-top:55.2pt;mso-position-vertical-relative:page;mso-position-horizontal-relative:page;width:394.3pt;height:0.75pt;z-index:251725824;" o:allowincell="f" fillcolor="#000000" filled="true" stroked="false" coordsize="7885,15" coordorigin="0,0" path="m,l7885,0l7885,14l0,14l0,0xe"/>
      </w:pict>
    </w:r>
    <w:r>
      <w:pict>
        <v:shape id="WordPictureWatermark100" style="position:absolute;margin-left:93.2183pt;margin-top:106.882pt;mso-position-vertical-relative:page;mso-position-horizontal-relative:page;width:408.9pt;height:628.15pt;z-index:-25159168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02" style="position:absolute;margin-left:111pt;margin-top:55.2pt;mso-position-vertical-relative:page;mso-position-horizontal-relative:page;width:394.3pt;height:0.75pt;z-index:251730944;" o:allowincell="f" fillcolor="#000000" filled="true" stroked="false" coordsize="7885,15" coordorigin="0,0" path="m,l7885,0l7885,14l0,14l0,0xe"/>
      </w:pict>
    </w:r>
    <w:r>
      <w:pict>
        <v:shape id="WordPictureWatermark104" style="position:absolute;margin-left:93.2183pt;margin-top:106.882pt;mso-position-vertical-relative:page;mso-position-horizontal-relative:page;width:408.9pt;height:628.15pt;z-index:-25158656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6" style="position:absolute;margin-left:93.2261pt;margin-top:106.88pt;mso-position-vertical-relative:page;mso-position-horizontal-relative:page;width:408.9pt;height:628.2pt;z-index:-251656192;" o:allowincell="f" filled="false" stroked="false" type="#_x0000_t75">
          <v:imagedata o:title="" r:id="rId1"/>
        </v:shape>
      </w:pict>
    </w:r>
    <w:r/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06" style="position:absolute;margin-left:111pt;margin-top:55.2pt;mso-position-vertical-relative:page;mso-position-horizontal-relative:page;width:394.3pt;height:0.75pt;z-index:251735040;" o:allowincell="f" fillcolor="#000000" filled="true" stroked="false" coordsize="7885,15" coordorigin="0,0" path="m,l7885,0l7885,14l0,14l0,0xe"/>
      </w:pict>
    </w:r>
    <w:r>
      <w:pict>
        <v:shape id="WordPictureWatermark108" style="position:absolute;margin-left:93.2183pt;margin-top:106.882pt;mso-position-vertical-relative:page;mso-position-horizontal-relative:page;width:408.9pt;height:628.15pt;z-index:-251582464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12" style="position:absolute;margin-left:111pt;margin-top:55.2pt;mso-position-vertical-relative:page;mso-position-horizontal-relative:page;width:394.3pt;height:0.75pt;z-index:251746304;" o:allowincell="f" fillcolor="#000000" filled="true" stroked="false" coordsize="7885,15" coordorigin="0,0" path="m,l7885,0l7885,14l0,14l0,0xe"/>
      </w:pict>
    </w:r>
    <w:r>
      <w:pict>
        <v:shape id="WordPictureWatermark114" style="position:absolute;margin-left:93.2183pt;margin-top:106.882pt;mso-position-vertical-relative:page;mso-position-horizontal-relative:page;width:408.9pt;height:628.15pt;z-index:-25157120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16" style="position:absolute;margin-left:111pt;margin-top:55.2pt;mso-position-vertical-relative:page;mso-position-horizontal-relative:page;width:394.3pt;height:0.75pt;z-index:251749376;" o:allowincell="f" fillcolor="#000000" filled="true" stroked="false" coordsize="7885,15" coordorigin="0,0" path="m,l7885,0l7885,14l0,14l0,0xe"/>
      </w:pict>
    </w:r>
    <w:r>
      <w:pict>
        <v:shape id="WordPictureWatermark118" style="position:absolute;margin-left:93.2183pt;margin-top:106.882pt;mso-position-vertical-relative:page;mso-position-horizontal-relative:page;width:408.9pt;height:628.15pt;z-index:-251568128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20" style="position:absolute;margin-left:111pt;margin-top:55.2pt;mso-position-vertical-relative:page;mso-position-horizontal-relative:page;width:394.3pt;height:0.75pt;z-index:251751424;" o:allowincell="f" fillcolor="#000000" filled="true" stroked="false" coordsize="7885,15" coordorigin="0,0" path="m,l7885,0l7885,14l0,14l0,0xe"/>
      </w:pict>
    </w:r>
    <w:r>
      <w:pict>
        <v:shape id="WordPictureWatermark122" style="position:absolute;margin-left:93.2183pt;margin-top:106.882pt;mso-position-vertical-relative:page;mso-position-horizontal-relative:page;width:408.9pt;height:628.15pt;z-index:-25156608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8" style="position:absolute;margin-left:111pt;margin-top:55.2pt;mso-position-vertical-relative:page;mso-position-horizontal-relative:page;width:394.3pt;height:0.75pt;z-index:251667456;" o:allowincell="f" fillcolor="#000000" filled="true" stroked="false" coordsize="7885,15" coordorigin="0,0" path="m,l7885,0l7885,14l0,14l0,0xe"/>
      </w:pict>
    </w:r>
    <w:r>
      <w:pict>
        <v:shape id="WordPictureWatermark10" style="position:absolute;margin-left:93.2183pt;margin-top:106.882pt;mso-position-vertical-relative:page;mso-position-horizontal-relative:page;width:408.9pt;height:628.15pt;z-index:-251650048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2" style="position:absolute;margin-left:111pt;margin-top:55.2pt;mso-position-vertical-relative:page;mso-position-horizontal-relative:page;width:394.3pt;height:0.75pt;z-index:251669504;" o:allowincell="f" fillcolor="#000000" filled="true" stroked="false" coordsize="7885,15" coordorigin="0,0" path="m,l7885,0l7885,14l0,14l0,0xe"/>
      </w:pict>
    </w:r>
    <w:r>
      <w:pict>
        <v:shape id="WordPictureWatermark14" style="position:absolute;margin-left:93.2183pt;margin-top:106.882pt;mso-position-vertical-relative:page;mso-position-horizontal-relative:page;width:408.9pt;height:628.15pt;z-index:-251648000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16" style="position:absolute;margin-left:111pt;margin-top:55.2pt;mso-position-vertical-relative:page;mso-position-horizontal-relative:page;width:394.3pt;height:0.75pt;z-index:251671552;" o:allowincell="f" fillcolor="#000000" filled="true" stroked="false" coordsize="7885,15" coordorigin="0,0" path="m,l7885,0l7885,14l0,14l0,0xe"/>
      </w:pict>
    </w:r>
    <w:r>
      <w:pict>
        <v:shape id="WordPictureWatermark18" style="position:absolute;margin-left:93.2183pt;margin-top:106.882pt;mso-position-vertical-relative:page;mso-position-horizontal-relative:page;width:408.9pt;height:628.15pt;z-index:-251645952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22" style="position:absolute;margin-left:111pt;margin-top:55.2pt;mso-position-vertical-relative:page;mso-position-horizontal-relative:page;width:394.3pt;height:0.75pt;z-index:251673600;" o:allowincell="f" fillcolor="#000000" filled="true" stroked="false" coordsize="7885,15" coordorigin="0,0" path="m,l7885,0l7885,14l0,14l0,0xe"/>
      </w:pict>
    </w:r>
    <w:r>
      <w:pict>
        <v:shape id="WordPictureWatermark24" style="position:absolute;margin-left:93.2183pt;margin-top:106.882pt;mso-position-vertical-relative:page;mso-position-horizontal-relative:page;width:408.9pt;height:628.15pt;z-index:-251643904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26" style="position:absolute;margin-left:111pt;margin-top:55.2pt;mso-position-vertical-relative:page;mso-position-horizontal-relative:page;width:394.3pt;height:0.75pt;z-index:251675648;" o:allowincell="f" fillcolor="#000000" filled="true" stroked="false" coordsize="7885,15" coordorigin="0,0" path="m,l7885,0l7885,14l0,14l0,0xe"/>
      </w:pict>
    </w:r>
    <w:r>
      <w:pict>
        <v:shape id="WordPictureWatermark28" style="position:absolute;margin-left:93.2183pt;margin-top:106.882pt;mso-position-vertical-relative:page;mso-position-horizontal-relative:page;width:408.9pt;height:628.15pt;z-index:-251641856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54"/>
      <w:spacing w:before="16" w:line="218" w:lineRule="auto"/>
      <w:rPr>
        <w:rFonts w:ascii="SimSun" w:hAnsi="SimSun" w:eastAsia="SimSun" w:cs="SimSun"/>
        <w:sz w:val="18"/>
        <w:szCs w:val="18"/>
      </w:rPr>
    </w:pPr>
    <w:r>
      <w:pict>
        <v:shape id="_x0000_s30" style="position:absolute;margin-left:111pt;margin-top:55.2pt;mso-position-vertical-relative:page;mso-position-horizontal-relative:page;width:394.3pt;height:0.75pt;z-index:251677696;" o:allowincell="f" fillcolor="#000000" filled="true" stroked="false" coordsize="7885,15" coordorigin="0,0" path="m,l7885,0l7885,14l0,14l0,0xe"/>
      </w:pict>
    </w:r>
    <w:r>
      <w:pict>
        <v:shape id="WordPictureWatermark32" style="position:absolute;margin-left:93.2183pt;margin-top:106.882pt;mso-position-vertical-relative:page;mso-position-horizontal-relative:page;width:408.9pt;height:628.15pt;z-index:-251639808;" o:allowincell="f" filled="false" stroked="false" type="#_x0000_t75">
          <v:imagedata o:title="" r:id="rId1"/>
        </v:shape>
      </w:pict>
    </w:r>
    <w:r>
      <w:rPr>
        <w:rFonts w:ascii="SimSun" w:hAnsi="SimSun" w:eastAsia="SimSun" w:cs="SimSun"/>
        <w:sz w:val="18"/>
        <w:szCs w:val="18"/>
      </w:rPr>
      <w:t>互联网行业可持续信息披露发展报告（</w:t>
    </w:r>
    <w:r>
      <w:rPr>
        <w:rFonts w:ascii="Times New Roman" w:hAnsi="Times New Roman" w:eastAsia="Times New Roman" w:cs="Times New Roman"/>
        <w:sz w:val="18"/>
        <w:szCs w:val="18"/>
      </w:rPr>
      <w:t>2023</w:t>
    </w:r>
    <w:r>
      <w:rPr>
        <w:rFonts w:ascii="SimSun" w:hAnsi="SimSun" w:eastAsia="SimSun" w:cs="SimSun"/>
        <w:sz w:val="18"/>
        <w:szCs w:val="18"/>
      </w:rPr>
      <w:t>年）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FangSong" w:hAnsi="FangSong" w:eastAsia="FangSong" w:cs="FangSong"/>
      <w:sz w:val="28"/>
      <w:szCs w:val="2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46.xml"/><Relationship Id="rId98" Type="http://schemas.openxmlformats.org/officeDocument/2006/relationships/image" Target="media/image25.png"/><Relationship Id="rId97" Type="http://schemas.openxmlformats.org/officeDocument/2006/relationships/image" Target="media/image24.png"/><Relationship Id="rId96" Type="http://schemas.openxmlformats.org/officeDocument/2006/relationships/image" Target="media/image23.png"/><Relationship Id="rId95" Type="http://schemas.openxmlformats.org/officeDocument/2006/relationships/image" Target="media/image22.png"/><Relationship Id="rId94" Type="http://schemas.openxmlformats.org/officeDocument/2006/relationships/footer" Target="footer45.xml"/><Relationship Id="rId93" Type="http://schemas.openxmlformats.org/officeDocument/2006/relationships/footer" Target="footer44.xml"/><Relationship Id="rId92" Type="http://schemas.openxmlformats.org/officeDocument/2006/relationships/footer" Target="footer43.xml"/><Relationship Id="rId91" Type="http://schemas.openxmlformats.org/officeDocument/2006/relationships/header" Target="header28.xml"/><Relationship Id="rId90" Type="http://schemas.openxmlformats.org/officeDocument/2006/relationships/footer" Target="footer42.xml"/><Relationship Id="rId9" Type="http://schemas.openxmlformats.org/officeDocument/2006/relationships/footer" Target="footer1.xml"/><Relationship Id="rId89" Type="http://schemas.openxmlformats.org/officeDocument/2006/relationships/header" Target="header27.xml"/><Relationship Id="rId88" Type="http://schemas.openxmlformats.org/officeDocument/2006/relationships/footer" Target="footer41.xml"/><Relationship Id="rId87" Type="http://schemas.openxmlformats.org/officeDocument/2006/relationships/header" Target="header26.xml"/><Relationship Id="rId86" Type="http://schemas.openxmlformats.org/officeDocument/2006/relationships/footer" Target="footer40.xml"/><Relationship Id="rId85" Type="http://schemas.openxmlformats.org/officeDocument/2006/relationships/header" Target="header25.xml"/><Relationship Id="rId84" Type="http://schemas.openxmlformats.org/officeDocument/2006/relationships/footer" Target="footer39.xml"/><Relationship Id="rId83" Type="http://schemas.openxmlformats.org/officeDocument/2006/relationships/header" Target="header24.xml"/><Relationship Id="rId82" Type="http://schemas.openxmlformats.org/officeDocument/2006/relationships/footer" Target="footer38.xml"/><Relationship Id="rId81" Type="http://schemas.openxmlformats.org/officeDocument/2006/relationships/footer" Target="footer37.xml"/><Relationship Id="rId80" Type="http://schemas.openxmlformats.org/officeDocument/2006/relationships/footer" Target="footer36.xml"/><Relationship Id="rId8" Type="http://schemas.openxmlformats.org/officeDocument/2006/relationships/header" Target="header4.xml"/><Relationship Id="rId79" Type="http://schemas.openxmlformats.org/officeDocument/2006/relationships/footer" Target="footer35.xml"/><Relationship Id="rId78" Type="http://schemas.openxmlformats.org/officeDocument/2006/relationships/footer" Target="footer34.xml"/><Relationship Id="rId77" Type="http://schemas.openxmlformats.org/officeDocument/2006/relationships/footer" Target="footer33.xml"/><Relationship Id="rId76" Type="http://schemas.openxmlformats.org/officeDocument/2006/relationships/footer" Target="footer32.xml"/><Relationship Id="rId75" Type="http://schemas.openxmlformats.org/officeDocument/2006/relationships/footer" Target="footer31.xml"/><Relationship Id="rId74" Type="http://schemas.openxmlformats.org/officeDocument/2006/relationships/footer" Target="footer30.xml"/><Relationship Id="rId73" Type="http://schemas.openxmlformats.org/officeDocument/2006/relationships/image" Target="media/image21.jpeg"/><Relationship Id="rId72" Type="http://schemas.openxmlformats.org/officeDocument/2006/relationships/footer" Target="footer29.xml"/><Relationship Id="rId71" Type="http://schemas.openxmlformats.org/officeDocument/2006/relationships/footer" Target="footer28.xml"/><Relationship Id="rId70" Type="http://schemas.openxmlformats.org/officeDocument/2006/relationships/header" Target="header23.xml"/><Relationship Id="rId7" Type="http://schemas.openxmlformats.org/officeDocument/2006/relationships/header" Target="header3.xml"/><Relationship Id="rId69" Type="http://schemas.openxmlformats.org/officeDocument/2006/relationships/image" Target="media/image20.jpeg"/><Relationship Id="rId68" Type="http://schemas.openxmlformats.org/officeDocument/2006/relationships/footer" Target="footer27.xml"/><Relationship Id="rId67" Type="http://schemas.openxmlformats.org/officeDocument/2006/relationships/header" Target="header22.xml"/><Relationship Id="rId66" Type="http://schemas.openxmlformats.org/officeDocument/2006/relationships/footer" Target="footer26.xml"/><Relationship Id="rId65" Type="http://schemas.openxmlformats.org/officeDocument/2006/relationships/footer" Target="footer25.xml"/><Relationship Id="rId64" Type="http://schemas.openxmlformats.org/officeDocument/2006/relationships/header" Target="header21.xml"/><Relationship Id="rId63" Type="http://schemas.openxmlformats.org/officeDocument/2006/relationships/image" Target="media/image19.jpeg"/><Relationship Id="rId62" Type="http://schemas.openxmlformats.org/officeDocument/2006/relationships/footer" Target="footer24.xml"/><Relationship Id="rId61" Type="http://schemas.openxmlformats.org/officeDocument/2006/relationships/header" Target="header20.xml"/><Relationship Id="rId60" Type="http://schemas.openxmlformats.org/officeDocument/2006/relationships/image" Target="media/image18.jpeg"/><Relationship Id="rId6" Type="http://schemas.openxmlformats.org/officeDocument/2006/relationships/image" Target="media/image5.jpeg"/><Relationship Id="rId59" Type="http://schemas.openxmlformats.org/officeDocument/2006/relationships/footer" Target="footer23.xml"/><Relationship Id="rId58" Type="http://schemas.openxmlformats.org/officeDocument/2006/relationships/image" Target="media/image17.png"/><Relationship Id="rId57" Type="http://schemas.openxmlformats.org/officeDocument/2006/relationships/footer" Target="footer22.xml"/><Relationship Id="rId56" Type="http://schemas.openxmlformats.org/officeDocument/2006/relationships/image" Target="media/image16.png"/><Relationship Id="rId55" Type="http://schemas.openxmlformats.org/officeDocument/2006/relationships/footer" Target="footer21.xml"/><Relationship Id="rId54" Type="http://schemas.openxmlformats.org/officeDocument/2006/relationships/image" Target="media/image15.png"/><Relationship Id="rId53" Type="http://schemas.openxmlformats.org/officeDocument/2006/relationships/footer" Target="footer20.xml"/><Relationship Id="rId52" Type="http://schemas.openxmlformats.org/officeDocument/2006/relationships/header" Target="header19.xml"/><Relationship Id="rId51" Type="http://schemas.openxmlformats.org/officeDocument/2006/relationships/image" Target="media/image14.png"/><Relationship Id="rId50" Type="http://schemas.openxmlformats.org/officeDocument/2006/relationships/footer" Target="footer19.xml"/><Relationship Id="rId5" Type="http://schemas.openxmlformats.org/officeDocument/2006/relationships/image" Target="media/image4.png"/><Relationship Id="rId49" Type="http://schemas.openxmlformats.org/officeDocument/2006/relationships/header" Target="header18.xml"/><Relationship Id="rId48" Type="http://schemas.openxmlformats.org/officeDocument/2006/relationships/image" Target="media/image13.png"/><Relationship Id="rId47" Type="http://schemas.openxmlformats.org/officeDocument/2006/relationships/footer" Target="footer18.xml"/><Relationship Id="rId46" Type="http://schemas.openxmlformats.org/officeDocument/2006/relationships/image" Target="media/image12.png"/><Relationship Id="rId45" Type="http://schemas.openxmlformats.org/officeDocument/2006/relationships/footer" Target="footer17.xml"/><Relationship Id="rId44" Type="http://schemas.openxmlformats.org/officeDocument/2006/relationships/header" Target="header17.xml"/><Relationship Id="rId43" Type="http://schemas.openxmlformats.org/officeDocument/2006/relationships/footer" Target="footer16.xml"/><Relationship Id="rId42" Type="http://schemas.openxmlformats.org/officeDocument/2006/relationships/image" Target="media/image11.jpeg"/><Relationship Id="rId41" Type="http://schemas.openxmlformats.org/officeDocument/2006/relationships/footer" Target="footer15.xml"/><Relationship Id="rId40" Type="http://schemas.openxmlformats.org/officeDocument/2006/relationships/header" Target="header16.xml"/><Relationship Id="rId4" Type="http://schemas.openxmlformats.org/officeDocument/2006/relationships/header" Target="header2.xml"/><Relationship Id="rId39" Type="http://schemas.openxmlformats.org/officeDocument/2006/relationships/image" Target="media/image10.jpeg"/><Relationship Id="rId38" Type="http://schemas.openxmlformats.org/officeDocument/2006/relationships/image" Target="media/image9.jpeg"/><Relationship Id="rId37" Type="http://schemas.openxmlformats.org/officeDocument/2006/relationships/footer" Target="footer14.xml"/><Relationship Id="rId36" Type="http://schemas.openxmlformats.org/officeDocument/2006/relationships/header" Target="header15.xml"/><Relationship Id="rId35" Type="http://schemas.openxmlformats.org/officeDocument/2006/relationships/image" Target="media/image8.jpeg"/><Relationship Id="rId34" Type="http://schemas.openxmlformats.org/officeDocument/2006/relationships/footer" Target="footer13.xml"/><Relationship Id="rId33" Type="http://schemas.openxmlformats.org/officeDocument/2006/relationships/header" Target="header14.xml"/><Relationship Id="rId32" Type="http://schemas.openxmlformats.org/officeDocument/2006/relationships/footer" Target="footer12.xml"/><Relationship Id="rId31" Type="http://schemas.openxmlformats.org/officeDocument/2006/relationships/header" Target="header13.xml"/><Relationship Id="rId30" Type="http://schemas.openxmlformats.org/officeDocument/2006/relationships/image" Target="media/image7.jpeg"/><Relationship Id="rId3" Type="http://schemas.openxmlformats.org/officeDocument/2006/relationships/image" Target="media/image3.jpeg"/><Relationship Id="rId29" Type="http://schemas.openxmlformats.org/officeDocument/2006/relationships/image" Target="media/image6.png"/><Relationship Id="rId28" Type="http://schemas.openxmlformats.org/officeDocument/2006/relationships/footer" Target="footer11.xml"/><Relationship Id="rId27" Type="http://schemas.openxmlformats.org/officeDocument/2006/relationships/header" Target="header12.xml"/><Relationship Id="rId26" Type="http://schemas.openxmlformats.org/officeDocument/2006/relationships/footer" Target="footer10.xml"/><Relationship Id="rId25" Type="http://schemas.openxmlformats.org/officeDocument/2006/relationships/footer" Target="footer9.xml"/><Relationship Id="rId24" Type="http://schemas.openxmlformats.org/officeDocument/2006/relationships/header" Target="header11.xml"/><Relationship Id="rId23" Type="http://schemas.openxmlformats.org/officeDocument/2006/relationships/footer" Target="footer8.xml"/><Relationship Id="rId22" Type="http://schemas.openxmlformats.org/officeDocument/2006/relationships/footer" Target="footer7.xml"/><Relationship Id="rId21" Type="http://schemas.openxmlformats.org/officeDocument/2006/relationships/header" Target="header10.xml"/><Relationship Id="rId20" Type="http://schemas.openxmlformats.org/officeDocument/2006/relationships/footer" Target="footer6.xml"/><Relationship Id="rId2" Type="http://schemas.openxmlformats.org/officeDocument/2006/relationships/image" Target="media/image2.png"/><Relationship Id="rId19" Type="http://schemas.openxmlformats.org/officeDocument/2006/relationships/header" Target="header9.xml"/><Relationship Id="rId18" Type="http://schemas.openxmlformats.org/officeDocument/2006/relationships/footer" Target="footer5.xml"/><Relationship Id="rId17" Type="http://schemas.openxmlformats.org/officeDocument/2006/relationships/header" Target="header8.xml"/><Relationship Id="rId16" Type="http://schemas.openxmlformats.org/officeDocument/2006/relationships/footer" Target="footer4.xml"/><Relationship Id="rId15" Type="http://schemas.openxmlformats.org/officeDocument/2006/relationships/header" Target="header7.xml"/><Relationship Id="rId14" Type="http://schemas.openxmlformats.org/officeDocument/2006/relationships/footer" Target="footer3.xml"/><Relationship Id="rId13" Type="http://schemas.openxmlformats.org/officeDocument/2006/relationships/header" Target="header6.xml"/><Relationship Id="rId128" Type="http://schemas.openxmlformats.org/officeDocument/2006/relationships/fontTable" Target="fontTable.xml"/><Relationship Id="rId127" Type="http://schemas.openxmlformats.org/officeDocument/2006/relationships/styles" Target="styles.xml"/><Relationship Id="rId126" Type="http://schemas.openxmlformats.org/officeDocument/2006/relationships/settings" Target="settings.xml"/><Relationship Id="rId125" Type="http://schemas.openxmlformats.org/officeDocument/2006/relationships/footer" Target="footer65.xml"/><Relationship Id="rId124" Type="http://schemas.openxmlformats.org/officeDocument/2006/relationships/header" Target="header34.xml"/><Relationship Id="rId123" Type="http://schemas.openxmlformats.org/officeDocument/2006/relationships/footer" Target="footer64.xml"/><Relationship Id="rId122" Type="http://schemas.openxmlformats.org/officeDocument/2006/relationships/footer" Target="footer63.xml"/><Relationship Id="rId121" Type="http://schemas.openxmlformats.org/officeDocument/2006/relationships/header" Target="header33.xml"/><Relationship Id="rId120" Type="http://schemas.openxmlformats.org/officeDocument/2006/relationships/footer" Target="footer62.xml"/><Relationship Id="rId12" Type="http://schemas.openxmlformats.org/officeDocument/2006/relationships/footer" Target="footer2.xml"/><Relationship Id="rId119" Type="http://schemas.openxmlformats.org/officeDocument/2006/relationships/header" Target="header32.xml"/><Relationship Id="rId118" Type="http://schemas.openxmlformats.org/officeDocument/2006/relationships/footer" Target="footer61.xml"/><Relationship Id="rId117" Type="http://schemas.openxmlformats.org/officeDocument/2006/relationships/footer" Target="footer60.xml"/><Relationship Id="rId116" Type="http://schemas.openxmlformats.org/officeDocument/2006/relationships/header" Target="header31.xml"/><Relationship Id="rId115" Type="http://schemas.openxmlformats.org/officeDocument/2006/relationships/footer" Target="footer59.xml"/><Relationship Id="rId114" Type="http://schemas.openxmlformats.org/officeDocument/2006/relationships/footer" Target="footer58.xml"/><Relationship Id="rId113" Type="http://schemas.openxmlformats.org/officeDocument/2006/relationships/footer" Target="footer57.xml"/><Relationship Id="rId112" Type="http://schemas.openxmlformats.org/officeDocument/2006/relationships/footer" Target="footer56.xml"/><Relationship Id="rId111" Type="http://schemas.openxmlformats.org/officeDocument/2006/relationships/footer" Target="footer55.xml"/><Relationship Id="rId110" Type="http://schemas.openxmlformats.org/officeDocument/2006/relationships/footer" Target="footer54.xml"/><Relationship Id="rId11" Type="http://schemas.openxmlformats.org/officeDocument/2006/relationships/header" Target="header5.xml"/><Relationship Id="rId109" Type="http://schemas.openxmlformats.org/officeDocument/2006/relationships/footer" Target="footer53.xml"/><Relationship Id="rId108" Type="http://schemas.openxmlformats.org/officeDocument/2006/relationships/footer" Target="footer52.xml"/><Relationship Id="rId107" Type="http://schemas.openxmlformats.org/officeDocument/2006/relationships/image" Target="media/image26.png"/><Relationship Id="rId106" Type="http://schemas.openxmlformats.org/officeDocument/2006/relationships/footer" Target="footer51.xml"/><Relationship Id="rId105" Type="http://schemas.openxmlformats.org/officeDocument/2006/relationships/footer" Target="footer50.xml"/><Relationship Id="rId104" Type="http://schemas.openxmlformats.org/officeDocument/2006/relationships/header" Target="header30.xml"/><Relationship Id="rId103" Type="http://schemas.openxmlformats.org/officeDocument/2006/relationships/footer" Target="footer49.xml"/><Relationship Id="rId102" Type="http://schemas.openxmlformats.org/officeDocument/2006/relationships/footer" Target="footer48.xml"/><Relationship Id="rId101" Type="http://schemas.openxmlformats.org/officeDocument/2006/relationships/footer" Target="footer47.xml"/><Relationship Id="rId100" Type="http://schemas.openxmlformats.org/officeDocument/2006/relationships/header" Target="header29.xml"/><Relationship Id="rId10" Type="http://schemas.openxmlformats.org/officeDocument/2006/relationships/hyperlink" Target="https://baike.baidu.com/item/%E4%B8%96%E7%95%8C%E8%87%AA%E7%84%B6%E8%B5%84%E6%BA%90%E4%BF%9D%E6%8A%A4%E5%A4%A7%E7%BA%B2/1981230?fromModule=lemma_inlink" TargetMode="Externa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2024-09-26T08:05:11Z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2024-09-26T16:06:26</vt:filetime>
  </property>
</Properties>
</file>