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CDBB3" w14:textId="6536F5D9" w:rsidR="006377D5" w:rsidRPr="004A2B98" w:rsidRDefault="00525CC4">
      <w:pPr>
        <w:rPr>
          <w:sz w:val="32"/>
          <w:szCs w:val="32"/>
        </w:rPr>
      </w:pPr>
      <w:r w:rsidRPr="004A2B98">
        <w:rPr>
          <w:sz w:val="32"/>
          <w:szCs w:val="32"/>
        </w:rPr>
        <w:t>MARGE</w:t>
      </w:r>
      <w:r w:rsidR="004A2B98" w:rsidRPr="004A2B98">
        <w:rPr>
          <w:sz w:val="32"/>
          <w:szCs w:val="32"/>
        </w:rPr>
        <w:t xml:space="preserve"> Y SELMA VARIANT EFFECT PREDICTOR </w:t>
      </w:r>
    </w:p>
    <w:p w14:paraId="4A0E705D" w14:textId="77777777" w:rsidR="00525CC4" w:rsidRDefault="00525CC4"/>
    <w:p w14:paraId="2D6DD5B8" w14:textId="10AF53A6" w:rsidR="004A2B98" w:rsidRPr="004A2B98" w:rsidRDefault="004A2B98" w:rsidP="004A2B98">
      <w:pPr>
        <w:rPr>
          <w:b/>
          <w:bCs/>
        </w:rPr>
      </w:pPr>
      <w:r w:rsidRPr="004A2B98">
        <w:rPr>
          <w:b/>
          <w:bCs/>
        </w:rPr>
        <w:t>GENES HUMA ATLAS</w:t>
      </w:r>
      <w:r>
        <w:rPr>
          <w:b/>
          <w:bCs/>
        </w:rPr>
        <w:t xml:space="preserve"> &amp; DATABASES</w:t>
      </w:r>
    </w:p>
    <w:p w14:paraId="0A9C68D1" w14:textId="77777777" w:rsidR="004A2B98" w:rsidRDefault="004A2B98"/>
    <w:p w14:paraId="2B8391E5" w14:textId="076C1541" w:rsidR="00525CC4" w:rsidRDefault="00525CC4">
      <w:r>
        <w:fldChar w:fldCharType="begin"/>
      </w:r>
      <w:r>
        <w:instrText>HYPERLINK "</w:instrText>
      </w:r>
      <w:r w:rsidRPr="00525CC4">
        <w:instrText>https://www.proteinatlas.org/ENSG00000116678-LEPR/summary/gene</w:instrText>
      </w:r>
      <w:r>
        <w:instrText>"</w:instrText>
      </w:r>
      <w:r>
        <w:fldChar w:fldCharType="separate"/>
      </w:r>
      <w:r w:rsidRPr="009E4177">
        <w:rPr>
          <w:rStyle w:val="Hyperlink"/>
        </w:rPr>
        <w:t>https://www.proteinatlas.org/ENSG00000116678-LEPR/summary/gene</w:t>
      </w:r>
      <w:r>
        <w:fldChar w:fldCharType="end"/>
      </w:r>
    </w:p>
    <w:p w14:paraId="77D47BD0" w14:textId="6E9FB575" w:rsidR="00525CC4" w:rsidRDefault="00525CC4">
      <w:hyperlink r:id="rId4" w:history="1">
        <w:r w:rsidRPr="009E4177">
          <w:rPr>
            <w:rStyle w:val="Hyperlink"/>
          </w:rPr>
          <w:t>https://www.proteinatlas.org/ENSG00000184634-MED12</w:t>
        </w:r>
      </w:hyperlink>
    </w:p>
    <w:p w14:paraId="3D211483" w14:textId="6B93BFF1" w:rsidR="004A2B98" w:rsidRDefault="004A2B98">
      <w:r w:rsidRPr="004A2B98">
        <w:t>https://www.ncbi.nlm.nih.gov</w:t>
      </w:r>
    </w:p>
    <w:p w14:paraId="177E7DD7" w14:textId="77777777" w:rsidR="004A2B98" w:rsidRDefault="004A2B98"/>
    <w:p w14:paraId="773617B2" w14:textId="0D5EF1F6" w:rsidR="004A2B98" w:rsidRDefault="004A2B98">
      <w:r>
        <w:t>UNIPRO</w:t>
      </w:r>
    </w:p>
    <w:p w14:paraId="41931046" w14:textId="0971B6AC" w:rsidR="004A2B98" w:rsidRDefault="004A2B98">
      <w:hyperlink r:id="rId5" w:history="1">
        <w:r w:rsidRPr="009E4177">
          <w:rPr>
            <w:rStyle w:val="Hyperlink"/>
          </w:rPr>
          <w:t>https://www.uniprot.org/uniprotkb/Q93074/genomic-coordinates</w:t>
        </w:r>
      </w:hyperlink>
    </w:p>
    <w:p w14:paraId="40BDCC69" w14:textId="73E20595" w:rsidR="004A2B98" w:rsidRDefault="004A2B98">
      <w:hyperlink r:id="rId6" w:history="1">
        <w:r w:rsidRPr="009E4177">
          <w:rPr>
            <w:rStyle w:val="Hyperlink"/>
          </w:rPr>
          <w:t>https://www.uniprot.org/uniprotkb/P48357/entry</w:t>
        </w:r>
      </w:hyperlink>
    </w:p>
    <w:p w14:paraId="22431B64" w14:textId="77777777" w:rsidR="004A2B98" w:rsidRDefault="004A2B98"/>
    <w:p w14:paraId="0B298C13" w14:textId="1CD938A7" w:rsidR="004A2B98" w:rsidRDefault="004A2B98">
      <w:hyperlink r:id="rId7" w:history="1">
        <w:r w:rsidRPr="009E4177">
          <w:rPr>
            <w:rStyle w:val="Hyperlink"/>
          </w:rPr>
          <w:t>https://useast.ensembl.org/Homo_sapiens/Tools/VEP/Results?tl=z5AcV2gZykL4uERm-11924609</w:t>
        </w:r>
      </w:hyperlink>
    </w:p>
    <w:p w14:paraId="22F3441A" w14:textId="7DB7757E" w:rsidR="004A2B98" w:rsidRDefault="004A2B98">
      <w:hyperlink r:id="rId8" w:history="1">
        <w:r w:rsidRPr="009E4177">
          <w:rPr>
            <w:rStyle w:val="Hyperlink"/>
          </w:rPr>
          <w:t>https://useast.ensembl.org/Multi/Tools/VEP?db=core</w:t>
        </w:r>
      </w:hyperlink>
    </w:p>
    <w:p w14:paraId="21D34DBB" w14:textId="04E121AB" w:rsidR="004A2B98" w:rsidRDefault="004A2B98">
      <w:hyperlink r:id="rId9" w:history="1">
        <w:r w:rsidRPr="009E4177">
          <w:rPr>
            <w:rStyle w:val="Hyperlink"/>
          </w:rPr>
          <w:t>https://useast.ensembl.org/Homo_sapiens/Tools/VEP/Results?tl=rBi0VpQByasxfxiD-11930538</w:t>
        </w:r>
      </w:hyperlink>
    </w:p>
    <w:p w14:paraId="79D2C0BF" w14:textId="6B7ADB8A" w:rsidR="004A2B98" w:rsidRDefault="004A2B98">
      <w:r w:rsidRPr="001D26EE">
        <mc:AlternateContent>
          <mc:Choice Requires="wps">
            <w:drawing>
              <wp:anchor distT="0" distB="0" distL="114300" distR="114300" simplePos="0" relativeHeight="251659264" behindDoc="0" locked="0" layoutInCell="1" allowOverlap="1" wp14:anchorId="75381C0E" wp14:editId="3BE8BC28">
                <wp:simplePos x="0" y="0"/>
                <wp:positionH relativeFrom="column">
                  <wp:posOffset>2996119</wp:posOffset>
                </wp:positionH>
                <wp:positionV relativeFrom="paragraph">
                  <wp:posOffset>186055</wp:posOffset>
                </wp:positionV>
                <wp:extent cx="2796989" cy="3496235"/>
                <wp:effectExtent l="0" t="0" r="0" b="0"/>
                <wp:wrapNone/>
                <wp:docPr id="31" name="Text 23"/>
                <wp:cNvGraphicFramePr/>
                <a:graphic xmlns:a="http://schemas.openxmlformats.org/drawingml/2006/main">
                  <a:graphicData uri="http://schemas.microsoft.com/office/word/2010/wordprocessingShape">
                    <wps:wsp>
                      <wps:cNvSpPr/>
                      <wps:spPr>
                        <a:xfrm>
                          <a:off x="0" y="0"/>
                          <a:ext cx="2796989" cy="3496235"/>
                        </a:xfrm>
                        <a:prstGeom prst="rect">
                          <a:avLst/>
                        </a:prstGeom>
                        <a:noFill/>
                        <a:ln/>
                      </wps:spPr>
                      <wps:txbx>
                        <w:txbxContent>
                          <w:p w14:paraId="4C6169C3" w14:textId="77777777" w:rsidR="004A2B98" w:rsidRDefault="004A2B98" w:rsidP="004A2B98">
                            <w:pPr>
                              <w:rPr>
                                <w:rFonts w:ascii="Calibri" w:eastAsia="Calibri" w:hAnsi="Calibri" w:cs="Calibri"/>
                                <w:b/>
                                <w:bCs/>
                                <w:color w:val="EF4444"/>
                                <w:kern w:val="24"/>
                                <w:sz w:val="19"/>
                                <w:szCs w:val="19"/>
                              </w:rPr>
                            </w:pPr>
                            <w:r>
                              <w:rPr>
                                <w:rFonts w:ascii="Calibri" w:eastAsia="Calibri" w:hAnsi="Calibri" w:cs="Calibri"/>
                                <w:b/>
                                <w:bCs/>
                                <w:color w:val="EF4444"/>
                                <w:kern w:val="24"/>
                                <w:sz w:val="19"/>
                                <w:szCs w:val="19"/>
                              </w:rPr>
                              <w:t xml:space="preserve">LEPR </w:t>
                            </w:r>
                            <w:proofErr w:type="gramStart"/>
                            <w:r>
                              <w:rPr>
                                <w:rFonts w:ascii="Calibri" w:eastAsia="Calibri" w:hAnsi="Calibri" w:cs="Calibri"/>
                                <w:b/>
                                <w:bCs/>
                                <w:color w:val="EF4444"/>
                                <w:kern w:val="24"/>
                                <w:sz w:val="19"/>
                                <w:szCs w:val="19"/>
                              </w:rPr>
                              <w:t>Frameshift  (</w:t>
                            </w:r>
                            <w:proofErr w:type="gramEnd"/>
                            <w:r>
                              <w:rPr>
                                <w:rFonts w:ascii="Calibri" w:eastAsia="Calibri" w:hAnsi="Calibri" w:cs="Calibri"/>
                                <w:b/>
                                <w:bCs/>
                                <w:color w:val="EF4444"/>
                                <w:kern w:val="24"/>
                                <w:sz w:val="19"/>
                                <w:szCs w:val="19"/>
                              </w:rPr>
                              <w:t>HIGH)</w:t>
                            </w:r>
                            <w:r>
                              <w:rPr>
                                <w:rFonts w:ascii="Calibri" w:eastAsia="Calibri" w:hAnsi="Calibri" w:cs="Calibri"/>
                                <w:b/>
                                <w:bCs/>
                                <w:color w:val="EF4444"/>
                                <w:kern w:val="24"/>
                                <w:sz w:val="19"/>
                                <w:szCs w:val="19"/>
                              </w:rPr>
                              <w:br/>
                            </w:r>
                            <w:r>
                              <w:rPr>
                                <w:rFonts w:ascii="Calibri" w:eastAsia="Calibri" w:hAnsi="Calibri" w:cs="Calibri"/>
                                <w:b/>
                                <w:bCs/>
                                <w:color w:val="334155"/>
                                <w:kern w:val="24"/>
                                <w:sz w:val="16"/>
                                <w:szCs w:val="16"/>
                              </w:rPr>
                              <w:t>The LEPR c.1790del frameshift (</w:t>
                            </w:r>
                            <w:proofErr w:type="gramStart"/>
                            <w:r>
                              <w:rPr>
                                <w:rFonts w:ascii="Calibri" w:eastAsia="Calibri" w:hAnsi="Calibri" w:cs="Calibri"/>
                                <w:b/>
                                <w:bCs/>
                                <w:color w:val="334155"/>
                                <w:kern w:val="24"/>
                                <w:sz w:val="16"/>
                                <w:szCs w:val="16"/>
                              </w:rPr>
                              <w:t>p.Ser</w:t>
                            </w:r>
                            <w:proofErr w:type="gramEnd"/>
                            <w:r>
                              <w:rPr>
                                <w:rFonts w:ascii="Calibri" w:eastAsia="Calibri" w:hAnsi="Calibri" w:cs="Calibri"/>
                                <w:b/>
                                <w:bCs/>
                                <w:color w:val="334155"/>
                                <w:kern w:val="24"/>
                                <w:sz w:val="16"/>
                                <w:szCs w:val="16"/>
                              </w:rPr>
                              <w:t>597IlefsTer20) disrupts the intracellular domain of the Leptin Receptor, introducing a premature stop codon after residue 597. Confirmed on the MANE Select transcript (NM_002303.6), this COSMIC somatic variant is consistent with oncogenic loss-of-function. HIGH VEP impact across 13 protein-coding transcripts underscores clinical relevance.</w:t>
                            </w:r>
                            <w:r>
                              <w:rPr>
                                <w:rFonts w:ascii="Calibri" w:eastAsia="Calibri" w:hAnsi="Calibri" w:cs="Calibri"/>
                                <w:b/>
                                <w:bCs/>
                                <w:color w:val="334155"/>
                                <w:kern w:val="24"/>
                                <w:sz w:val="16"/>
                                <w:szCs w:val="16"/>
                              </w:rPr>
                              <w:br/>
                            </w:r>
                            <w:r>
                              <w:rPr>
                                <w:rFonts w:ascii="Calibri" w:eastAsia="Calibri" w:hAnsi="Calibri" w:cs="Calibri"/>
                                <w:b/>
                                <w:bCs/>
                                <w:color w:val="334155"/>
                                <w:kern w:val="24"/>
                                <w:sz w:val="16"/>
                                <w:szCs w:val="16"/>
                              </w:rPr>
                              <w:br/>
                            </w:r>
                            <w:r>
                              <w:rPr>
                                <w:rFonts w:ascii="Calibri" w:eastAsia="Calibri" w:hAnsi="Calibri" w:cs="Calibri"/>
                                <w:b/>
                                <w:bCs/>
                                <w:color w:val="F59E0B"/>
                                <w:kern w:val="24"/>
                                <w:sz w:val="19"/>
                                <w:szCs w:val="19"/>
                              </w:rPr>
                              <w:t xml:space="preserve">MED12 </w:t>
                            </w:r>
                            <w:proofErr w:type="gramStart"/>
                            <w:r>
                              <w:rPr>
                                <w:rFonts w:ascii="Calibri" w:eastAsia="Calibri" w:hAnsi="Calibri" w:cs="Calibri"/>
                                <w:b/>
                                <w:bCs/>
                                <w:color w:val="F59E0B"/>
                                <w:kern w:val="24"/>
                                <w:sz w:val="19"/>
                                <w:szCs w:val="19"/>
                              </w:rPr>
                              <w:t>Missense  (</w:t>
                            </w:r>
                            <w:proofErr w:type="gramEnd"/>
                            <w:r>
                              <w:rPr>
                                <w:rFonts w:ascii="Calibri" w:eastAsia="Calibri" w:hAnsi="Calibri" w:cs="Calibri"/>
                                <w:b/>
                                <w:bCs/>
                                <w:color w:val="F59E0B"/>
                                <w:kern w:val="24"/>
                                <w:sz w:val="19"/>
                                <w:szCs w:val="19"/>
                              </w:rPr>
                              <w:t>MODERATE)</w:t>
                            </w:r>
                            <w:r>
                              <w:rPr>
                                <w:rFonts w:ascii="Calibri" w:eastAsia="Calibri" w:hAnsi="Calibri" w:cs="Calibri"/>
                                <w:b/>
                                <w:bCs/>
                                <w:color w:val="F59E0B"/>
                                <w:kern w:val="24"/>
                                <w:sz w:val="19"/>
                                <w:szCs w:val="19"/>
                              </w:rPr>
                              <w:br/>
                            </w:r>
                            <w:r>
                              <w:rPr>
                                <w:rFonts w:ascii="Calibri" w:eastAsia="Calibri" w:hAnsi="Calibri" w:cs="Calibri"/>
                                <w:b/>
                                <w:bCs/>
                                <w:color w:val="334155"/>
                                <w:kern w:val="24"/>
                                <w:sz w:val="16"/>
                                <w:szCs w:val="16"/>
                              </w:rPr>
                              <w:t xml:space="preserve">MED12 </w:t>
                            </w:r>
                            <w:proofErr w:type="gramStart"/>
                            <w:r>
                              <w:rPr>
                                <w:rFonts w:ascii="Calibri" w:eastAsia="Calibri" w:hAnsi="Calibri" w:cs="Calibri"/>
                                <w:b/>
                                <w:bCs/>
                                <w:color w:val="334155"/>
                                <w:kern w:val="24"/>
                                <w:sz w:val="16"/>
                                <w:szCs w:val="16"/>
                              </w:rPr>
                              <w:t>p.Ala</w:t>
                            </w:r>
                            <w:proofErr w:type="gramEnd"/>
                            <w:r>
                              <w:rPr>
                                <w:rFonts w:ascii="Calibri" w:eastAsia="Calibri" w:hAnsi="Calibri" w:cs="Calibri"/>
                                <w:b/>
                                <w:bCs/>
                                <w:color w:val="334155"/>
                                <w:kern w:val="24"/>
                                <w:sz w:val="16"/>
                                <w:szCs w:val="16"/>
                              </w:rPr>
                              <w:t xml:space="preserve">210Val (c.629C&gt;T, exon 5) is heterozygous in this female individual. SIFT predicts deleterious (low confidence, 0.02); PolyPhen-2 classifies as predominantly benign. ClinVar VUS </w:t>
                            </w:r>
                            <w:proofErr w:type="gramStart"/>
                            <w:r>
                              <w:rPr>
                                <w:rFonts w:ascii="Calibri" w:eastAsia="Calibri" w:hAnsi="Calibri" w:cs="Calibri"/>
                                <w:b/>
                                <w:bCs/>
                                <w:color w:val="334155"/>
                                <w:kern w:val="24"/>
                                <w:sz w:val="16"/>
                                <w:szCs w:val="16"/>
                              </w:rPr>
                              <w:t>status</w:t>
                            </w:r>
                            <w:proofErr w:type="gramEnd"/>
                            <w:r>
                              <w:rPr>
                                <w:rFonts w:ascii="Calibri" w:eastAsia="Calibri" w:hAnsi="Calibri" w:cs="Calibri"/>
                                <w:b/>
                                <w:bCs/>
                                <w:color w:val="334155"/>
                                <w:kern w:val="24"/>
                                <w:sz w:val="16"/>
                                <w:szCs w:val="16"/>
                              </w:rPr>
                              <w:t xml:space="preserve"> and the known role of MED12 mutations in uterine fibroids warrant monitoring.</w:t>
                            </w:r>
                            <w:r>
                              <w:rPr>
                                <w:rFonts w:ascii="Calibri" w:eastAsia="Calibri" w:hAnsi="Calibri" w:cs="Calibri"/>
                                <w:b/>
                                <w:bCs/>
                                <w:color w:val="334155"/>
                                <w:kern w:val="24"/>
                                <w:sz w:val="16"/>
                                <w:szCs w:val="16"/>
                              </w:rPr>
                              <w:br/>
                            </w:r>
                            <w:r>
                              <w:rPr>
                                <w:rFonts w:ascii="Calibri" w:eastAsia="Calibri" w:hAnsi="Calibri" w:cs="Calibri"/>
                                <w:b/>
                                <w:bCs/>
                                <w:color w:val="334155"/>
                                <w:kern w:val="24"/>
                                <w:sz w:val="16"/>
                                <w:szCs w:val="16"/>
                              </w:rPr>
                              <w:br/>
                            </w:r>
                            <w:r>
                              <w:rPr>
                                <w:rFonts w:ascii="Calibri" w:eastAsia="Calibri" w:hAnsi="Calibri" w:cs="Calibri"/>
                                <w:b/>
                                <w:bCs/>
                                <w:color w:val="1A2744"/>
                                <w:kern w:val="24"/>
                                <w:sz w:val="19"/>
                                <w:szCs w:val="19"/>
                              </w:rPr>
                              <w:t>Zygosity — Female Correction</w:t>
                            </w:r>
                            <w:r>
                              <w:rPr>
                                <w:rFonts w:ascii="Calibri" w:eastAsia="Calibri" w:hAnsi="Calibri" w:cs="Calibri"/>
                                <w:b/>
                                <w:bCs/>
                                <w:color w:val="1A2744"/>
                                <w:kern w:val="24"/>
                                <w:sz w:val="19"/>
                                <w:szCs w:val="19"/>
                              </w:rPr>
                              <w:br/>
                            </w:r>
                            <w:r>
                              <w:rPr>
                                <w:rFonts w:ascii="Calibri" w:eastAsia="Calibri" w:hAnsi="Calibri" w:cs="Calibri"/>
                                <w:b/>
                                <w:bCs/>
                                <w:color w:val="334155"/>
                                <w:kern w:val="24"/>
                                <w:sz w:val="16"/>
                                <w:szCs w:val="16"/>
                              </w:rPr>
                              <w:t xml:space="preserve">Both variants </w:t>
                            </w:r>
                            <w:proofErr w:type="gramStart"/>
                            <w:r>
                              <w:rPr>
                                <w:rFonts w:ascii="Calibri" w:eastAsia="Calibri" w:hAnsi="Calibri" w:cs="Calibri"/>
                                <w:b/>
                                <w:bCs/>
                                <w:color w:val="334155"/>
                                <w:kern w:val="24"/>
                                <w:sz w:val="16"/>
                                <w:szCs w:val="16"/>
                              </w:rPr>
                              <w:t>show</w:t>
                            </w:r>
                            <w:proofErr w:type="gramEnd"/>
                            <w:r>
                              <w:rPr>
                                <w:rFonts w:ascii="Calibri" w:eastAsia="Calibri" w:hAnsi="Calibri" w:cs="Calibri"/>
                                <w:b/>
                                <w:bCs/>
                                <w:color w:val="334155"/>
                                <w:kern w:val="24"/>
                                <w:sz w:val="16"/>
                                <w:szCs w:val="16"/>
                              </w:rPr>
                              <w:t xml:space="preserve"> VAF ~48–51%, consistent with heterozygosity in an XX female. MED12 is on chrX — in females with two X chromosomes, this is heterozygous (not hemizygous as it would be in males).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75381C0E" id="Text 23" o:spid="_x0000_s1026" style="position:absolute;margin-left:235.9pt;margin-top:14.65pt;width:220.25pt;height:27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" filled="f" stroked="f">
                <v:textbox inset="0,0,0,0">
                  <w:txbxContent>
                    <w:p w14:paraId="4C6169C3" w14:textId="77777777" w:rsidR="004A2B98" w:rsidRDefault="004A2B98" w:rsidP="004A2B98">
                      <w:pPr>
                        <w:rPr>
                          <w:rFonts w:ascii="Calibri" w:eastAsia="Calibri" w:hAnsi="Calibri" w:cs="Calibri"/>
                          <w:b/>
                          <w:bCs/>
                          <w:color w:val="EF4444"/>
                          <w:kern w:val="24"/>
                          <w:sz w:val="19"/>
                          <w:szCs w:val="19"/>
                        </w:rPr>
                      </w:pPr>
                      <w:r>
                        <w:rPr>
                          <w:rFonts w:ascii="Calibri" w:eastAsia="Calibri" w:hAnsi="Calibri" w:cs="Calibri"/>
                          <w:b/>
                          <w:bCs/>
                          <w:color w:val="EF4444"/>
                          <w:kern w:val="24"/>
                          <w:sz w:val="19"/>
                          <w:szCs w:val="19"/>
                        </w:rPr>
                        <w:t xml:space="preserve">LEPR </w:t>
                      </w:r>
                      <w:proofErr w:type="gramStart"/>
                      <w:r>
                        <w:rPr>
                          <w:rFonts w:ascii="Calibri" w:eastAsia="Calibri" w:hAnsi="Calibri" w:cs="Calibri"/>
                          <w:b/>
                          <w:bCs/>
                          <w:color w:val="EF4444"/>
                          <w:kern w:val="24"/>
                          <w:sz w:val="19"/>
                          <w:szCs w:val="19"/>
                        </w:rPr>
                        <w:t>Frameshift  (</w:t>
                      </w:r>
                      <w:proofErr w:type="gramEnd"/>
                      <w:r>
                        <w:rPr>
                          <w:rFonts w:ascii="Calibri" w:eastAsia="Calibri" w:hAnsi="Calibri" w:cs="Calibri"/>
                          <w:b/>
                          <w:bCs/>
                          <w:color w:val="EF4444"/>
                          <w:kern w:val="24"/>
                          <w:sz w:val="19"/>
                          <w:szCs w:val="19"/>
                        </w:rPr>
                        <w:t>HIGH)</w:t>
                      </w:r>
                      <w:r>
                        <w:rPr>
                          <w:rFonts w:ascii="Calibri" w:eastAsia="Calibri" w:hAnsi="Calibri" w:cs="Calibri"/>
                          <w:b/>
                          <w:bCs/>
                          <w:color w:val="EF4444"/>
                          <w:kern w:val="24"/>
                          <w:sz w:val="19"/>
                          <w:szCs w:val="19"/>
                        </w:rPr>
                        <w:br/>
                      </w:r>
                      <w:r>
                        <w:rPr>
                          <w:rFonts w:ascii="Calibri" w:eastAsia="Calibri" w:hAnsi="Calibri" w:cs="Calibri"/>
                          <w:b/>
                          <w:bCs/>
                          <w:color w:val="334155"/>
                          <w:kern w:val="24"/>
                          <w:sz w:val="16"/>
                          <w:szCs w:val="16"/>
                        </w:rPr>
                        <w:t>The LEPR c.1790del frameshift (</w:t>
                      </w:r>
                      <w:proofErr w:type="gramStart"/>
                      <w:r>
                        <w:rPr>
                          <w:rFonts w:ascii="Calibri" w:eastAsia="Calibri" w:hAnsi="Calibri" w:cs="Calibri"/>
                          <w:b/>
                          <w:bCs/>
                          <w:color w:val="334155"/>
                          <w:kern w:val="24"/>
                          <w:sz w:val="16"/>
                          <w:szCs w:val="16"/>
                        </w:rPr>
                        <w:t>p.Ser</w:t>
                      </w:r>
                      <w:proofErr w:type="gramEnd"/>
                      <w:r>
                        <w:rPr>
                          <w:rFonts w:ascii="Calibri" w:eastAsia="Calibri" w:hAnsi="Calibri" w:cs="Calibri"/>
                          <w:b/>
                          <w:bCs/>
                          <w:color w:val="334155"/>
                          <w:kern w:val="24"/>
                          <w:sz w:val="16"/>
                          <w:szCs w:val="16"/>
                        </w:rPr>
                        <w:t>597IlefsTer20) disrupts the intracellular domain of the Leptin Receptor, introducing a premature stop codon after residue 597. Confirmed on the MANE Select transcript (NM_002303.6), this COSMIC somatic variant is consistent with oncogenic loss-of-function. HIGH VEP impact across 13 protein-coding transcripts underscores clinical relevance.</w:t>
                      </w:r>
                      <w:r>
                        <w:rPr>
                          <w:rFonts w:ascii="Calibri" w:eastAsia="Calibri" w:hAnsi="Calibri" w:cs="Calibri"/>
                          <w:b/>
                          <w:bCs/>
                          <w:color w:val="334155"/>
                          <w:kern w:val="24"/>
                          <w:sz w:val="16"/>
                          <w:szCs w:val="16"/>
                        </w:rPr>
                        <w:br/>
                      </w:r>
                      <w:r>
                        <w:rPr>
                          <w:rFonts w:ascii="Calibri" w:eastAsia="Calibri" w:hAnsi="Calibri" w:cs="Calibri"/>
                          <w:b/>
                          <w:bCs/>
                          <w:color w:val="334155"/>
                          <w:kern w:val="24"/>
                          <w:sz w:val="16"/>
                          <w:szCs w:val="16"/>
                        </w:rPr>
                        <w:br/>
                      </w:r>
                      <w:r>
                        <w:rPr>
                          <w:rFonts w:ascii="Calibri" w:eastAsia="Calibri" w:hAnsi="Calibri" w:cs="Calibri"/>
                          <w:b/>
                          <w:bCs/>
                          <w:color w:val="F59E0B"/>
                          <w:kern w:val="24"/>
                          <w:sz w:val="19"/>
                          <w:szCs w:val="19"/>
                        </w:rPr>
                        <w:t xml:space="preserve">MED12 </w:t>
                      </w:r>
                      <w:proofErr w:type="gramStart"/>
                      <w:r>
                        <w:rPr>
                          <w:rFonts w:ascii="Calibri" w:eastAsia="Calibri" w:hAnsi="Calibri" w:cs="Calibri"/>
                          <w:b/>
                          <w:bCs/>
                          <w:color w:val="F59E0B"/>
                          <w:kern w:val="24"/>
                          <w:sz w:val="19"/>
                          <w:szCs w:val="19"/>
                        </w:rPr>
                        <w:t>Missense  (</w:t>
                      </w:r>
                      <w:proofErr w:type="gramEnd"/>
                      <w:r>
                        <w:rPr>
                          <w:rFonts w:ascii="Calibri" w:eastAsia="Calibri" w:hAnsi="Calibri" w:cs="Calibri"/>
                          <w:b/>
                          <w:bCs/>
                          <w:color w:val="F59E0B"/>
                          <w:kern w:val="24"/>
                          <w:sz w:val="19"/>
                          <w:szCs w:val="19"/>
                        </w:rPr>
                        <w:t>MODERATE)</w:t>
                      </w:r>
                      <w:r>
                        <w:rPr>
                          <w:rFonts w:ascii="Calibri" w:eastAsia="Calibri" w:hAnsi="Calibri" w:cs="Calibri"/>
                          <w:b/>
                          <w:bCs/>
                          <w:color w:val="F59E0B"/>
                          <w:kern w:val="24"/>
                          <w:sz w:val="19"/>
                          <w:szCs w:val="19"/>
                        </w:rPr>
                        <w:br/>
                      </w:r>
                      <w:r>
                        <w:rPr>
                          <w:rFonts w:ascii="Calibri" w:eastAsia="Calibri" w:hAnsi="Calibri" w:cs="Calibri"/>
                          <w:b/>
                          <w:bCs/>
                          <w:color w:val="334155"/>
                          <w:kern w:val="24"/>
                          <w:sz w:val="16"/>
                          <w:szCs w:val="16"/>
                        </w:rPr>
                        <w:t xml:space="preserve">MED12 </w:t>
                      </w:r>
                      <w:proofErr w:type="gramStart"/>
                      <w:r>
                        <w:rPr>
                          <w:rFonts w:ascii="Calibri" w:eastAsia="Calibri" w:hAnsi="Calibri" w:cs="Calibri"/>
                          <w:b/>
                          <w:bCs/>
                          <w:color w:val="334155"/>
                          <w:kern w:val="24"/>
                          <w:sz w:val="16"/>
                          <w:szCs w:val="16"/>
                        </w:rPr>
                        <w:t>p.Ala</w:t>
                      </w:r>
                      <w:proofErr w:type="gramEnd"/>
                      <w:r>
                        <w:rPr>
                          <w:rFonts w:ascii="Calibri" w:eastAsia="Calibri" w:hAnsi="Calibri" w:cs="Calibri"/>
                          <w:b/>
                          <w:bCs/>
                          <w:color w:val="334155"/>
                          <w:kern w:val="24"/>
                          <w:sz w:val="16"/>
                          <w:szCs w:val="16"/>
                        </w:rPr>
                        <w:t xml:space="preserve">210Val (c.629C&gt;T, exon 5) is heterozygous in this female individual. SIFT predicts deleterious (low confidence, 0.02); PolyPhen-2 classifies as predominantly benign. ClinVar VUS </w:t>
                      </w:r>
                      <w:proofErr w:type="gramStart"/>
                      <w:r>
                        <w:rPr>
                          <w:rFonts w:ascii="Calibri" w:eastAsia="Calibri" w:hAnsi="Calibri" w:cs="Calibri"/>
                          <w:b/>
                          <w:bCs/>
                          <w:color w:val="334155"/>
                          <w:kern w:val="24"/>
                          <w:sz w:val="16"/>
                          <w:szCs w:val="16"/>
                        </w:rPr>
                        <w:t>status</w:t>
                      </w:r>
                      <w:proofErr w:type="gramEnd"/>
                      <w:r>
                        <w:rPr>
                          <w:rFonts w:ascii="Calibri" w:eastAsia="Calibri" w:hAnsi="Calibri" w:cs="Calibri"/>
                          <w:b/>
                          <w:bCs/>
                          <w:color w:val="334155"/>
                          <w:kern w:val="24"/>
                          <w:sz w:val="16"/>
                          <w:szCs w:val="16"/>
                        </w:rPr>
                        <w:t xml:space="preserve"> and the known role of MED12 mutations in uterine fibroids warrant monitoring.</w:t>
                      </w:r>
                      <w:r>
                        <w:rPr>
                          <w:rFonts w:ascii="Calibri" w:eastAsia="Calibri" w:hAnsi="Calibri" w:cs="Calibri"/>
                          <w:b/>
                          <w:bCs/>
                          <w:color w:val="334155"/>
                          <w:kern w:val="24"/>
                          <w:sz w:val="16"/>
                          <w:szCs w:val="16"/>
                        </w:rPr>
                        <w:br/>
                      </w:r>
                      <w:r>
                        <w:rPr>
                          <w:rFonts w:ascii="Calibri" w:eastAsia="Calibri" w:hAnsi="Calibri" w:cs="Calibri"/>
                          <w:b/>
                          <w:bCs/>
                          <w:color w:val="334155"/>
                          <w:kern w:val="24"/>
                          <w:sz w:val="16"/>
                          <w:szCs w:val="16"/>
                        </w:rPr>
                        <w:br/>
                      </w:r>
                      <w:r>
                        <w:rPr>
                          <w:rFonts w:ascii="Calibri" w:eastAsia="Calibri" w:hAnsi="Calibri" w:cs="Calibri"/>
                          <w:b/>
                          <w:bCs/>
                          <w:color w:val="1A2744"/>
                          <w:kern w:val="24"/>
                          <w:sz w:val="19"/>
                          <w:szCs w:val="19"/>
                        </w:rPr>
                        <w:t>Zygosity — Female Correction</w:t>
                      </w:r>
                      <w:r>
                        <w:rPr>
                          <w:rFonts w:ascii="Calibri" w:eastAsia="Calibri" w:hAnsi="Calibri" w:cs="Calibri"/>
                          <w:b/>
                          <w:bCs/>
                          <w:color w:val="1A2744"/>
                          <w:kern w:val="24"/>
                          <w:sz w:val="19"/>
                          <w:szCs w:val="19"/>
                        </w:rPr>
                        <w:br/>
                      </w:r>
                      <w:r>
                        <w:rPr>
                          <w:rFonts w:ascii="Calibri" w:eastAsia="Calibri" w:hAnsi="Calibri" w:cs="Calibri"/>
                          <w:b/>
                          <w:bCs/>
                          <w:color w:val="334155"/>
                          <w:kern w:val="24"/>
                          <w:sz w:val="16"/>
                          <w:szCs w:val="16"/>
                        </w:rPr>
                        <w:t xml:space="preserve">Both variants </w:t>
                      </w:r>
                      <w:proofErr w:type="gramStart"/>
                      <w:r>
                        <w:rPr>
                          <w:rFonts w:ascii="Calibri" w:eastAsia="Calibri" w:hAnsi="Calibri" w:cs="Calibri"/>
                          <w:b/>
                          <w:bCs/>
                          <w:color w:val="334155"/>
                          <w:kern w:val="24"/>
                          <w:sz w:val="16"/>
                          <w:szCs w:val="16"/>
                        </w:rPr>
                        <w:t>show</w:t>
                      </w:r>
                      <w:proofErr w:type="gramEnd"/>
                      <w:r>
                        <w:rPr>
                          <w:rFonts w:ascii="Calibri" w:eastAsia="Calibri" w:hAnsi="Calibri" w:cs="Calibri"/>
                          <w:b/>
                          <w:bCs/>
                          <w:color w:val="334155"/>
                          <w:kern w:val="24"/>
                          <w:sz w:val="16"/>
                          <w:szCs w:val="16"/>
                        </w:rPr>
                        <w:t xml:space="preserve"> VAF ~48–51%, consistent with heterozygosity in an XX female. MED12 is on chrX — in females with two X chromosomes, this is heterozygous (not hemizygous as it would be in males).</w:t>
                      </w:r>
                    </w:p>
                  </w:txbxContent>
                </v:textbox>
              </v:rect>
            </w:pict>
          </mc:Fallback>
        </mc:AlternateContent>
      </w:r>
    </w:p>
    <w:p w14:paraId="2380FEF3" w14:textId="47FA617D" w:rsidR="004A2B98" w:rsidRDefault="004A2B98">
      <w:r>
        <w:rPr>
          <w:noProof/>
        </w:rPr>
        <w:drawing>
          <wp:inline distT="0" distB="0" distL="0" distR="0" wp14:anchorId="65F13FB4" wp14:editId="7325C896">
            <wp:extent cx="2696985" cy="3720974"/>
            <wp:effectExtent l="0" t="0" r="0" b="0"/>
            <wp:docPr id="19182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3880" name=""/>
                    <pic:cNvPicPr/>
                  </pic:nvPicPr>
                  <pic:blipFill>
                    <a:blip r:embed="rId10"/>
                    <a:stretch>
                      <a:fillRect/>
                    </a:stretch>
                  </pic:blipFill>
                  <pic:spPr>
                    <a:xfrm>
                      <a:off x="0" y="0"/>
                      <a:ext cx="2704610" cy="3731493"/>
                    </a:xfrm>
                    <a:prstGeom prst="rect">
                      <a:avLst/>
                    </a:prstGeom>
                  </pic:spPr>
                </pic:pic>
              </a:graphicData>
            </a:graphic>
          </wp:inline>
        </w:drawing>
      </w:r>
      <w:r w:rsidRPr="004A2B98">
        <w:t xml:space="preserve"> </w:t>
      </w:r>
    </w:p>
    <w:p w14:paraId="498002A7" w14:textId="77777777" w:rsidR="004A2B98" w:rsidRDefault="004A2B98" w:rsidP="004A2B98">
      <w:pPr>
        <w:rPr>
          <w:b/>
          <w:bCs/>
          <w:lang w:val="en-US"/>
        </w:rPr>
      </w:pPr>
    </w:p>
    <w:p w14:paraId="4D7CEF1F" w14:textId="77777777" w:rsidR="004A2B98" w:rsidRDefault="004A2B98" w:rsidP="004A2B98">
      <w:pPr>
        <w:rPr>
          <w:b/>
          <w:bCs/>
          <w:lang w:val="en-US"/>
        </w:rPr>
      </w:pPr>
    </w:p>
    <w:p w14:paraId="6D2408E0" w14:textId="77777777" w:rsidR="004A2B98" w:rsidRDefault="004A2B98" w:rsidP="004A2B98">
      <w:pPr>
        <w:rPr>
          <w:b/>
          <w:bCs/>
          <w:lang w:val="en-US"/>
        </w:rPr>
      </w:pPr>
    </w:p>
    <w:p w14:paraId="24845A05" w14:textId="77777777" w:rsidR="004A2B98" w:rsidRDefault="004A2B98" w:rsidP="004A2B98">
      <w:pPr>
        <w:rPr>
          <w:b/>
          <w:bCs/>
          <w:lang w:val="en-US"/>
        </w:rPr>
      </w:pPr>
    </w:p>
    <w:p w14:paraId="478C2FFE" w14:textId="1A7563DA" w:rsidR="004A2B98" w:rsidRPr="00E53ED0" w:rsidRDefault="004A2B98" w:rsidP="004A2B98">
      <w:pPr>
        <w:rPr>
          <w:lang w:val="en-US"/>
        </w:rPr>
      </w:pPr>
      <w:r w:rsidRPr="00E53ED0">
        <w:rPr>
          <w:b/>
          <w:bCs/>
          <w:lang w:val="en-US"/>
        </w:rPr>
        <w:lastRenderedPageBreak/>
        <w:t xml:space="preserve">LEPR </w:t>
      </w:r>
      <w:proofErr w:type="gramStart"/>
      <w:r w:rsidRPr="00E53ED0">
        <w:rPr>
          <w:b/>
          <w:bCs/>
          <w:lang w:val="en-US"/>
        </w:rPr>
        <w:t>Frameshift  (</w:t>
      </w:r>
      <w:proofErr w:type="gramEnd"/>
      <w:r w:rsidRPr="00E53ED0">
        <w:rPr>
          <w:b/>
          <w:bCs/>
          <w:lang w:val="en-US"/>
        </w:rPr>
        <w:t>HIGH)</w:t>
      </w:r>
      <w:r w:rsidRPr="00E53ED0">
        <w:rPr>
          <w:b/>
          <w:bCs/>
          <w:lang w:val="en-US"/>
        </w:rPr>
        <w:br/>
      </w:r>
      <w:r w:rsidRPr="00E53ED0">
        <w:rPr>
          <w:lang w:val="en-US"/>
        </w:rPr>
        <w:t>The LEPR c.1790del frameshift (</w:t>
      </w:r>
      <w:proofErr w:type="gramStart"/>
      <w:r w:rsidRPr="00E53ED0">
        <w:rPr>
          <w:lang w:val="en-US"/>
        </w:rPr>
        <w:t>p.Ser</w:t>
      </w:r>
      <w:proofErr w:type="gramEnd"/>
      <w:r w:rsidRPr="00E53ED0">
        <w:rPr>
          <w:lang w:val="en-US"/>
        </w:rPr>
        <w:t>597IlefsTer20) disrupts the intracellular domain of the Leptin Receptor, introducing a premature stop codon after residue 597. Confirmed on the MANE Select transcript (NM_002303.6), this COSMIC somatic variant is consistent with oncogenic loss-of-function. HIGH VEP impact across 13 protein-coding transcripts underscores clinical relevance.</w:t>
      </w:r>
      <w:r w:rsidRPr="00E53ED0">
        <w:rPr>
          <w:lang w:val="en-US"/>
        </w:rPr>
        <w:br/>
      </w:r>
      <w:r w:rsidRPr="00E53ED0">
        <w:rPr>
          <w:lang w:val="en-US"/>
        </w:rPr>
        <w:br/>
      </w:r>
      <w:r w:rsidRPr="00E53ED0">
        <w:rPr>
          <w:b/>
          <w:bCs/>
          <w:lang w:val="en-US"/>
        </w:rPr>
        <w:t xml:space="preserve">MED12 </w:t>
      </w:r>
      <w:proofErr w:type="gramStart"/>
      <w:r w:rsidRPr="00E53ED0">
        <w:rPr>
          <w:b/>
          <w:bCs/>
          <w:lang w:val="en-US"/>
        </w:rPr>
        <w:t>Missense  (</w:t>
      </w:r>
      <w:proofErr w:type="gramEnd"/>
      <w:r w:rsidRPr="00E53ED0">
        <w:rPr>
          <w:b/>
          <w:bCs/>
          <w:lang w:val="en-US"/>
        </w:rPr>
        <w:t>MODERATE)</w:t>
      </w:r>
      <w:r w:rsidRPr="00E53ED0">
        <w:rPr>
          <w:b/>
          <w:bCs/>
          <w:lang w:val="en-US"/>
        </w:rPr>
        <w:br/>
      </w:r>
      <w:r w:rsidRPr="00E53ED0">
        <w:rPr>
          <w:lang w:val="en-US"/>
        </w:rPr>
        <w:t xml:space="preserve">MED12 </w:t>
      </w:r>
      <w:proofErr w:type="gramStart"/>
      <w:r w:rsidRPr="00E53ED0">
        <w:rPr>
          <w:lang w:val="en-US"/>
        </w:rPr>
        <w:t>p.Ala</w:t>
      </w:r>
      <w:proofErr w:type="gramEnd"/>
      <w:r w:rsidRPr="00E53ED0">
        <w:rPr>
          <w:lang w:val="en-US"/>
        </w:rPr>
        <w:t>210Val (c.629C&gt;T, exon 5) is heterozygous in this female individual. SIFT predicts deleterious (low confidence, 0.02); PolyPhen-2 classifies as predominantly benign. ClinVar VUS status and the known role of MED12 mutations in uterine fibroids warrant monitoring.</w:t>
      </w:r>
      <w:r w:rsidRPr="00E53ED0">
        <w:rPr>
          <w:lang w:val="en-US"/>
        </w:rPr>
        <w:br/>
      </w:r>
      <w:r w:rsidRPr="00E53ED0">
        <w:rPr>
          <w:lang w:val="en-US"/>
        </w:rPr>
        <w:br/>
      </w:r>
      <w:r w:rsidRPr="00E53ED0">
        <w:rPr>
          <w:b/>
          <w:bCs/>
          <w:lang w:val="en-US"/>
        </w:rPr>
        <w:t>Zygosity — Female Correction</w:t>
      </w:r>
      <w:r w:rsidRPr="00E53ED0">
        <w:rPr>
          <w:b/>
          <w:bCs/>
          <w:lang w:val="en-US"/>
        </w:rPr>
        <w:br/>
      </w:r>
      <w:r w:rsidRPr="00E53ED0">
        <w:rPr>
          <w:lang w:val="en-US"/>
        </w:rPr>
        <w:t>Both variants show VAF ~48–51%, consistent with heterozygosity in an XX female. MED12 is on chrX — in females with two X chromosomes, this is heterozygous (not hemizygous as it would be in males).</w:t>
      </w:r>
    </w:p>
    <w:p w14:paraId="2510C79C" w14:textId="77777777" w:rsidR="004A2B98" w:rsidRDefault="004A2B98"/>
    <w:p w14:paraId="1B046B4A" w14:textId="2F758906" w:rsidR="00A56098" w:rsidRDefault="00A56098">
      <w:r>
        <w:t>INTRO</w:t>
      </w:r>
    </w:p>
    <w:p w14:paraId="376D5FD9" w14:textId="66A052BD" w:rsidR="00A56098" w:rsidRPr="00224E2A" w:rsidRDefault="00A56098">
      <w:pPr>
        <w:rPr>
          <w:i/>
          <w:iCs/>
          <w:lang w:val="es-ES_tradnl"/>
        </w:rPr>
      </w:pPr>
      <w:r w:rsidRPr="00224E2A">
        <w:rPr>
          <w:i/>
          <w:iCs/>
          <w:lang w:val="es-ES_tradnl"/>
        </w:rPr>
        <w:t>La interpretación de variantes en individuos relacionados proporciona un contexto crítico para distinguir la herencia patogénica de la variación benigna. Aquí presentamos un análisis comparativo mediante el Predictor de Efecto de Variantes (VEP) de dos mujeres emparentadas, Marge y Selma, identificadas como portadoras de variantes en los genes LEPR y MED12 mediante secuenciación de exoma completo alineada con el genoma de referencia humano (GRCh38).</w:t>
      </w:r>
    </w:p>
    <w:p w14:paraId="48CA9BC1" w14:textId="77777777" w:rsidR="00A56098" w:rsidRDefault="00A56098"/>
    <w:p w14:paraId="66C2D541" w14:textId="1576066A" w:rsidR="00EB3428" w:rsidRDefault="00EB3428">
      <w:r>
        <w:t>DIS</w:t>
      </w:r>
      <w:r w:rsidR="002E23E8">
        <w:t>CUSSION</w:t>
      </w:r>
    </w:p>
    <w:p w14:paraId="5130FD30" w14:textId="4F3238D5" w:rsidR="00EB3428" w:rsidRPr="00EB3428" w:rsidRDefault="00EB3428">
      <w:r w:rsidRPr="00EB3428">
        <w:t xml:space="preserve">Las variantes identificadas en Marge como en Selma se consideran patogénicas basándose en sus consecuencias funcionales y en las asociaciones con enfermedades </w:t>
      </w:r>
      <w:r w:rsidR="004D6340">
        <w:t>mencionadas</w:t>
      </w:r>
      <w:r w:rsidRPr="00EB3428">
        <w:t xml:space="preserve">. La variante de </w:t>
      </w:r>
      <w:r w:rsidR="004D6340">
        <w:t>“frameshift”</w:t>
      </w:r>
      <w:r>
        <w:t xml:space="preserve"> cambio de nucleótido, </w:t>
      </w:r>
      <w:r w:rsidRPr="00EB3428">
        <w:t>en el gen LEPR altera el dominio de señalización intracelular del receptor de leptina, anulando la señalización de saciedad mediada por las vías JAK2/STAT3 y PI3K/AKT, y predisponiendo a obesidad grave de inicio temprano. Ambas personas son heterocigotas para esta variante, lo cual es consistente con la condición de herencia autosómica recesiva</w:t>
      </w:r>
      <w:r w:rsidR="004D6340">
        <w:t>.</w:t>
      </w:r>
      <w:r w:rsidRPr="00EB3428">
        <w:t xml:space="preserve"> Selma presenta una segunda variante en el sitio aceptor de splice acceptor</w:t>
      </w:r>
      <w:r w:rsidR="004D6340">
        <w:t xml:space="preserve"> </w:t>
      </w:r>
      <w:r w:rsidRPr="00EB3428">
        <w:t>del gen LEPR en el alelo opuesto, lo que establece una heterocigosidad compuesta y una pérdida de función</w:t>
      </w:r>
      <w:r w:rsidR="004D6340">
        <w:t xml:space="preserve"> </w:t>
      </w:r>
      <w:r w:rsidRPr="00EB3428">
        <w:t>alélica, suficiente para producir el fenotipo completo de deficiencia de *LEPR*. La variante de cambio de aminoácido</w:t>
      </w:r>
      <w:r>
        <w:t xml:space="preserve">, </w:t>
      </w:r>
      <w:r w:rsidR="004D6340">
        <w:t xml:space="preserve">deleción, </w:t>
      </w:r>
      <w:r w:rsidR="004D6340" w:rsidRPr="00EB3428">
        <w:t>en</w:t>
      </w:r>
      <w:r w:rsidRPr="00EB3428">
        <w:t xml:space="preserve"> el gen MED12, heterocigoto en ambas mujeres en el cromosoma X, altera</w:t>
      </w:r>
      <w:r w:rsidR="004D6340">
        <w:t>ndo la</w:t>
      </w:r>
      <w:r w:rsidRPr="00EB3428">
        <w:t xml:space="preserve"> regulación transcripcional en el músculo uterino,</w:t>
      </w:r>
      <w:r w:rsidR="004D6340">
        <w:t xml:space="preserve"> causante de los</w:t>
      </w:r>
      <w:r w:rsidRPr="00EB3428">
        <w:t xml:space="preserve"> </w:t>
      </w:r>
      <w:r w:rsidR="004D6340">
        <w:t>fibromas</w:t>
      </w:r>
      <w:r w:rsidRPr="00EB3428">
        <w:t xml:space="preserve"> uterinos. En conjunto, estos hallazgos respaldan una clasificación patogénica para ambos loci; Selma presenta un riesgo clínico significativamente mayor debido a su genotipo de heterocigosidad compuesta en LEPR, </w:t>
      </w:r>
      <w:r w:rsidR="004D6340">
        <w:t xml:space="preserve">las dos </w:t>
      </w:r>
      <w:r w:rsidRPr="00EB3428">
        <w:t xml:space="preserve">requieren vigilancia ginecológica dada </w:t>
      </w:r>
      <w:r w:rsidR="004D6340">
        <w:t>su variante compartida</w:t>
      </w:r>
      <w:r w:rsidRPr="00EB3428">
        <w:t xml:space="preserve"> en MED12.</w:t>
      </w:r>
    </w:p>
    <w:p w14:paraId="6D91B0C0" w14:textId="77777777" w:rsidR="00EB3428" w:rsidRDefault="00EB3428"/>
    <w:p w14:paraId="11F7EE83" w14:textId="47A5EAE2" w:rsidR="00EB3428" w:rsidRDefault="00B00B96">
      <w:r>
        <w:lastRenderedPageBreak/>
        <w:t xml:space="preserve">Conclusions </w:t>
      </w:r>
    </w:p>
    <w:p w14:paraId="417C4BA7" w14:textId="2D732491" w:rsidR="00B00B96" w:rsidRDefault="00B00B96">
      <w:r>
        <w:t xml:space="preserve">This comparative VEP analysis identified three pathogenic variants across two related females with distinct clinical implications. Both Marge and Selma carry heterozygous loss-of-function alleles in </w:t>
      </w:r>
      <w:r>
        <w:rPr>
          <w:rStyle w:val="Emphasis"/>
        </w:rPr>
        <w:t>LEPR</w:t>
      </w:r>
      <w:r>
        <w:t xml:space="preserve"> and a heterozygous </w:t>
      </w:r>
      <w:r>
        <w:rPr>
          <w:rStyle w:val="Emphasis"/>
        </w:rPr>
        <w:t>MED12</w:t>
      </w:r>
      <w:r>
        <w:t xml:space="preserve"> missense variant on the X chromosome, placing both individuals at risk for uterine fibroids through disrupted Mediator complex signaling. Critically, Selma's compound heterozygous </w:t>
      </w:r>
      <w:r>
        <w:rPr>
          <w:rStyle w:val="Emphasis"/>
        </w:rPr>
        <w:t>LEPR</w:t>
      </w:r>
      <w:r>
        <w:t xml:space="preserve"> genotype (c.1790del / c.2396-1G&gt;T) results in biallelic receptor loss-of-function, consistent with autosomal recessive Leptin Receptor deficiency and severe early-onset obesity — a distinction not apparent from </w:t>
      </w:r>
      <w:proofErr w:type="gramStart"/>
      <w:r>
        <w:t>single</w:t>
      </w:r>
      <w:proofErr w:type="gramEnd"/>
      <w:r>
        <w:t>-sample analysis alone. These findings underscore the diagnostic value of family-level variant comparison in resolving zygosity, clarifying inheritance patterns, and elevating clinical interpretation. Functional validation via RNA sequencing, Sanger confirmation, and clinical genetics referral are recommended, particularly for Selma.</w:t>
      </w:r>
    </w:p>
    <w:p w14:paraId="7D24E1D1" w14:textId="77777777" w:rsidR="00EB3428" w:rsidRDefault="00EB3428"/>
    <w:p w14:paraId="45485106" w14:textId="6F8C9F6B" w:rsidR="00224E2A" w:rsidRDefault="00224E2A">
      <w:r>
        <w:t xml:space="preserve">POTENTIAL </w:t>
      </w:r>
    </w:p>
    <w:p w14:paraId="60748058" w14:textId="77777777" w:rsidR="00224E2A" w:rsidRPr="00224E2A" w:rsidRDefault="00224E2A" w:rsidP="00224E2A">
      <w:pPr>
        <w:rPr>
          <w:lang w:val="en-US"/>
        </w:rPr>
      </w:pPr>
      <w:r w:rsidRPr="00224E2A">
        <w:rPr>
          <w:i/>
          <w:iCs/>
          <w:lang w:val="es-ES_tradnl"/>
        </w:rPr>
        <w:t>La anotación de variantes utilizando el Predictor de Efecto de Variantes de Ensembl (VEP) es esencial para interpretar variantes genómicas provenientes de la secuenciación de nueva generación. VEP asigna cada variante a todos los transcritos superpuestos, clasificando el tipo de consecuencia, el nivel de impacto, el cambio proteico y realizando referencias cruzadas con bases de datos poblacionales.</w:t>
      </w:r>
    </w:p>
    <w:p w14:paraId="6E8438F6" w14:textId="2DE179C9" w:rsidR="0084551B" w:rsidRDefault="0084551B"/>
    <w:p w14:paraId="230897A9" w14:textId="77777777" w:rsidR="00B00B96" w:rsidRDefault="00B00B96" w:rsidP="00B00B96">
      <w:pPr>
        <w:rPr>
          <w:sz w:val="22"/>
          <w:szCs w:val="22"/>
        </w:rPr>
      </w:pPr>
      <w:r w:rsidRPr="00B00B96">
        <w:rPr>
          <w:sz w:val="22"/>
          <w:szCs w:val="22"/>
        </w:rPr>
        <w:t>Este análisis comparativo del VEP identificó tres variantes patógenas en dos mujeres emparentadas con implicaciones clínicas distintas. Tanto Marge como Selma son portadoras de alelos heterocigotos con pérdida de función en el gen LEPR y de una variante de cambio de aminoácido heterocigota en el gen MED12 en el cromosoma X, lo que las expone a un riesgo de desarrollar fibromas uterinos debido a una alteración en la señalización del complejo Mediator.</w:t>
      </w:r>
    </w:p>
    <w:p w14:paraId="2462FCE7" w14:textId="77777777" w:rsidR="00B00B96" w:rsidRDefault="00B00B96" w:rsidP="00B00B96">
      <w:pPr>
        <w:rPr>
          <w:sz w:val="22"/>
          <w:szCs w:val="22"/>
        </w:rPr>
      </w:pPr>
    </w:p>
    <w:p w14:paraId="3ED18BFA" w14:textId="50BCC9E6" w:rsidR="00B00B96" w:rsidRPr="00B00B96" w:rsidRDefault="00B00B96" w:rsidP="00B00B96">
      <w:pPr>
        <w:rPr>
          <w:sz w:val="22"/>
          <w:szCs w:val="22"/>
        </w:rPr>
      </w:pPr>
      <w:r w:rsidRPr="00B00B96">
        <w:rPr>
          <w:sz w:val="22"/>
          <w:szCs w:val="22"/>
        </w:rPr>
        <w:t xml:space="preserve"> Es fundamental destacar que el genotipo LEPR heterocigótico compuesto de Selma da lugar a una pérdida de función bialélica del receptor, lo que concuerda con una deficiencia autosómica recesiva del receptor de leptina y una obesidad grave de aparición temprana —una distinción que no resulta evidente a partir del análisis de una sola muestra por sí solo. Estos hallazgos subrayan el valor diagnóstico de la comparación de variantes a nivel familiar para determinar la cigocidad, aclarar los patrones de herencia y mejorar la interpretación clínica. </w:t>
      </w:r>
    </w:p>
    <w:p w14:paraId="07F3D150" w14:textId="77777777" w:rsidR="00B00B96" w:rsidRDefault="00B00B96" w:rsidP="00B00B96"/>
    <w:p w14:paraId="3DBFE677" w14:textId="065333A5" w:rsidR="0084551B" w:rsidRDefault="0084551B">
      <w:r>
        <w:lastRenderedPageBreak/>
        <w:fldChar w:fldCharType="begin"/>
      </w:r>
      <w:r>
        <w:instrText xml:space="preserve"> INCLUDEPICTURE "/Users/mariaardila/Library/Group Containers/UBF8T346G9.ms/WebArchiveCopyPasteTempFiles/com.microsoft.Word/content?id=file_00000000fa7c720c83f7beb1fb9d3ded&amp;ts=494779&amp;p=fs&amp;cid=1&amp;sig=d78f4c1e007c92da48e6d5748ca81669090c9b098d172704d241462fa14a3c9c&amp;v=0" \* MERGEFORMATINET </w:instrText>
      </w:r>
      <w:r>
        <w:fldChar w:fldCharType="separate"/>
      </w:r>
      <w:r>
        <w:rPr>
          <w:noProof/>
        </w:rPr>
        <w:drawing>
          <wp:inline distT="0" distB="0" distL="0" distR="0" wp14:anchorId="07432B73" wp14:editId="2B34093D">
            <wp:extent cx="5943600" cy="3963035"/>
            <wp:effectExtent l="0" t="0" r="0" b="0"/>
            <wp:docPr id="2020134817" name="Picture 2" descr="Generated image: Genes y enfermedades: vínculo entre obesidad y fibr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r_3h_" descr="Generated image: Genes y enfermedades: vínculo entre obesidad y fibroma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r>
        <w:fldChar w:fldCharType="end"/>
      </w:r>
    </w:p>
    <w:p w14:paraId="478B977C" w14:textId="77777777" w:rsidR="0084551B" w:rsidRDefault="0084551B"/>
    <w:p w14:paraId="03AC1F05" w14:textId="77777777" w:rsidR="0084551B" w:rsidRDefault="0084551B"/>
    <w:p w14:paraId="054A9EF4" w14:textId="77777777" w:rsidR="0084551B" w:rsidRDefault="0084551B"/>
    <w:p w14:paraId="42A3B95A" w14:textId="77777777" w:rsidR="00224E2A" w:rsidRDefault="00224E2A"/>
    <w:p w14:paraId="07327482" w14:textId="1394A6AB" w:rsidR="00E91A12" w:rsidRDefault="00E91A12">
      <w:r>
        <w:t xml:space="preserve">METHODOLOGY </w:t>
      </w:r>
    </w:p>
    <w:p w14:paraId="0D91FF46" w14:textId="77777777" w:rsidR="00E91A12" w:rsidRDefault="00E91A12"/>
    <w:p w14:paraId="24A7BA42" w14:textId="651A334B" w:rsidR="005F1F0B" w:rsidRDefault="003F0C90">
      <w:r w:rsidRPr="003F0C90">
        <w:t>Se realizó la secuenciación del exoma completo de dos mujeres emparentadas (Marge y Selma) en la plataforma Illumina, con lecturas alineadas a GRCh38 mediante BWA-MEM. Las variantes se identificaron de forma independiente para cada individuo utilizando BCFtools mpileup con anotación de profundidad alélica</w:t>
      </w:r>
      <w:r>
        <w:t>.</w:t>
      </w:r>
      <w:r w:rsidRPr="003F0C90">
        <w:t xml:space="preserve"> Ambos archivos VCF fueron anotados utilizando Ensembl Variant Effect Predictor (VEP) a través de Galaxy, consultando las bases de datos COSMIC</w:t>
      </w:r>
      <w:r>
        <w:t xml:space="preserve"> </w:t>
      </w:r>
      <w:r w:rsidRPr="003F0C90">
        <w:t>y dbSNP, junto con predicciones in silico de patogenicidad mediante SIFT y PolyPhen-2. La cigosidad se determinó a partir de las proporciones de profundidad alélica y del contexto cromosómico, aplicando una interpretación sensible al sexo para el locus MED12 ligado al cromosoma X. Se realizó un análisis comparativo mediante scripts personalizados de Python para identificar variantes compartidas frente a variantes privadas, evaluar patrones de herencia y caracterizar la heterocigosidad compuesta en LEPR.</w:t>
      </w:r>
    </w:p>
    <w:p w14:paraId="22252D59" w14:textId="77777777" w:rsidR="005F1F0B" w:rsidRDefault="005F1F0B"/>
    <w:p w14:paraId="26F89E82" w14:textId="77777777" w:rsidR="005F1F0B" w:rsidRDefault="005F1F0B"/>
    <w:p w14:paraId="48BF5E70" w14:textId="77777777" w:rsidR="005F1F0B" w:rsidRDefault="005F1F0B"/>
    <w:p w14:paraId="07792504" w14:textId="77777777" w:rsidR="00525CC4" w:rsidRDefault="00525CC4"/>
    <w:p w14:paraId="69347B4E" w14:textId="1D7C308B" w:rsidR="00525CC4" w:rsidRDefault="00AD5BF2">
      <w:r w:rsidRPr="00AD5BF2">
        <w:lastRenderedPageBreak/>
        <w:drawing>
          <wp:inline distT="0" distB="0" distL="0" distR="0" wp14:anchorId="405F0EC0" wp14:editId="0C54464A">
            <wp:extent cx="6135554" cy="3258766"/>
            <wp:effectExtent l="0" t="0" r="0" b="5715"/>
            <wp:docPr id="22" name="Image 3"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3" descr="preencoded.png"/>
                    <pic:cNvPicPr>
                      <a:picLocks noChangeAspect="1"/>
                    </pic:cNvPicPr>
                  </pic:nvPicPr>
                  <pic:blipFill>
                    <a:blip r:embed="rId12"/>
                    <a:stretch>
                      <a:fillRect/>
                    </a:stretch>
                  </pic:blipFill>
                  <pic:spPr>
                    <a:xfrm>
                      <a:off x="0" y="0"/>
                      <a:ext cx="6288373" cy="3339932"/>
                    </a:xfrm>
                    <a:prstGeom prst="rect">
                      <a:avLst/>
                    </a:prstGeom>
                  </pic:spPr>
                </pic:pic>
              </a:graphicData>
            </a:graphic>
          </wp:inline>
        </w:drawing>
      </w:r>
    </w:p>
    <w:p w14:paraId="239A915A" w14:textId="77777777" w:rsidR="008D75B7" w:rsidRDefault="008D75B7"/>
    <w:p w14:paraId="335AE0B8" w14:textId="77777777" w:rsidR="004A2B98" w:rsidRDefault="004A2B98"/>
    <w:p w14:paraId="7B36048E" w14:textId="77777777" w:rsidR="004A2B98" w:rsidRDefault="004A2B98"/>
    <w:p w14:paraId="24DCC4B5" w14:textId="77777777" w:rsidR="004A2B98" w:rsidRDefault="004A2B98"/>
    <w:p w14:paraId="0E7B767E" w14:textId="77777777" w:rsidR="004A2B98" w:rsidRDefault="004A2B98"/>
    <w:p w14:paraId="36F73630" w14:textId="77777777" w:rsidR="004A2B98" w:rsidRDefault="004A2B98"/>
    <w:p w14:paraId="5DBCD433" w14:textId="77777777" w:rsidR="004A2B98" w:rsidRDefault="004A2B98"/>
    <w:p w14:paraId="2C20A9A3" w14:textId="77777777" w:rsidR="004A2B98" w:rsidRDefault="004A2B98"/>
    <w:p w14:paraId="58FACD5A" w14:textId="77777777" w:rsidR="004A2B98" w:rsidRDefault="004A2B98"/>
    <w:p w14:paraId="2D632EBC" w14:textId="77777777" w:rsidR="004A2B98" w:rsidRDefault="004A2B98"/>
    <w:p w14:paraId="586C6D67" w14:textId="77777777" w:rsidR="004A2B98" w:rsidRDefault="004A2B98"/>
    <w:p w14:paraId="7843CA93" w14:textId="77777777" w:rsidR="004A2B98" w:rsidRDefault="004A2B98"/>
    <w:p w14:paraId="5AC73F85" w14:textId="77777777" w:rsidR="004A2B98" w:rsidRDefault="004A2B98"/>
    <w:p w14:paraId="376AAF00" w14:textId="77777777" w:rsidR="004A2B98" w:rsidRDefault="004A2B98"/>
    <w:p w14:paraId="2F65D5DF" w14:textId="77777777" w:rsidR="004A2B98" w:rsidRDefault="004A2B98"/>
    <w:p w14:paraId="27FEDCBE" w14:textId="77777777" w:rsidR="004A2B98" w:rsidRDefault="004A2B98"/>
    <w:p w14:paraId="4B1DA169" w14:textId="77777777" w:rsidR="004A2B98" w:rsidRDefault="004A2B98"/>
    <w:p w14:paraId="2C4BD9CA" w14:textId="77777777" w:rsidR="004A2B98" w:rsidRDefault="004A2B98"/>
    <w:p w14:paraId="0B19A30B" w14:textId="77777777" w:rsidR="004A2B98" w:rsidRDefault="004A2B98"/>
    <w:p w14:paraId="50BB925F" w14:textId="77777777" w:rsidR="004A2B98" w:rsidRDefault="004A2B98"/>
    <w:p w14:paraId="469DDED9" w14:textId="77777777" w:rsidR="004A2B98" w:rsidRDefault="004A2B98"/>
    <w:p w14:paraId="57FEC5B0" w14:textId="77777777" w:rsidR="004A2B98" w:rsidRDefault="004A2B98"/>
    <w:p w14:paraId="77E65D18" w14:textId="77777777" w:rsidR="004A2B98" w:rsidRDefault="004A2B98"/>
    <w:p w14:paraId="74FE81F0" w14:textId="77777777" w:rsidR="004A2B98" w:rsidRDefault="004A2B98"/>
    <w:p w14:paraId="3E556C75" w14:textId="77777777" w:rsidR="004A2B98" w:rsidRDefault="004A2B98"/>
    <w:p w14:paraId="192293B7" w14:textId="77777777" w:rsidR="00707F90" w:rsidRDefault="00707F90"/>
    <w:p w14:paraId="68B690A5" w14:textId="0F047235" w:rsidR="004A2B98" w:rsidRPr="004A2B98" w:rsidRDefault="004A2B98">
      <w:pPr>
        <w:rPr>
          <w:b/>
          <w:bCs/>
        </w:rPr>
      </w:pPr>
      <w:r w:rsidRPr="004A2B98">
        <w:rPr>
          <w:b/>
          <w:bCs/>
        </w:rPr>
        <w:lastRenderedPageBreak/>
        <w:t>VARIANT ALLELE FREQUENCY</w:t>
      </w:r>
    </w:p>
    <w:p w14:paraId="3DD11798" w14:textId="2D4270CA" w:rsidR="002E23E8" w:rsidRDefault="008D75B7">
      <w:r w:rsidRPr="008D75B7">
        <w:drawing>
          <wp:inline distT="0" distB="0" distL="0" distR="0" wp14:anchorId="76E9E570" wp14:editId="664995D7">
            <wp:extent cx="2663977" cy="3628417"/>
            <wp:effectExtent l="0" t="0" r="3175" b="3810"/>
            <wp:docPr id="18"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 descr="preencoded.png"/>
                    <pic:cNvPicPr>
                      <a:picLocks noChangeAspect="1"/>
                    </pic:cNvPicPr>
                  </pic:nvPicPr>
                  <pic:blipFill rotWithShape="1">
                    <a:blip r:embed="rId13"/>
                    <a:srcRect r="49338"/>
                    <a:stretch>
                      <a:fillRect/>
                    </a:stretch>
                  </pic:blipFill>
                  <pic:spPr bwMode="auto">
                    <a:xfrm>
                      <a:off x="0" y="0"/>
                      <a:ext cx="2705429" cy="3684876"/>
                    </a:xfrm>
                    <a:prstGeom prst="rect">
                      <a:avLst/>
                    </a:prstGeom>
                    <a:ln>
                      <a:noFill/>
                    </a:ln>
                    <a:extLst>
                      <a:ext uri="{53640926-AAD7-44D8-BBD7-CCE9431645EC}">
                        <a14:shadowObscured xmlns:a14="http://schemas.microsoft.com/office/drawing/2010/main"/>
                      </a:ext>
                    </a:extLst>
                  </pic:spPr>
                </pic:pic>
              </a:graphicData>
            </a:graphic>
          </wp:inline>
        </w:drawing>
      </w:r>
      <w:r w:rsidR="004A2B98" w:rsidRPr="004A2B98">
        <w:drawing>
          <wp:inline distT="0" distB="0" distL="0" distR="0" wp14:anchorId="68EDB7C4" wp14:editId="4BDCC38C">
            <wp:extent cx="3648155" cy="3015574"/>
            <wp:effectExtent l="0" t="0" r="0" b="0"/>
            <wp:docPr id="190141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11306" name=""/>
                    <pic:cNvPicPr/>
                  </pic:nvPicPr>
                  <pic:blipFill>
                    <a:blip r:embed="rId14"/>
                    <a:stretch>
                      <a:fillRect/>
                    </a:stretch>
                  </pic:blipFill>
                  <pic:spPr>
                    <a:xfrm>
                      <a:off x="0" y="0"/>
                      <a:ext cx="3657940" cy="3023663"/>
                    </a:xfrm>
                    <a:prstGeom prst="rect">
                      <a:avLst/>
                    </a:prstGeom>
                  </pic:spPr>
                </pic:pic>
              </a:graphicData>
            </a:graphic>
          </wp:inline>
        </w:drawing>
      </w:r>
    </w:p>
    <w:p w14:paraId="25FE4A6D" w14:textId="079602DB" w:rsidR="005F1F0B" w:rsidRDefault="005F1F0B">
      <w:r w:rsidRPr="005F1F0B">
        <w:lastRenderedPageBreak/>
        <w:drawing>
          <wp:inline distT="0" distB="0" distL="0" distR="0" wp14:anchorId="20F83A2B" wp14:editId="6F20D0FF">
            <wp:extent cx="5441133" cy="4328174"/>
            <wp:effectExtent l="0" t="0" r="0" b="2540"/>
            <wp:docPr id="24" name="Image 2"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 descr="preencoded.png"/>
                    <pic:cNvPicPr>
                      <a:picLocks noChangeAspect="1"/>
                    </pic:cNvPicPr>
                  </pic:nvPicPr>
                  <pic:blipFill>
                    <a:blip r:embed="rId15"/>
                    <a:stretch>
                      <a:fillRect/>
                    </a:stretch>
                  </pic:blipFill>
                  <pic:spPr>
                    <a:xfrm>
                      <a:off x="0" y="0"/>
                      <a:ext cx="5462676" cy="4345310"/>
                    </a:xfrm>
                    <a:prstGeom prst="rect">
                      <a:avLst/>
                    </a:prstGeom>
                  </pic:spPr>
                </pic:pic>
              </a:graphicData>
            </a:graphic>
          </wp:inline>
        </w:drawing>
      </w:r>
    </w:p>
    <w:p w14:paraId="4CC0511A" w14:textId="30E6B98D" w:rsidR="008D75B7" w:rsidRDefault="008D75B7">
      <w:r w:rsidRPr="008D75B7">
        <w:drawing>
          <wp:inline distT="0" distB="0" distL="0" distR="0" wp14:anchorId="1E6929C5" wp14:editId="4FBF7BAD">
            <wp:extent cx="4870764" cy="3874471"/>
            <wp:effectExtent l="0" t="0" r="0" b="0"/>
            <wp:docPr id="16"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0" descr="preencoded.png"/>
                    <pic:cNvPicPr>
                      <a:picLocks noChangeAspect="1"/>
                    </pic:cNvPicPr>
                  </pic:nvPicPr>
                  <pic:blipFill>
                    <a:blip r:embed="rId16"/>
                    <a:stretch>
                      <a:fillRect/>
                    </a:stretch>
                  </pic:blipFill>
                  <pic:spPr>
                    <a:xfrm>
                      <a:off x="0" y="0"/>
                      <a:ext cx="4927709" cy="3919768"/>
                    </a:xfrm>
                    <a:prstGeom prst="rect">
                      <a:avLst/>
                    </a:prstGeom>
                  </pic:spPr>
                </pic:pic>
              </a:graphicData>
            </a:graphic>
          </wp:inline>
        </w:drawing>
      </w:r>
    </w:p>
    <w:p w14:paraId="3B3B226C" w14:textId="77777777" w:rsidR="008D75B7" w:rsidRDefault="008D75B7"/>
    <w:p w14:paraId="5DBC7DEE" w14:textId="1B42D3D2" w:rsidR="008D75B7" w:rsidRDefault="008D75B7">
      <w:r w:rsidRPr="008D75B7">
        <w:drawing>
          <wp:inline distT="0" distB="0" distL="0" distR="0" wp14:anchorId="6DC4DB01" wp14:editId="6F3D6A43">
            <wp:extent cx="5531408" cy="4399984"/>
            <wp:effectExtent l="0" t="0" r="6350" b="0"/>
            <wp:docPr id="26" name="Image 3"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3" descr="preencoded.png"/>
                    <pic:cNvPicPr>
                      <a:picLocks noChangeAspect="1"/>
                    </pic:cNvPicPr>
                  </pic:nvPicPr>
                  <pic:blipFill>
                    <a:blip r:embed="rId17"/>
                    <a:stretch>
                      <a:fillRect/>
                    </a:stretch>
                  </pic:blipFill>
                  <pic:spPr>
                    <a:xfrm>
                      <a:off x="0" y="0"/>
                      <a:ext cx="5569066" cy="4429939"/>
                    </a:xfrm>
                    <a:prstGeom prst="rect">
                      <a:avLst/>
                    </a:prstGeom>
                  </pic:spPr>
                </pic:pic>
              </a:graphicData>
            </a:graphic>
          </wp:inline>
        </w:drawing>
      </w:r>
    </w:p>
    <w:p w14:paraId="52293051" w14:textId="5F0FAEE3" w:rsidR="002E23E8" w:rsidRDefault="002E23E8">
      <w:r>
        <w:t xml:space="preserve">Include md12 chromosome </w:t>
      </w:r>
    </w:p>
    <w:p w14:paraId="5A44B85A" w14:textId="77777777" w:rsidR="008D75B7" w:rsidRDefault="008D75B7"/>
    <w:p w14:paraId="746A6715" w14:textId="77777777" w:rsidR="004A2B98" w:rsidRDefault="004A2B98"/>
    <w:p w14:paraId="22B6BD38" w14:textId="77777777" w:rsidR="004A2B98" w:rsidRDefault="004A2B98"/>
    <w:p w14:paraId="43A74E6A" w14:textId="77777777" w:rsidR="004A2B98" w:rsidRDefault="004A2B98"/>
    <w:p w14:paraId="0E02CAE5" w14:textId="77777777" w:rsidR="004A2B98" w:rsidRDefault="004A2B98"/>
    <w:p w14:paraId="3B9B5A7E" w14:textId="77777777" w:rsidR="004A2B98" w:rsidRDefault="004A2B98"/>
    <w:p w14:paraId="4D74AD41" w14:textId="77777777" w:rsidR="004A2B98" w:rsidRDefault="004A2B98"/>
    <w:p w14:paraId="53514C7A" w14:textId="77777777" w:rsidR="004A2B98" w:rsidRDefault="004A2B98"/>
    <w:p w14:paraId="39701048" w14:textId="77777777" w:rsidR="004A2B98" w:rsidRDefault="004A2B98"/>
    <w:p w14:paraId="388B9D89" w14:textId="77777777" w:rsidR="004A2B98" w:rsidRDefault="004A2B98"/>
    <w:p w14:paraId="05124148" w14:textId="77777777" w:rsidR="004A2B98" w:rsidRDefault="004A2B98"/>
    <w:p w14:paraId="6200DC5E" w14:textId="77777777" w:rsidR="004A2B98" w:rsidRDefault="004A2B98"/>
    <w:p w14:paraId="313A14C9" w14:textId="77777777" w:rsidR="004A2B98" w:rsidRDefault="004A2B98"/>
    <w:p w14:paraId="49F283E4" w14:textId="77777777" w:rsidR="004A2B98" w:rsidRDefault="004A2B98"/>
    <w:p w14:paraId="4F82234E" w14:textId="77777777" w:rsidR="004A2B98" w:rsidRDefault="004A2B98"/>
    <w:p w14:paraId="38584C2C" w14:textId="77777777" w:rsidR="004A2B98" w:rsidRDefault="004A2B98"/>
    <w:p w14:paraId="73BD3CFB" w14:textId="77777777" w:rsidR="004A2B98" w:rsidRDefault="004A2B98"/>
    <w:p w14:paraId="54BEB9FA" w14:textId="77777777" w:rsidR="004A2B98" w:rsidRDefault="004A2B98"/>
    <w:p w14:paraId="524B6575" w14:textId="77777777" w:rsidR="004A2B98" w:rsidRDefault="004A2B98"/>
    <w:p w14:paraId="182297C6" w14:textId="6E5872F1" w:rsidR="004A2B98" w:rsidRDefault="004A2B98">
      <w:r>
        <w:t>CHROMOSOME LOCATIONS IN MARGE AND SELMA</w:t>
      </w:r>
    </w:p>
    <w:p w14:paraId="408C6FA8" w14:textId="77777777" w:rsidR="004A2B98" w:rsidRDefault="004A2B98"/>
    <w:p w14:paraId="4C60176E" w14:textId="77777777" w:rsidR="004A2B98" w:rsidRDefault="004A2B98"/>
    <w:p w14:paraId="4B0A0F72" w14:textId="4A6CB3BF" w:rsidR="002E23E8" w:rsidRDefault="002E23E8">
      <w:r w:rsidRPr="002E23E8">
        <w:drawing>
          <wp:inline distT="0" distB="0" distL="0" distR="0" wp14:anchorId="4738761C" wp14:editId="2E5FC247">
            <wp:extent cx="5301574" cy="3867227"/>
            <wp:effectExtent l="0" t="0" r="0" b="0"/>
            <wp:docPr id="195733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31807" name=""/>
                    <pic:cNvPicPr/>
                  </pic:nvPicPr>
                  <pic:blipFill rotWithShape="1">
                    <a:blip r:embed="rId18"/>
                    <a:srcRect t="7928" b="3826"/>
                    <a:stretch>
                      <a:fillRect/>
                    </a:stretch>
                  </pic:blipFill>
                  <pic:spPr bwMode="auto">
                    <a:xfrm>
                      <a:off x="0" y="0"/>
                      <a:ext cx="5314474" cy="3876637"/>
                    </a:xfrm>
                    <a:prstGeom prst="rect">
                      <a:avLst/>
                    </a:prstGeom>
                    <a:ln>
                      <a:noFill/>
                    </a:ln>
                    <a:extLst>
                      <a:ext uri="{53640926-AAD7-44D8-BBD7-CCE9431645EC}">
                        <a14:shadowObscured xmlns:a14="http://schemas.microsoft.com/office/drawing/2010/main"/>
                      </a:ext>
                    </a:extLst>
                  </pic:spPr>
                </pic:pic>
              </a:graphicData>
            </a:graphic>
          </wp:inline>
        </w:drawing>
      </w:r>
    </w:p>
    <w:p w14:paraId="2C9A829B" w14:textId="7982F080" w:rsidR="008D75B7" w:rsidRDefault="008D75B7">
      <w:r w:rsidRPr="008D75B7">
        <w:drawing>
          <wp:inline distT="0" distB="0" distL="0" distR="0" wp14:anchorId="2F516632" wp14:editId="6F7F267E">
            <wp:extent cx="4134255" cy="3288611"/>
            <wp:effectExtent l="0" t="0" r="0" b="1270"/>
            <wp:docPr id="30" name="Image 5"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5" descr="preencoded.png"/>
                    <pic:cNvPicPr>
                      <a:picLocks noChangeAspect="1"/>
                    </pic:cNvPicPr>
                  </pic:nvPicPr>
                  <pic:blipFill>
                    <a:blip r:embed="rId19"/>
                    <a:stretch>
                      <a:fillRect/>
                    </a:stretch>
                  </pic:blipFill>
                  <pic:spPr>
                    <a:xfrm>
                      <a:off x="0" y="0"/>
                      <a:ext cx="4166397" cy="3314179"/>
                    </a:xfrm>
                    <a:prstGeom prst="rect">
                      <a:avLst/>
                    </a:prstGeom>
                  </pic:spPr>
                </pic:pic>
              </a:graphicData>
            </a:graphic>
          </wp:inline>
        </w:drawing>
      </w:r>
    </w:p>
    <w:p w14:paraId="73524F89" w14:textId="77777777" w:rsidR="004A2B98" w:rsidRDefault="004A2B98"/>
    <w:p w14:paraId="45D4C982" w14:textId="46A0E0A9" w:rsidR="004A2B98" w:rsidRDefault="004A2B98">
      <w:r>
        <w:lastRenderedPageBreak/>
        <w:t xml:space="preserve">NOMENCLATURE OF VARIANTS </w:t>
      </w:r>
    </w:p>
    <w:p w14:paraId="2F4C4C00" w14:textId="77777777" w:rsidR="004A2B98" w:rsidRDefault="004A2B98"/>
    <w:p w14:paraId="01B2AF0D" w14:textId="77777777" w:rsidR="004A2B98" w:rsidRDefault="004A2B98"/>
    <w:p w14:paraId="6ADA2A1C" w14:textId="77777777" w:rsidR="004A2B98" w:rsidRDefault="004A2B98"/>
    <w:p w14:paraId="40082452" w14:textId="583EF3A0" w:rsidR="005F1F0B" w:rsidRDefault="008E764F">
      <w:r w:rsidRPr="008E764F">
        <w:drawing>
          <wp:inline distT="0" distB="0" distL="0" distR="0" wp14:anchorId="0215284E" wp14:editId="628414B8">
            <wp:extent cx="5943600" cy="5572125"/>
            <wp:effectExtent l="0" t="0" r="0" b="0"/>
            <wp:docPr id="171717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70486" name=""/>
                    <pic:cNvPicPr/>
                  </pic:nvPicPr>
                  <pic:blipFill>
                    <a:blip r:embed="rId20"/>
                    <a:stretch>
                      <a:fillRect/>
                    </a:stretch>
                  </pic:blipFill>
                  <pic:spPr>
                    <a:xfrm>
                      <a:off x="0" y="0"/>
                      <a:ext cx="5943600" cy="5572125"/>
                    </a:xfrm>
                    <a:prstGeom prst="rect">
                      <a:avLst/>
                    </a:prstGeom>
                  </pic:spPr>
                </pic:pic>
              </a:graphicData>
            </a:graphic>
          </wp:inline>
        </w:drawing>
      </w:r>
    </w:p>
    <w:p w14:paraId="1A14346D" w14:textId="735686CB" w:rsidR="005F1F0B" w:rsidRDefault="005F1F0B">
      <w:r w:rsidRPr="005F1F0B">
        <w:lastRenderedPageBreak/>
        <w:drawing>
          <wp:inline distT="0" distB="0" distL="0" distR="0" wp14:anchorId="597E21F7" wp14:editId="19247F62">
            <wp:extent cx="5019472" cy="3992762"/>
            <wp:effectExtent l="0" t="0" r="0" b="0"/>
            <wp:docPr id="1790978980" name="Image 5"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5" descr="preencoded.png"/>
                    <pic:cNvPicPr>
                      <a:picLocks noChangeAspect="1"/>
                    </pic:cNvPicPr>
                  </pic:nvPicPr>
                  <pic:blipFill>
                    <a:blip r:embed="rId21"/>
                    <a:stretch>
                      <a:fillRect/>
                    </a:stretch>
                  </pic:blipFill>
                  <pic:spPr>
                    <a:xfrm>
                      <a:off x="0" y="0"/>
                      <a:ext cx="5050198" cy="4017203"/>
                    </a:xfrm>
                    <a:prstGeom prst="rect">
                      <a:avLst/>
                    </a:prstGeom>
                  </pic:spPr>
                </pic:pic>
              </a:graphicData>
            </a:graphic>
          </wp:inline>
        </w:drawing>
      </w:r>
    </w:p>
    <w:p w14:paraId="0C751C4A" w14:textId="77777777" w:rsidR="00E53ED0" w:rsidRDefault="00E53ED0"/>
    <w:p w14:paraId="1CC17471" w14:textId="3DD5C132" w:rsidR="00E53ED0" w:rsidRDefault="001D26EE">
      <w:r w:rsidRPr="001D26EE">
        <w:rPr>
          <w:noProof/>
        </w:rPr>
        <w:t xml:space="preserve"> </w:t>
      </w:r>
    </w:p>
    <w:p w14:paraId="695D3E97" w14:textId="77777777" w:rsidR="00E53ED0" w:rsidRPr="00E53ED0" w:rsidRDefault="00E53ED0" w:rsidP="00E53ED0">
      <w:pPr>
        <w:rPr>
          <w:lang w:val="en-US"/>
        </w:rPr>
      </w:pPr>
      <w:r w:rsidRPr="00E53ED0">
        <w:rPr>
          <w:b/>
          <w:bCs/>
          <w:lang w:val="en-US"/>
        </w:rPr>
        <w:t xml:space="preserve">LEPR </w:t>
      </w:r>
      <w:proofErr w:type="gramStart"/>
      <w:r w:rsidRPr="00E53ED0">
        <w:rPr>
          <w:b/>
          <w:bCs/>
          <w:lang w:val="en-US"/>
        </w:rPr>
        <w:t>Frameshift  (</w:t>
      </w:r>
      <w:proofErr w:type="gramEnd"/>
      <w:r w:rsidRPr="00E53ED0">
        <w:rPr>
          <w:b/>
          <w:bCs/>
          <w:lang w:val="en-US"/>
        </w:rPr>
        <w:t>HIGH)</w:t>
      </w:r>
      <w:r w:rsidRPr="00E53ED0">
        <w:rPr>
          <w:b/>
          <w:bCs/>
          <w:lang w:val="en-US"/>
        </w:rPr>
        <w:br/>
      </w:r>
      <w:r w:rsidRPr="00E53ED0">
        <w:rPr>
          <w:lang w:val="en-US"/>
        </w:rPr>
        <w:t>The LEPR c.1790del frameshift (</w:t>
      </w:r>
      <w:proofErr w:type="gramStart"/>
      <w:r w:rsidRPr="00E53ED0">
        <w:rPr>
          <w:lang w:val="en-US"/>
        </w:rPr>
        <w:t>p.Ser</w:t>
      </w:r>
      <w:proofErr w:type="gramEnd"/>
      <w:r w:rsidRPr="00E53ED0">
        <w:rPr>
          <w:lang w:val="en-US"/>
        </w:rPr>
        <w:t>597IlefsTer20) disrupts the intracellular domain of the Leptin Receptor, introducing a premature stop codon after residue 597. Confirmed on the MANE Select transcript (NM_002303.6), this COSMIC somatic variant is consistent with oncogenic loss-of-function. HIGH VEP impact across 13 protein-coding transcripts underscores clinical relevance.</w:t>
      </w:r>
      <w:r w:rsidRPr="00E53ED0">
        <w:rPr>
          <w:lang w:val="en-US"/>
        </w:rPr>
        <w:br/>
      </w:r>
      <w:r w:rsidRPr="00E53ED0">
        <w:rPr>
          <w:lang w:val="en-US"/>
        </w:rPr>
        <w:br/>
      </w:r>
      <w:r w:rsidRPr="00E53ED0">
        <w:rPr>
          <w:b/>
          <w:bCs/>
          <w:lang w:val="en-US"/>
        </w:rPr>
        <w:t xml:space="preserve">MED12 </w:t>
      </w:r>
      <w:proofErr w:type="gramStart"/>
      <w:r w:rsidRPr="00E53ED0">
        <w:rPr>
          <w:b/>
          <w:bCs/>
          <w:lang w:val="en-US"/>
        </w:rPr>
        <w:t>Missense  (</w:t>
      </w:r>
      <w:proofErr w:type="gramEnd"/>
      <w:r w:rsidRPr="00E53ED0">
        <w:rPr>
          <w:b/>
          <w:bCs/>
          <w:lang w:val="en-US"/>
        </w:rPr>
        <w:t>MODERATE)</w:t>
      </w:r>
      <w:r w:rsidRPr="00E53ED0">
        <w:rPr>
          <w:b/>
          <w:bCs/>
          <w:lang w:val="en-US"/>
        </w:rPr>
        <w:br/>
      </w:r>
      <w:r w:rsidRPr="00E53ED0">
        <w:rPr>
          <w:lang w:val="en-US"/>
        </w:rPr>
        <w:t xml:space="preserve">MED12 </w:t>
      </w:r>
      <w:proofErr w:type="gramStart"/>
      <w:r w:rsidRPr="00E53ED0">
        <w:rPr>
          <w:lang w:val="en-US"/>
        </w:rPr>
        <w:t>p.Ala</w:t>
      </w:r>
      <w:proofErr w:type="gramEnd"/>
      <w:r w:rsidRPr="00E53ED0">
        <w:rPr>
          <w:lang w:val="en-US"/>
        </w:rPr>
        <w:t>210Val (c.629C&gt;T, exon 5) is heterozygous in this female individual. SIFT predicts deleterious (low confidence, 0.02); PolyPhen-2 classifies as predominantly benign. ClinVar VUS status and the known role of MED12 mutations in uterine fibroids warrant monitoring.</w:t>
      </w:r>
      <w:r w:rsidRPr="00E53ED0">
        <w:rPr>
          <w:lang w:val="en-US"/>
        </w:rPr>
        <w:br/>
      </w:r>
      <w:r w:rsidRPr="00E53ED0">
        <w:rPr>
          <w:lang w:val="en-US"/>
        </w:rPr>
        <w:br/>
      </w:r>
      <w:r w:rsidRPr="00E53ED0">
        <w:rPr>
          <w:b/>
          <w:bCs/>
          <w:lang w:val="en-US"/>
        </w:rPr>
        <w:t>Zygosity — Female Correction</w:t>
      </w:r>
      <w:r w:rsidRPr="00E53ED0">
        <w:rPr>
          <w:b/>
          <w:bCs/>
          <w:lang w:val="en-US"/>
        </w:rPr>
        <w:br/>
      </w:r>
      <w:r w:rsidRPr="00E53ED0">
        <w:rPr>
          <w:lang w:val="en-US"/>
        </w:rPr>
        <w:t>Both variants show VAF ~48–51%, consistent with heterozygosity in an XX female. MED12 is on chrX — in females with two X chromosomes, this is heterozygous (not hemizygous as it would be in males).</w:t>
      </w:r>
    </w:p>
    <w:p w14:paraId="48DF9129" w14:textId="4A959F07" w:rsidR="00E53ED0" w:rsidRDefault="00E53ED0"/>
    <w:sectPr w:rsidR="00E53ED0" w:rsidSect="003902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C4"/>
    <w:rsid w:val="000A31C9"/>
    <w:rsid w:val="000C7583"/>
    <w:rsid w:val="001D26EE"/>
    <w:rsid w:val="00224E2A"/>
    <w:rsid w:val="00257A68"/>
    <w:rsid w:val="002B4DA6"/>
    <w:rsid w:val="002E23E8"/>
    <w:rsid w:val="0039026B"/>
    <w:rsid w:val="003970C0"/>
    <w:rsid w:val="003F0C90"/>
    <w:rsid w:val="00460CF3"/>
    <w:rsid w:val="004A2B98"/>
    <w:rsid w:val="004A6993"/>
    <w:rsid w:val="004D6340"/>
    <w:rsid w:val="00525CC4"/>
    <w:rsid w:val="005F1F0B"/>
    <w:rsid w:val="006377D5"/>
    <w:rsid w:val="006A1C3A"/>
    <w:rsid w:val="00707F90"/>
    <w:rsid w:val="0073706E"/>
    <w:rsid w:val="00782036"/>
    <w:rsid w:val="008048C9"/>
    <w:rsid w:val="0080520A"/>
    <w:rsid w:val="0084551B"/>
    <w:rsid w:val="0086250B"/>
    <w:rsid w:val="008D75B7"/>
    <w:rsid w:val="008E764F"/>
    <w:rsid w:val="008F16BF"/>
    <w:rsid w:val="009B6235"/>
    <w:rsid w:val="00A44014"/>
    <w:rsid w:val="00A46B6A"/>
    <w:rsid w:val="00A56098"/>
    <w:rsid w:val="00AD5BF2"/>
    <w:rsid w:val="00B00B96"/>
    <w:rsid w:val="00B439C0"/>
    <w:rsid w:val="00C219FF"/>
    <w:rsid w:val="00D16188"/>
    <w:rsid w:val="00E02EF2"/>
    <w:rsid w:val="00E53ED0"/>
    <w:rsid w:val="00E91A12"/>
    <w:rsid w:val="00EB3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78D4D"/>
  <w14:defaultImageDpi w14:val="32767"/>
  <w15:chartTrackingRefBased/>
  <w15:docId w15:val="{722DE411-1BFB-5E47-980B-F0ACB9862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26EE"/>
    <w:rPr>
      <w:lang w:val="es-ES"/>
    </w:rPr>
  </w:style>
  <w:style w:type="paragraph" w:styleId="Heading1">
    <w:name w:val="heading 1"/>
    <w:basedOn w:val="Normal"/>
    <w:next w:val="Normal"/>
    <w:link w:val="Heading1Char"/>
    <w:uiPriority w:val="9"/>
    <w:qFormat/>
    <w:rsid w:val="00525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C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C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C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C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C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CC4"/>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525CC4"/>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525CC4"/>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525CC4"/>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525CC4"/>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525CC4"/>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525CC4"/>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525CC4"/>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525CC4"/>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525C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CC4"/>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525C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CC4"/>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525C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5CC4"/>
    <w:rPr>
      <w:i/>
      <w:iCs/>
      <w:color w:val="404040" w:themeColor="text1" w:themeTint="BF"/>
      <w:lang w:val="es-ES"/>
    </w:rPr>
  </w:style>
  <w:style w:type="paragraph" w:styleId="ListParagraph">
    <w:name w:val="List Paragraph"/>
    <w:basedOn w:val="Normal"/>
    <w:uiPriority w:val="34"/>
    <w:qFormat/>
    <w:rsid w:val="00525CC4"/>
    <w:pPr>
      <w:ind w:left="720"/>
      <w:contextualSpacing/>
    </w:pPr>
  </w:style>
  <w:style w:type="character" w:styleId="IntenseEmphasis">
    <w:name w:val="Intense Emphasis"/>
    <w:basedOn w:val="DefaultParagraphFont"/>
    <w:uiPriority w:val="21"/>
    <w:qFormat/>
    <w:rsid w:val="00525CC4"/>
    <w:rPr>
      <w:i/>
      <w:iCs/>
      <w:color w:val="0F4761" w:themeColor="accent1" w:themeShade="BF"/>
    </w:rPr>
  </w:style>
  <w:style w:type="paragraph" w:styleId="IntenseQuote">
    <w:name w:val="Intense Quote"/>
    <w:basedOn w:val="Normal"/>
    <w:next w:val="Normal"/>
    <w:link w:val="IntenseQuoteChar"/>
    <w:uiPriority w:val="30"/>
    <w:qFormat/>
    <w:rsid w:val="00525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CC4"/>
    <w:rPr>
      <w:i/>
      <w:iCs/>
      <w:color w:val="0F4761" w:themeColor="accent1" w:themeShade="BF"/>
      <w:lang w:val="es-ES"/>
    </w:rPr>
  </w:style>
  <w:style w:type="character" w:styleId="IntenseReference">
    <w:name w:val="Intense Reference"/>
    <w:basedOn w:val="DefaultParagraphFont"/>
    <w:uiPriority w:val="32"/>
    <w:qFormat/>
    <w:rsid w:val="00525CC4"/>
    <w:rPr>
      <w:b/>
      <w:bCs/>
      <w:smallCaps/>
      <w:color w:val="0F4761" w:themeColor="accent1" w:themeShade="BF"/>
      <w:spacing w:val="5"/>
    </w:rPr>
  </w:style>
  <w:style w:type="character" w:styleId="Hyperlink">
    <w:name w:val="Hyperlink"/>
    <w:basedOn w:val="DefaultParagraphFont"/>
    <w:uiPriority w:val="99"/>
    <w:unhideWhenUsed/>
    <w:rsid w:val="00525CC4"/>
    <w:rPr>
      <w:color w:val="467886" w:themeColor="hyperlink"/>
      <w:u w:val="single"/>
    </w:rPr>
  </w:style>
  <w:style w:type="character" w:styleId="UnresolvedMention">
    <w:name w:val="Unresolved Mention"/>
    <w:basedOn w:val="DefaultParagraphFont"/>
    <w:uiPriority w:val="99"/>
    <w:rsid w:val="00525CC4"/>
    <w:rPr>
      <w:color w:val="605E5C"/>
      <w:shd w:val="clear" w:color="auto" w:fill="E1DFDD"/>
    </w:rPr>
  </w:style>
  <w:style w:type="character" w:styleId="Emphasis">
    <w:name w:val="Emphasis"/>
    <w:basedOn w:val="DefaultParagraphFont"/>
    <w:uiPriority w:val="20"/>
    <w:qFormat/>
    <w:rsid w:val="00B00B96"/>
    <w:rPr>
      <w:i/>
      <w:iCs/>
    </w:rPr>
  </w:style>
  <w:style w:type="character" w:styleId="FollowedHyperlink">
    <w:name w:val="FollowedHyperlink"/>
    <w:basedOn w:val="DefaultParagraphFont"/>
    <w:uiPriority w:val="99"/>
    <w:semiHidden/>
    <w:unhideWhenUsed/>
    <w:rsid w:val="004A2B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east.ensembl.org/Multi/Tools/VEP?db=cor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webSettings" Target="webSettings.xml"/><Relationship Id="rId21" Type="http://schemas.openxmlformats.org/officeDocument/2006/relationships/image" Target="media/image12.png"/><Relationship Id="rId7" Type="http://schemas.openxmlformats.org/officeDocument/2006/relationships/hyperlink" Target="https://useast.ensembl.org/Homo_sapiens/Tools/VEP/Results?tl=z5AcV2gZykL4uERm-11924609"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styles" Target="styles.xml"/><Relationship Id="rId6" Type="http://schemas.openxmlformats.org/officeDocument/2006/relationships/hyperlink" Target="https://www.uniprot.org/uniprotkb/P48357/entry" TargetMode="External"/><Relationship Id="rId11" Type="http://schemas.openxmlformats.org/officeDocument/2006/relationships/image" Target="media/image2.png"/><Relationship Id="rId5" Type="http://schemas.openxmlformats.org/officeDocument/2006/relationships/hyperlink" Target="https://www.uniprot.org/uniprotkb/Q93074/genomic-coordinates" TargetMode="Externa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png"/><Relationship Id="rId4" Type="http://schemas.openxmlformats.org/officeDocument/2006/relationships/hyperlink" Target="https://www.proteinatlas.org/ENSG00000184634-MED12" TargetMode="External"/><Relationship Id="rId9" Type="http://schemas.openxmlformats.org/officeDocument/2006/relationships/hyperlink" Target="https://useast.ensembl.org/Homo_sapiens/Tools/VEP/Results?tl=rBi0VpQByasxfxiD-11930538"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11</Pages>
  <Words>1289</Words>
  <Characters>7350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ardila</dc:creator>
  <cp:keywords/>
  <dc:description/>
  <cp:lastModifiedBy>Alex ardila</cp:lastModifiedBy>
  <cp:revision>2</cp:revision>
  <dcterms:created xsi:type="dcterms:W3CDTF">2026-06-10T19:17:00Z</dcterms:created>
  <dcterms:modified xsi:type="dcterms:W3CDTF">2026-06-14T19:46:00Z</dcterms:modified>
</cp:coreProperties>
</file>