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32583"/>
      <w:bookmarkStart w:id="1" w:name="_Toc10338"/>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16414"/>
      <w:bookmarkStart w:id="5" w:name="_Toc30825"/>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25290"/>
      <w:bookmarkStart w:id="11" w:name="_Toc12122"/>
      <w:r>
        <w:rPr>
          <w:rFonts w:hint="eastAsia"/>
          <w:lang w:val="en-US" w:eastAsia="zh-CN"/>
        </w:rPr>
        <w:t>研究背景及意义</w:t>
      </w:r>
      <w:bookmarkEnd w:id="10"/>
      <w:bookmarkEnd w:id="11"/>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13" w:name="_Ref22940"/>
      <w:r>
        <w:rPr>
          <w:rStyle w:val="22"/>
          <w:rFonts w:hint="eastAsia" w:ascii="Times New Roman" w:hAnsi="Times New Roman"/>
          <w:sz w:val="24"/>
          <w:szCs w:val="24"/>
          <w:lang w:val="en-US" w:eastAsia="zh-CN"/>
        </w:rPr>
        <w:endnoteReference w:id="15"/>
      </w:r>
      <w:bookmarkEnd w:id="13"/>
      <w:r>
        <w:rPr>
          <w:rStyle w:val="22"/>
          <w:rFonts w:hint="eastAsia" w:ascii="Times New Roman" w:hAnsi="Times New Roman"/>
          <w:sz w:val="24"/>
          <w:szCs w:val="24"/>
          <w:lang w:val="en-US" w:eastAsia="zh-CN"/>
        </w:rPr>
        <w:t>]</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9203"/>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TVP，为整个可信虚拟平台提供物理保障。第二层主要包括虚拟机监视器（Virtual Machine Monitor, 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0601"/>
      <w:bookmarkStart w:id="20" w:name="_Toc16348"/>
      <w:bookmarkStart w:id="21" w:name="_Toc20820"/>
      <w:r>
        <w:rPr>
          <w:rFonts w:hint="eastAsia"/>
          <w:lang w:val="en-US" w:eastAsia="zh-CN"/>
        </w:rPr>
        <w:t>图1.1 TVP基本运行架构</w:t>
      </w:r>
      <w:bookmarkEnd w:id="19"/>
      <w:bookmarkEnd w:id="20"/>
      <w:bookmarkEnd w:id="2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529"/>
      <w:bookmarkStart w:id="27" w:name="_Toc29487"/>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875"/>
      <w:r>
        <w:rPr>
          <w:rFonts w:hint="eastAsia" w:ascii="Times New Roman" w:hAnsi="Times New Roman" w:eastAsia="黑体"/>
          <w:b/>
          <w:sz w:val="24"/>
          <w:szCs w:val="24"/>
          <w:lang w:val="en-US" w:eastAsia="zh-CN"/>
        </w:rPr>
        <w:t>无干扰理论</w:t>
      </w:r>
      <w:bookmarkEnd w:id="28"/>
      <w:bookmarkEnd w:id="29"/>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w:t>
      </w:r>
      <w:bookmarkStart w:id="176" w:name="_GoBack"/>
      <w:bookmarkEnd w:id="176"/>
      <w:r>
        <w:rPr>
          <w:rFonts w:hint="eastAsia" w:ascii="Times New Roman" w:hAnsi="Times New Roman"/>
          <w:sz w:val="24"/>
          <w:szCs w:val="24"/>
          <w:lang w:val="en-US" w:eastAsia="zh-CN"/>
        </w:rPr>
        <w:t>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p>
    <w:p>
      <w:pPr>
        <w:pStyle w:val="3"/>
        <w:spacing w:line="360" w:lineRule="auto"/>
        <w:ind w:left="0" w:leftChars="0" w:firstLine="0" w:firstLineChars="0"/>
        <w:rPr>
          <w:rFonts w:hint="eastAsia" w:ascii="Times New Roman" w:hAnsi="Times New Roman" w:eastAsia="黑体"/>
          <w:b/>
          <w:sz w:val="28"/>
          <w:szCs w:val="28"/>
        </w:rPr>
      </w:pPr>
      <w:bookmarkStart w:id="32" w:name="_Toc1695"/>
      <w:bookmarkStart w:id="33" w:name="_Toc2602"/>
      <w:r>
        <w:rPr>
          <w:rFonts w:hint="eastAsia" w:ascii="Times New Roman" w:hAnsi="Times New Roman" w:eastAsia="黑体"/>
          <w:b/>
          <w:sz w:val="28"/>
          <w:szCs w:val="28"/>
        </w:rPr>
        <w:t>论文组织结构</w:t>
      </w:r>
      <w:bookmarkEnd w:id="32"/>
      <w:bookmarkEnd w:id="33"/>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11892"/>
      <w:bookmarkStart w:id="37" w:name="_Toc21310"/>
      <w:r>
        <w:rPr>
          <w:rFonts w:hint="eastAsia" w:ascii="Times New Roman" w:hAnsi="Times New Roman" w:eastAsia="黑体"/>
          <w:b/>
          <w:sz w:val="28"/>
          <w:szCs w:val="28"/>
          <w:lang w:val="en-US" w:eastAsia="zh-CN"/>
        </w:rPr>
        <w:t>虚拟化技术</w:t>
      </w:r>
      <w:bookmarkEnd w:id="36"/>
      <w:bookmarkEnd w:id="37"/>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1024"/>
      <w:r>
        <w:rPr>
          <w:rFonts w:hint="eastAsia"/>
          <w:lang w:val="en-US" w:eastAsia="zh-CN"/>
        </w:rPr>
        <w:t>虚拟化技术分类</w:t>
      </w:r>
      <w:bookmarkEnd w:id="38"/>
      <w:bookmarkEnd w:id="39"/>
    </w:p>
    <w:p>
      <w:pPr>
        <w:spacing w:line="360" w:lineRule="auto"/>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42" w:name="_Toc7704"/>
      <w:bookmarkStart w:id="43" w:name="_Toc955"/>
      <w:bookmarkStart w:id="44" w:name="_Toc28977"/>
      <w:r>
        <w:rPr>
          <w:rFonts w:hint="eastAsia"/>
          <w:lang w:val="en-US" w:eastAsia="zh-CN"/>
        </w:rPr>
        <w:t>图2.1 虚拟机与VMM基本结构</w:t>
      </w:r>
      <w:bookmarkEnd w:id="42"/>
      <w:bookmarkEnd w:id="43"/>
      <w:bookmarkEnd w:id="44"/>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360" w:lineRule="auto"/>
        <w:ind w:firstLine="0" w:firstLineChars="0"/>
        <w:rPr>
          <w:rFonts w:hint="eastAsia" w:ascii="Times New Roman" w:hAnsi="Times New Roman" w:eastAsia="黑体"/>
          <w:b/>
          <w:sz w:val="24"/>
          <w:szCs w:val="24"/>
        </w:rPr>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15188"/>
      <w:bookmarkStart w:id="50" w:name="_Toc26098"/>
      <w:r>
        <w:rPr>
          <w:rFonts w:hint="eastAsia"/>
          <w:lang w:val="en-US" w:eastAsia="zh-CN"/>
        </w:rPr>
        <w:t>可信平台模块</w:t>
      </w:r>
      <w:bookmarkEnd w:id="49"/>
      <w:bookmarkEnd w:id="50"/>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51" w:name="_Toc24348"/>
      <w:bookmarkStart w:id="52" w:name="_Toc26547"/>
      <w:r>
        <w:rPr>
          <w:rFonts w:hint="eastAsia" w:ascii="Times New Roman" w:hAnsi="Times New Roman" w:eastAsia="黑体"/>
          <w:b/>
          <w:sz w:val="24"/>
          <w:szCs w:val="24"/>
          <w:lang w:val="en-US" w:eastAsia="zh-CN"/>
        </w:rPr>
        <w:t>信任链技术</w:t>
      </w:r>
      <w:bookmarkEnd w:id="51"/>
      <w:bookmarkEnd w:id="52"/>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53" w:name="_Toc17132"/>
      <w:bookmarkStart w:id="54" w:name="_Toc31183"/>
      <w:r>
        <w:rPr>
          <w:rFonts w:hint="eastAsia"/>
          <w:lang w:val="en-US" w:eastAsia="zh-CN"/>
        </w:rPr>
        <w:t>可信计算模块虚拟化</w:t>
      </w:r>
      <w:bookmarkEnd w:id="53"/>
      <w:bookmarkEnd w:id="54"/>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16948"/>
      <w:bookmarkStart w:id="56" w:name="_Toc28048"/>
      <w:r>
        <w:rPr>
          <w:rFonts w:hint="eastAsia"/>
          <w:lang w:val="en-US" w:eastAsia="zh-CN"/>
        </w:rPr>
        <w:t>形式化分析方法</w:t>
      </w:r>
      <w:bookmarkEnd w:id="55"/>
      <w:bookmarkEnd w:id="56"/>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项技术。不同的形式化方法的数学基础是不同的，有的以集合论和一阶谓词演算为基础，有的则以时态逻辑为基础。</w:t>
      </w:r>
    </w:p>
    <w:p>
      <w:pPr>
        <w:pStyle w:val="4"/>
        <w:rPr>
          <w:rFonts w:hint="eastAsia"/>
        </w:rPr>
      </w:pPr>
      <w:bookmarkStart w:id="57" w:name="_Toc15270"/>
      <w:bookmarkStart w:id="58" w:name="_Toc893"/>
      <w:r>
        <w:rPr>
          <w:rFonts w:hint="eastAsia"/>
          <w:lang w:val="en-US" w:eastAsia="zh-CN"/>
        </w:rPr>
        <w:t>无干扰理论</w:t>
      </w:r>
      <w:bookmarkEnd w:id="57"/>
      <w:bookmarkEnd w:id="5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59" w:name="_Toc17183"/>
      <w:bookmarkStart w:id="60" w:name="_Toc24533"/>
      <w:r>
        <w:rPr>
          <w:rFonts w:hint="eastAsia"/>
          <w:lang w:val="en-US" w:eastAsia="zh-CN"/>
        </w:rPr>
        <w:t>安全系统逻辑理论</w:t>
      </w:r>
      <w:bookmarkEnd w:id="59"/>
      <w:bookmarkEnd w:id="6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ascii="Times New Roman" w:hAnsi="Times New Roman" w:eastAsia="仿宋_GB2312"/>
          <w:b/>
          <w:sz w:val="30"/>
          <w:szCs w:val="30"/>
        </w:rPr>
      </w:pPr>
      <w:bookmarkStart w:id="64" w:name="_Toc24996"/>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65" w:name="_Ref10023"/>
      <w:r>
        <w:rPr>
          <w:rStyle w:val="22"/>
          <w:rFonts w:hint="eastAsia"/>
        </w:rPr>
        <w:endnoteReference w:id="54"/>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alt=""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539"/>
      <w:bookmarkStart w:id="69" w:name="_Toc1994"/>
      <w:bookmarkStart w:id="70" w:name="_Toc23361"/>
      <w:r>
        <w:rPr>
          <w:rFonts w:hint="eastAsia"/>
          <w:lang w:val="en-US" w:eastAsia="zh-CN"/>
        </w:rPr>
        <w:t xml:space="preserve">图3.1 </w:t>
      </w:r>
      <w:r>
        <w:rPr>
          <w:rFonts w:hint="eastAsia"/>
        </w:rPr>
        <w:t>TVP-QT运行架构</w:t>
      </w:r>
      <w:bookmarkEnd w:id="68"/>
      <w:bookmarkEnd w:id="69"/>
      <w:bookmarkEnd w:id="7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7918"/>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26898"/>
      <w:bookmarkStart w:id="75" w:name="_Toc325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alt=""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225"/>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27200"/>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6756"/>
      <w:bookmarkStart w:id="82" w:name="_Toc32295"/>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22298"/>
      <w:bookmarkStart w:id="85" w:name="_Toc9009"/>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23128"/>
      <w:bookmarkStart w:id="90" w:name="_Toc10511"/>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91" w:name="_Toc9539"/>
      <w:bookmarkStart w:id="92" w:name="_Toc2277"/>
      <w:bookmarkStart w:id="93" w:name="_Toc27548"/>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94" w:name="_Toc153"/>
      <w:bookmarkStart w:id="95" w:name="_Toc1647"/>
      <w:bookmarkStart w:id="96" w:name="_Toc20805"/>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97" w:name="_Toc24116"/>
      <w:bookmarkStart w:id="98" w:name="_Toc29460"/>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20123"/>
      <w:bookmarkStart w:id="101" w:name="_Toc10242"/>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28405"/>
      <w:bookmarkStart w:id="103" w:name="_Toc6206"/>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5914"/>
      <w:bookmarkStart w:id="106" w:name="_Toc2643"/>
      <w:bookmarkStart w:id="107" w:name="_Toc19585"/>
      <w:r>
        <w:rPr>
          <w:rFonts w:hint="eastAsia"/>
          <w:lang w:val="en-US" w:eastAsia="zh-CN"/>
        </w:rPr>
        <w:t xml:space="preserve">图3.7 </w:t>
      </w:r>
      <w:r>
        <w:rPr>
          <w:rFonts w:hint="eastAsia"/>
        </w:rPr>
        <w:t>信任链PCR信息</w:t>
      </w:r>
      <w:bookmarkEnd w:id="105"/>
      <w:bookmarkEnd w:id="106"/>
      <w:bookmarkEnd w:id="107"/>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7208"/>
      <w:bookmarkStart w:id="109" w:name="_Toc14273"/>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21503"/>
      <w:bookmarkStart w:id="114" w:name="_Toc5638"/>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6" w:name="_Toc24659"/>
      <w:bookmarkStart w:id="117" w:name="_Toc19048"/>
      <w:bookmarkStart w:id="118" w:name="_Toc14400"/>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9154"/>
      <w:bookmarkStart w:id="12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22487"/>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1175"/>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131" w:name="_Toc20969"/>
      <w:bookmarkStart w:id="132" w:name="_Toc26646"/>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133" w:name="_Toc2128"/>
      <w:bookmarkStart w:id="134" w:name="_Toc2597"/>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3364"/>
      <w:bookmarkStart w:id="138" w:name="_Toc21940"/>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2430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9869"/>
      <w:bookmarkStart w:id="142" w:name="_Toc11465"/>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143" w:name="_Toc25959"/>
      <w:bookmarkStart w:id="144" w:name="_Toc12096"/>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26478"/>
      <w:bookmarkStart w:id="150" w:name="_Toc13886"/>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686"/>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4873"/>
      <w:bookmarkStart w:id="160" w:name="_Toc15702"/>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5255"/>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7191"/>
      <w:bookmarkStart w:id="166" w:name="_Toc20955"/>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1479"/>
      <w:bookmarkStart w:id="170" w:name="_Toc32483"/>
      <w:r>
        <w:rPr>
          <w:rFonts w:hint="eastAsia"/>
          <w:lang w:val="en-US" w:eastAsia="zh-CN"/>
        </w:rPr>
        <w:t>参考文献</w:t>
      </w:r>
      <w:bookmarkEnd w:id="169"/>
      <w:bookmarkEnd w:id="170"/>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2346084"/>
    <w:rsid w:val="031D71B4"/>
    <w:rsid w:val="03212B8C"/>
    <w:rsid w:val="03995C87"/>
    <w:rsid w:val="04456BEF"/>
    <w:rsid w:val="04B1369C"/>
    <w:rsid w:val="04E21DE2"/>
    <w:rsid w:val="05361030"/>
    <w:rsid w:val="05740D77"/>
    <w:rsid w:val="058710A0"/>
    <w:rsid w:val="058F0B6F"/>
    <w:rsid w:val="05AD6BB9"/>
    <w:rsid w:val="05FF0CCC"/>
    <w:rsid w:val="06865305"/>
    <w:rsid w:val="078218E3"/>
    <w:rsid w:val="083A166C"/>
    <w:rsid w:val="084F19CB"/>
    <w:rsid w:val="088D41C4"/>
    <w:rsid w:val="095225F0"/>
    <w:rsid w:val="09870F95"/>
    <w:rsid w:val="098F62AB"/>
    <w:rsid w:val="09CA5FEA"/>
    <w:rsid w:val="09ED2221"/>
    <w:rsid w:val="09EF3EDE"/>
    <w:rsid w:val="0A0A383C"/>
    <w:rsid w:val="0A28147B"/>
    <w:rsid w:val="0A786313"/>
    <w:rsid w:val="0A8714F6"/>
    <w:rsid w:val="0A970D4A"/>
    <w:rsid w:val="0ADD23F7"/>
    <w:rsid w:val="0B5E33D2"/>
    <w:rsid w:val="0B7A1E83"/>
    <w:rsid w:val="0BA11285"/>
    <w:rsid w:val="0C5303EF"/>
    <w:rsid w:val="0D27346C"/>
    <w:rsid w:val="0D2B463F"/>
    <w:rsid w:val="0DB44185"/>
    <w:rsid w:val="0DC214B4"/>
    <w:rsid w:val="0E34637A"/>
    <w:rsid w:val="0F1D07DB"/>
    <w:rsid w:val="0F7A6C1E"/>
    <w:rsid w:val="0FA2398F"/>
    <w:rsid w:val="0FA52BE4"/>
    <w:rsid w:val="10530DEB"/>
    <w:rsid w:val="10EF0438"/>
    <w:rsid w:val="10F7147F"/>
    <w:rsid w:val="10FE5AA0"/>
    <w:rsid w:val="11171863"/>
    <w:rsid w:val="11491286"/>
    <w:rsid w:val="11584355"/>
    <w:rsid w:val="11B84176"/>
    <w:rsid w:val="122226BB"/>
    <w:rsid w:val="124901C1"/>
    <w:rsid w:val="126C3A7A"/>
    <w:rsid w:val="12790B77"/>
    <w:rsid w:val="13D3666E"/>
    <w:rsid w:val="142C32D6"/>
    <w:rsid w:val="14C17B19"/>
    <w:rsid w:val="15EE2B3C"/>
    <w:rsid w:val="167C4FE1"/>
    <w:rsid w:val="16CA7F03"/>
    <w:rsid w:val="16EB75C8"/>
    <w:rsid w:val="16FF747D"/>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7397"/>
    <w:rsid w:val="1E537A14"/>
    <w:rsid w:val="1E794DF3"/>
    <w:rsid w:val="1F086ED0"/>
    <w:rsid w:val="1F3B130B"/>
    <w:rsid w:val="1F4B1B50"/>
    <w:rsid w:val="1FAA7A38"/>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A11C6"/>
    <w:rsid w:val="2CE65DD0"/>
    <w:rsid w:val="2D4F3ECF"/>
    <w:rsid w:val="2D9519B6"/>
    <w:rsid w:val="2D9C0D4D"/>
    <w:rsid w:val="2DF04EFA"/>
    <w:rsid w:val="2DF34AED"/>
    <w:rsid w:val="2E4A4D5B"/>
    <w:rsid w:val="2E6C0E71"/>
    <w:rsid w:val="2F255EB1"/>
    <w:rsid w:val="2F405154"/>
    <w:rsid w:val="3067375F"/>
    <w:rsid w:val="30BE20BE"/>
    <w:rsid w:val="30C94668"/>
    <w:rsid w:val="316D70E5"/>
    <w:rsid w:val="31DD5ECF"/>
    <w:rsid w:val="32E26A70"/>
    <w:rsid w:val="32F17F20"/>
    <w:rsid w:val="334F48C2"/>
    <w:rsid w:val="33E4256E"/>
    <w:rsid w:val="33E83577"/>
    <w:rsid w:val="341144C7"/>
    <w:rsid w:val="34BB0843"/>
    <w:rsid w:val="34E8637B"/>
    <w:rsid w:val="365611DF"/>
    <w:rsid w:val="36F82722"/>
    <w:rsid w:val="376B1D06"/>
    <w:rsid w:val="379D2778"/>
    <w:rsid w:val="382C60A0"/>
    <w:rsid w:val="385E656E"/>
    <w:rsid w:val="398A5F5B"/>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B2E1415"/>
    <w:rsid w:val="4BC117C0"/>
    <w:rsid w:val="4BEB067A"/>
    <w:rsid w:val="4C6F32A3"/>
    <w:rsid w:val="4D5A0D09"/>
    <w:rsid w:val="4DA93059"/>
    <w:rsid w:val="4DEB62C9"/>
    <w:rsid w:val="4E4F7EA3"/>
    <w:rsid w:val="4E8B6611"/>
    <w:rsid w:val="4F3A3CA1"/>
    <w:rsid w:val="4F5377BC"/>
    <w:rsid w:val="4F7F53F8"/>
    <w:rsid w:val="4FE149DD"/>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70E17CD"/>
    <w:rsid w:val="57EE3DB7"/>
    <w:rsid w:val="57F25CD8"/>
    <w:rsid w:val="57F9111D"/>
    <w:rsid w:val="582F65DE"/>
    <w:rsid w:val="586F2036"/>
    <w:rsid w:val="589310A0"/>
    <w:rsid w:val="58DB776F"/>
    <w:rsid w:val="593F7336"/>
    <w:rsid w:val="59A06EA0"/>
    <w:rsid w:val="5AA9770C"/>
    <w:rsid w:val="5CB771B7"/>
    <w:rsid w:val="5DDD0754"/>
    <w:rsid w:val="5E116F05"/>
    <w:rsid w:val="5E405A82"/>
    <w:rsid w:val="5E75473D"/>
    <w:rsid w:val="5E7670E2"/>
    <w:rsid w:val="5E832416"/>
    <w:rsid w:val="5F114EB9"/>
    <w:rsid w:val="5F2639CD"/>
    <w:rsid w:val="5F28514A"/>
    <w:rsid w:val="5F396098"/>
    <w:rsid w:val="5F4662E2"/>
    <w:rsid w:val="5F8529FF"/>
    <w:rsid w:val="5FA14B6F"/>
    <w:rsid w:val="5FA66969"/>
    <w:rsid w:val="607661DE"/>
    <w:rsid w:val="60C77180"/>
    <w:rsid w:val="60DE3F8E"/>
    <w:rsid w:val="60EE265A"/>
    <w:rsid w:val="61115BF7"/>
    <w:rsid w:val="61892F96"/>
    <w:rsid w:val="61AA7343"/>
    <w:rsid w:val="623412C2"/>
    <w:rsid w:val="62C740D1"/>
    <w:rsid w:val="62E52741"/>
    <w:rsid w:val="634A74A4"/>
    <w:rsid w:val="63D44B01"/>
    <w:rsid w:val="63E61971"/>
    <w:rsid w:val="63ED0293"/>
    <w:rsid w:val="63ED4AD0"/>
    <w:rsid w:val="63EF7F9A"/>
    <w:rsid w:val="640154BD"/>
    <w:rsid w:val="64984F05"/>
    <w:rsid w:val="64F70FDF"/>
    <w:rsid w:val="6593526C"/>
    <w:rsid w:val="65C21D6D"/>
    <w:rsid w:val="66064BBC"/>
    <w:rsid w:val="6625235C"/>
    <w:rsid w:val="667603C0"/>
    <w:rsid w:val="66947CEC"/>
    <w:rsid w:val="669B627A"/>
    <w:rsid w:val="66A8010B"/>
    <w:rsid w:val="66B20ADB"/>
    <w:rsid w:val="66CA5936"/>
    <w:rsid w:val="67761126"/>
    <w:rsid w:val="67D06103"/>
    <w:rsid w:val="68132FB6"/>
    <w:rsid w:val="6959603B"/>
    <w:rsid w:val="69F3352C"/>
    <w:rsid w:val="69F9624D"/>
    <w:rsid w:val="69FD6984"/>
    <w:rsid w:val="6A121562"/>
    <w:rsid w:val="6A616E41"/>
    <w:rsid w:val="6AB03FA7"/>
    <w:rsid w:val="6B105AC6"/>
    <w:rsid w:val="6B7D4475"/>
    <w:rsid w:val="6BDE780E"/>
    <w:rsid w:val="6C215008"/>
    <w:rsid w:val="6C8C7778"/>
    <w:rsid w:val="6CF37428"/>
    <w:rsid w:val="6E494ED4"/>
    <w:rsid w:val="6F8639ED"/>
    <w:rsid w:val="6FA31C32"/>
    <w:rsid w:val="70091CB4"/>
    <w:rsid w:val="70E13F3D"/>
    <w:rsid w:val="7113524E"/>
    <w:rsid w:val="7114038C"/>
    <w:rsid w:val="71941CC9"/>
    <w:rsid w:val="721B0514"/>
    <w:rsid w:val="72F41666"/>
    <w:rsid w:val="732A363F"/>
    <w:rsid w:val="738F3CED"/>
    <w:rsid w:val="73F3547C"/>
    <w:rsid w:val="74801541"/>
    <w:rsid w:val="74A5688D"/>
    <w:rsid w:val="74FE09B1"/>
    <w:rsid w:val="7524731D"/>
    <w:rsid w:val="7533030D"/>
    <w:rsid w:val="75C1369E"/>
    <w:rsid w:val="75CE0964"/>
    <w:rsid w:val="75CF7D1C"/>
    <w:rsid w:val="7664018F"/>
    <w:rsid w:val="76C44BCD"/>
    <w:rsid w:val="77236AA4"/>
    <w:rsid w:val="772B13B9"/>
    <w:rsid w:val="78002367"/>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2018-03-14T08:57:43Z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