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w:t>
      </w:r>
      <w:bookmarkStart w:id="176" w:name="_GoBack"/>
      <w:bookmarkEnd w:id="176"/>
      <w:r>
        <w:rPr>
          <w:rFonts w:hint="eastAsia" w:eastAsia="宋体"/>
          <w:b/>
          <w:bCs/>
          <w:color w:val="000000"/>
          <w:sz w:val="32"/>
          <w:szCs w:val="32"/>
          <w:u w:val="single"/>
        </w:rPr>
        <w:t>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7148"/>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3814"/>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本文提出的可信虚拟平台信任链模型进行形式化分析，本文针对目前的无干扰进行扩展。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numPr>
          <w:ilvl w:val="0"/>
          <w:numId w:val="0"/>
        </w:numPr>
        <w:spacing w:line="360" w:lineRule="auto"/>
        <w:ind w:firstLine="420" w:firstLineChars="0"/>
        <w:jc w:val="cente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12725"/>
      <w:bookmarkStart w:id="67"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2298"/>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rPr>
      </w:pPr>
      <w:bookmarkStart w:id="91" w:name="_Toc27548"/>
      <w:bookmarkStart w:id="92" w:name="_Toc2277"/>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strike/>
          <w:color w:val="auto"/>
        </w:rPr>
        <w:t>New PCR</w:t>
      </w:r>
      <w:r>
        <w:rPr>
          <w:rFonts w:ascii="Times New Roman" w:hAnsi="Times New Roman"/>
          <w:strike/>
          <w:color w:val="auto"/>
          <w:vertAlign w:val="subscript"/>
        </w:rPr>
        <w:t>i</w:t>
      </w:r>
      <w:r>
        <w:rPr>
          <w:rFonts w:ascii="Times New Roman" w:hAnsi="Times New Roman"/>
          <w:strike/>
          <w:color w:val="auto"/>
        </w:rPr>
        <w:t>=Hash</w:t>
      </w:r>
      <w:r>
        <w:rPr>
          <w:rFonts w:hint="eastAsia" w:ascii="Times New Roman" w:hAnsi="Times New Roman"/>
          <w:strike/>
          <w:color w:val="auto"/>
        </w:rPr>
        <w:t>(</w:t>
      </w:r>
      <w:r>
        <w:rPr>
          <w:rFonts w:ascii="Times New Roman" w:hAnsi="Times New Roman"/>
          <w:strike/>
          <w:color w:val="auto"/>
        </w:rPr>
        <w:t>Old PCR</w:t>
      </w:r>
      <w:r>
        <w:rPr>
          <w:rFonts w:ascii="Times New Roman" w:hAnsi="Times New Roman"/>
          <w:strike/>
          <w:color w:val="auto"/>
          <w:vertAlign w:val="subscript"/>
        </w:rPr>
        <w:t>i</w:t>
      </w:r>
      <w:r>
        <w:rPr>
          <w:rFonts w:ascii="Times New Roman" w:hAnsi="Times New Roman"/>
          <w:strike/>
          <w:color w:val="auto"/>
        </w:rPr>
        <w:t>||New Value</w:t>
      </w:r>
      <w:r>
        <w:rPr>
          <w:rFonts w:hint="eastAsia" w:ascii="Times New Roman" w:hAnsi="Times New Roman"/>
          <w:strike/>
          <w:color w:val="auto"/>
        </w:rPr>
        <w:t>)</w:t>
      </w:r>
      <w:r>
        <w:rPr>
          <w:rFonts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11275"/>
      <w:bookmarkStart w:id="103" w:name="_Toc2840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。只</w:t>
      </w:r>
      <w:r>
        <w:rPr>
          <w:strik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30981"/>
      <w:bookmarkStart w:id="128" w:name="_Toc21563"/>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color w:val="auto"/>
          <w:lang w:val="en-US" w:eastAsia="zh-CN"/>
        </w:rPr>
        <w:t>并且</w:t>
      </w:r>
      <w:r>
        <w:rPr>
          <w:rFonts w:ascii="Times New Roman" w:hAnsi="Times New Roman"/>
          <w:i/>
          <w:strike/>
          <w:color w:val="auto"/>
        </w:rPr>
        <w:t>e</w:t>
      </w:r>
      <w:r>
        <w:rPr>
          <w:rFonts w:ascii="Times New Roman" w:hAnsi="Times New Roman"/>
          <w:strike/>
          <w:color w:val="auto"/>
        </w:rPr>
        <w:t>'</w:t>
      </w:r>
      <w:r>
        <w:rPr>
          <w:rFonts w:hint="eastAsia"/>
          <w:strike/>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color w:val="auto"/>
          <w:lang w:val="en-US" w:eastAsia="zh-CN"/>
        </w:rPr>
        <w:t>本文将</w:t>
      </w:r>
      <w:r>
        <w:rPr>
          <w:rFonts w:ascii="Times New Roman" w:hAnsi="Times New Roman"/>
          <w:strike/>
          <w:color w:val="auto"/>
        </w:rPr>
        <w:t>利用推理规则SEQ和公理Act1证明上述不变量成立。利用诚实规则并进行简化后可得</w:t>
      </w:r>
      <w:r>
        <w:rPr>
          <w:rFonts w:hint="eastAsia"/>
          <w:strike/>
          <w:color w:val="auto"/>
          <w:vertAlign w:val="superscript"/>
          <w:lang w:val="en-US" w:eastAsia="zh-CN"/>
        </w:rPr>
        <w:t>[26]</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
      </w:pPr>
      <w:r>
        <w:rPr>
          <w:rFonts w:ascii="Times New Roman" w:hAnsi="Times New Roman"/>
          <w:b/>
          <w:bCs/>
          <w:strike/>
          <w:color w:val="auto"/>
        </w:rPr>
        <w:t xml:space="preserve">定理 </w:t>
      </w:r>
      <w:r>
        <w:rPr>
          <w:rFonts w:hint="eastAsia"/>
          <w:b/>
          <w:bCs/>
          <w:strike/>
          <w:color w:val="auto"/>
          <w:lang w:val="en-US" w:eastAsia="zh-CN"/>
        </w:rPr>
        <w:t>4.</w:t>
      </w:r>
      <w:r>
        <w:rPr>
          <w:rFonts w:hint="eastAsia" w:ascii="Times New Roman" w:hAnsi="Times New Roman"/>
          <w:b/>
          <w:bCs/>
          <w:strike/>
          <w:color w:val="auto"/>
        </w:rPr>
        <w:t>4</w:t>
      </w:r>
      <w:r>
        <w:rPr>
          <w:rFonts w:hint="eastAsia"/>
          <w:b/>
          <w:bCs/>
          <w:strike/>
          <w:color w:val="auto"/>
          <w:lang w:val="en-US" w:eastAsia="zh-CN"/>
        </w:rPr>
        <w:t xml:space="preserve"> </w:t>
      </w:r>
      <w:r>
        <w:rPr>
          <w:rFonts w:hint="eastAsia"/>
          <w:b w:val="0"/>
          <w:bCs w:val="0"/>
          <w:strike/>
          <w:color w:val="auto"/>
          <w:lang w:val="en-US" w:eastAsia="zh-CN"/>
        </w:rPr>
        <w:t>如果PCR中存储TJP度量值得序列是</w:t>
      </w:r>
      <w:r>
        <w:rPr>
          <w:rFonts w:hint="eastAsia" w:ascii="Times New Roman" w:hAnsi="Times New Roman"/>
          <w:i/>
          <w:iCs/>
          <w:strike/>
          <w:color w:val="auto"/>
        </w:rPr>
        <w:t>seq</w:t>
      </w:r>
      <w:r>
        <w:rPr>
          <w:rFonts w:hint="eastAsia" w:ascii="Times New Roman" w:hAnsi="Times New Roman"/>
          <w:iCs/>
          <w:strike/>
          <w:color w:val="auto"/>
        </w:rPr>
        <w:t>(</w:t>
      </w:r>
      <w:r>
        <w:rPr>
          <w:rFonts w:hint="eastAsia" w:ascii="Times New Roman" w:hAnsi="Times New Roman"/>
          <w:i/>
          <w:iCs/>
          <w:strike/>
          <w:color w:val="auto"/>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1"/>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1"/>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2"/>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5"/>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2"/>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2"/>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1"/>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2"/>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3"/>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4"/>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5"/>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6"/>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7"/>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0"/>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1"/>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2"/>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3"/>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2460"/>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5"/>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8"/>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9"/>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0"/>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3"/>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4"/>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6"/>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7"/>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0"/>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41"/>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2"/>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1134"/>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系统的域满足输出一致性。即一个内部操作动作造成的输出影响只依赖于发出动作域的系统视图。且满足</w:t>
      </w:r>
      <w:r>
        <w:rPr>
          <w:rFonts w:hint="eastAsia"/>
          <w:strike/>
          <w:sz w:val="24"/>
          <w:szCs w:val="24"/>
          <w:lang w:val="en-US" w:eastAsia="zh-CN"/>
        </w:rPr>
        <w:t>以下</w:t>
      </w:r>
      <w:r>
        <w:rPr>
          <w:rFonts w:hint="eastAsia" w:ascii="Times New Roman" w:hAnsi="Times New Roman"/>
          <w:strike/>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3"/>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4"/>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5"/>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sz w:val="24"/>
          <w:szCs w:val="24"/>
          <w:lang w:val="en-US" w:eastAsia="zh-CN"/>
        </w:rPr>
      </w:pPr>
      <w:r>
        <w:rPr>
          <w:rFonts w:hint="eastAsia" w:ascii="宋体" w:hAnsi="宋体"/>
          <w:strike/>
          <w:sz w:val="24"/>
          <w:szCs w:val="24"/>
        </w:rPr>
        <w:t>系统中发生的一个动作造成的对系统状态影响只与发出该动作的域的上一状态系统视图相关联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6"/>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相对于（3），</w:t>
      </w:r>
      <w:r>
        <w:rPr>
          <w:rFonts w:hint="eastAsia" w:ascii="宋体" w:hAnsi="宋体"/>
          <w:strike/>
          <w:sz w:val="24"/>
          <w:szCs w:val="24"/>
        </w:rPr>
        <w:t>系统中发生的一个动作造成的对</w:t>
      </w:r>
      <w:r>
        <w:rPr>
          <w:rFonts w:hint="eastAsia" w:ascii="宋体" w:hAnsi="宋体"/>
          <w:strike/>
          <w:sz w:val="24"/>
          <w:szCs w:val="24"/>
          <w:lang w:eastAsia="zh-CN"/>
        </w:rPr>
        <w:t>安全域</w:t>
      </w:r>
      <w:r>
        <w:rPr>
          <w:rFonts w:hint="eastAsia" w:ascii="宋体" w:hAnsi="宋体"/>
          <w:strike/>
          <w:sz w:val="24"/>
          <w:szCs w:val="24"/>
        </w:rPr>
        <w:t>状态影响只与发出该动作的</w:t>
      </w:r>
      <w:r>
        <w:rPr>
          <w:rFonts w:hint="eastAsia" w:ascii="宋体" w:hAnsi="宋体"/>
          <w:strike/>
          <w:sz w:val="24"/>
          <w:szCs w:val="24"/>
          <w:lang w:eastAsia="zh-CN"/>
        </w:rPr>
        <w:t>动作主体</w:t>
      </w:r>
      <w:r>
        <w:rPr>
          <w:rFonts w:hint="eastAsia" w:ascii="宋体" w:hAnsi="宋体"/>
          <w:strike/>
          <w:sz w:val="24"/>
          <w:szCs w:val="24"/>
        </w:rPr>
        <w:t>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7"/>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position w:val="-28"/>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6"/>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8"/>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5"/>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6"/>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8"/>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60"/>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6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5255"/>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147"/>
      <w:bookmarkStart w:id="168" w:name="_Toc28654"/>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w:t>
      </w:r>
      <w:r>
        <w:rPr>
          <w:rFonts w:hint="eastAsia"/>
          <w:color w:val="auto"/>
          <w:sz w:val="21"/>
          <w:szCs w:val="21"/>
          <w:vertAlign w:val="baseline"/>
          <w:lang w:val="en-US" w:eastAsia="zh-CN"/>
        </w:rPr>
        <w:t xml:space="preserve">   </w:t>
      </w:r>
      <w:r>
        <w:rPr>
          <w:rFonts w:hint="eastAsia"/>
          <w:color w:val="auto"/>
          <w:sz w:val="21"/>
          <w:szCs w:val="21"/>
          <w:vertAlign w:val="baseline"/>
        </w:rPr>
        <w:t>ps://www.nist.gov/</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w:t>
      </w:r>
      <w:r>
        <w:rPr>
          <w:rFonts w:hint="eastAsia"/>
          <w:color w:val="auto"/>
          <w:sz w:val="21"/>
          <w:szCs w:val="21"/>
          <w:vertAlign w:val="baseline"/>
          <w:lang w:val="en-US" w:eastAsia="zh-CN"/>
        </w:rPr>
        <w:t xml:space="preserve"> </w:t>
      </w:r>
      <w:r>
        <w:rPr>
          <w:rFonts w:hint="eastAsia"/>
          <w:color w:val="auto"/>
          <w:sz w:val="21"/>
          <w:szCs w:val="21"/>
          <w:vertAlign w:val="baseline"/>
        </w:rPr>
        <w:t>24-28.</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w:t>
      </w:r>
      <w:r>
        <w:rPr>
          <w:rFonts w:hint="eastAsia"/>
          <w:color w:val="auto"/>
          <w:sz w:val="21"/>
          <w:szCs w:val="21"/>
          <w:vertAlign w:val="baseline"/>
          <w:lang w:val="en-US" w:eastAsia="zh-CN"/>
        </w:rPr>
        <w:t xml:space="preserve">  </w:t>
      </w:r>
      <w:r>
        <w:rPr>
          <w:rFonts w:hint="eastAsia"/>
          <w:color w:val="auto"/>
          <w:sz w:val="21"/>
          <w:szCs w:val="21"/>
          <w:vertAlign w:val="baseline"/>
        </w:rPr>
        <w:t xml:space="preserve"> 38(9).</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1765-1784.</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w:t>
      </w:r>
      <w:r>
        <w:rPr>
          <w:rFonts w:hint="eastAsia"/>
          <w:color w:val="auto"/>
          <w:sz w:val="21"/>
          <w:szCs w:val="21"/>
          <w:vertAlign w:val="baseline"/>
          <w:lang w:val="en-US" w:eastAsia="zh-CN"/>
        </w:rPr>
        <w:t xml:space="preserve"> </w:t>
      </w:r>
      <w:r>
        <w:rPr>
          <w:rFonts w:hint="eastAsia"/>
          <w:color w:val="auto"/>
          <w:sz w:val="21"/>
          <w:szCs w:val="21"/>
          <w:vertAlign w:val="baseline"/>
        </w:rPr>
        <w:t>371-381.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w:t>
      </w:r>
      <w:r>
        <w:rPr>
          <w:rFonts w:hint="eastAsia"/>
          <w:color w:val="auto"/>
          <w:sz w:val="21"/>
          <w:szCs w:val="21"/>
          <w:vertAlign w:val="baseline"/>
          <w:lang w:val="en-US" w:eastAsia="zh-CN"/>
        </w:rPr>
        <w:t xml:space="preserve">   </w:t>
      </w:r>
      <w:r>
        <w:rPr>
          <w:rFonts w:hint="eastAsia"/>
          <w:color w:val="auto"/>
          <w:sz w:val="21"/>
          <w:szCs w:val="21"/>
          <w:vertAlign w:val="baseline"/>
        </w:rPr>
        <w:t>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w:t>
      </w:r>
      <w:r>
        <w:rPr>
          <w:rFonts w:hint="eastAsia"/>
          <w:color w:val="auto"/>
          <w:sz w:val="21"/>
          <w:szCs w:val="21"/>
          <w:vertAlign w:val="baseline"/>
          <w:lang w:val="en-US" w:eastAsia="zh-CN"/>
        </w:rPr>
        <w:t xml:space="preserve"> </w:t>
      </w:r>
      <w:r>
        <w:rPr>
          <w:rFonts w:hint="eastAsia"/>
          <w:color w:val="auto"/>
          <w:sz w:val="21"/>
          <w:szCs w:val="21"/>
          <w:vertAlign w:val="baseline"/>
        </w:rPr>
        <w:t>357-383.</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 xml:space="preserve">Zhao D, Mohamed M, Ludwig H. Locality-aware Scheduling for Containers in Cloud </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 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w:t>
      </w:r>
      <w:r>
        <w:rPr>
          <w:rFonts w:hint="eastAsia"/>
          <w:color w:val="auto"/>
          <w:sz w:val="21"/>
          <w:szCs w:val="21"/>
          <w:vertAlign w:val="baseline"/>
          <w:lang w:val="en-US" w:eastAsia="zh-CN"/>
        </w:rPr>
        <w:t xml:space="preserve">   </w:t>
      </w:r>
      <w:r>
        <w:rPr>
          <w:rFonts w:hint="eastAsia"/>
          <w:color w:val="auto"/>
          <w:sz w:val="21"/>
          <w:szCs w:val="21"/>
          <w:vertAlign w:val="baseline"/>
        </w:rPr>
        <w:t>d Computing[J]. Procedia Computer Science, 2018, 125:691-697.</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0" w:leftChars="0" w:right="0" w:rightChars="0" w:firstLine="0" w:firstLineChars="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 xml:space="preserve">可信计算的革命性演变[J]. 中国工程科学, </w:t>
      </w:r>
      <w:r>
        <w:rPr>
          <w:rFonts w:hint="eastAsia"/>
          <w:color w:val="auto"/>
          <w:sz w:val="21"/>
          <w:szCs w:val="21"/>
          <w:vertAlign w:val="baseline"/>
          <w:lang w:val="en-US" w:eastAsia="zh-CN"/>
        </w:rPr>
        <w:t xml:space="preserve">   </w:t>
      </w:r>
      <w:r>
        <w:rPr>
          <w:rFonts w:hint="eastAsia"/>
          <w:color w:val="auto"/>
          <w:sz w:val="21"/>
          <w:szCs w:val="21"/>
          <w:vertAlign w:val="baseline"/>
        </w:rPr>
        <w:t>2016, 18(6):</w:t>
      </w:r>
      <w:r>
        <w:rPr>
          <w:rFonts w:hint="eastAsia"/>
          <w:color w:val="auto"/>
          <w:sz w:val="21"/>
          <w:szCs w:val="21"/>
          <w:vertAlign w:val="baseline"/>
          <w:lang w:val="en-US" w:eastAsia="zh-CN"/>
        </w:rPr>
        <w:t xml:space="preserve"> </w:t>
      </w:r>
      <w:r>
        <w:rPr>
          <w:rFonts w:hint="eastAsia"/>
          <w:color w:val="auto"/>
          <w:sz w:val="21"/>
          <w:szCs w:val="21"/>
          <w:vertAlign w:val="baseline"/>
        </w:rPr>
        <w:t>53-57.</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w:t>
      </w:r>
      <w:r>
        <w:rPr>
          <w:rFonts w:hint="eastAsia"/>
          <w:color w:val="auto"/>
          <w:sz w:val="21"/>
          <w:szCs w:val="21"/>
          <w:vertAlign w:val="baseline"/>
          <w:lang w:val="en-US" w:eastAsia="zh-CN"/>
        </w:rPr>
        <w:t xml:space="preserve"> </w:t>
      </w:r>
      <w:r>
        <w:rPr>
          <w:rFonts w:hint="eastAsia"/>
          <w:color w:val="auto"/>
          <w:sz w:val="21"/>
          <w:szCs w:val="21"/>
          <w:vertAlign w:val="baseline"/>
        </w:rPr>
        <w:t>2782-2796.</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w:t>
      </w:r>
      <w:r>
        <w:rPr>
          <w:rFonts w:hint="eastAsia"/>
          <w:color w:val="auto"/>
          <w:sz w:val="21"/>
          <w:szCs w:val="21"/>
          <w:vertAlign w:val="baseline"/>
          <w:lang w:val="en-US" w:eastAsia="zh-CN"/>
        </w:rPr>
        <w:t xml:space="preserve"> </w:t>
      </w:r>
      <w:r>
        <w:rPr>
          <w:rFonts w:hint="eastAsia"/>
          <w:color w:val="auto"/>
          <w:sz w:val="21"/>
          <w:szCs w:val="21"/>
          <w:vertAlign w:val="baseline"/>
        </w:rPr>
        <w:t>15-18.</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w:t>
      </w:r>
      <w:r>
        <w:rPr>
          <w:rFonts w:hint="eastAsia"/>
          <w:color w:val="auto"/>
          <w:sz w:val="21"/>
          <w:szCs w:val="21"/>
          <w:vertAlign w:val="baseline"/>
          <w:lang w:val="en-US" w:eastAsia="zh-CN"/>
        </w:rPr>
        <w:t xml:space="preserve"> </w:t>
      </w:r>
      <w:r>
        <w:rPr>
          <w:rFonts w:hint="eastAsia"/>
          <w:color w:val="auto"/>
          <w:sz w:val="21"/>
          <w:szCs w:val="21"/>
          <w:vertAlign w:val="baseline"/>
        </w:rPr>
        <w:t>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 305-320. </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 36-43. </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 40-47. </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2010.211-227.</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rFonts w:hint="eastAsia"/>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通信学报, 2011, 32(9):</w:t>
      </w:r>
      <w:r>
        <w:rPr>
          <w:rFonts w:hint="eastAsia"/>
          <w:color w:val="auto"/>
          <w:sz w:val="21"/>
          <w:szCs w:val="21"/>
          <w:vertAlign w:val="baseline"/>
          <w:lang w:val="en-US" w:eastAsia="zh-CN"/>
        </w:rPr>
        <w:t xml:space="preserve"> </w:t>
      </w:r>
      <w:r>
        <w:rPr>
          <w:rFonts w:hint="eastAsia"/>
          <w:color w:val="auto"/>
          <w:sz w:val="21"/>
          <w:szCs w:val="21"/>
          <w:vertAlign w:val="baseline"/>
        </w:rPr>
        <w:t xml:space="preserve">1-8. </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 7-16.</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w:t>
      </w:r>
      <w:r>
        <w:rPr>
          <w:rFonts w:hint="eastAsia"/>
          <w:color w:val="auto"/>
          <w:sz w:val="21"/>
          <w:szCs w:val="21"/>
          <w:vertAlign w:val="baseline"/>
          <w:lang w:val="en-US" w:eastAsia="zh-CN"/>
        </w:rPr>
        <w:t xml:space="preserve"> </w:t>
      </w:r>
      <w:r>
        <w:rPr>
          <w:rFonts w:hint="eastAsia"/>
          <w:color w:val="auto"/>
          <w:sz w:val="21"/>
          <w:szCs w:val="21"/>
          <w:vertAlign w:val="baseline"/>
        </w:rPr>
        <w:t>31-41.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Vol.86 (2-3), pp.327-336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w:t>
      </w:r>
      <w:r>
        <w:rPr>
          <w:rFonts w:hint="eastAsia"/>
          <w:color w:val="auto"/>
          <w:sz w:val="21"/>
          <w:szCs w:val="21"/>
          <w:vertAlign w:val="baseline"/>
          <w:lang w:val="en-US" w:eastAsia="zh-CN"/>
        </w:rPr>
        <w:t xml:space="preserve"> </w:t>
      </w:r>
      <w:r>
        <w:rPr>
          <w:rFonts w:hint="eastAsia"/>
          <w:color w:val="auto"/>
          <w:sz w:val="21"/>
          <w:szCs w:val="21"/>
          <w:vertAlign w:val="baseline"/>
        </w:rPr>
        <w:t>1451-1455.</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w:t>
      </w:r>
      <w:r>
        <w:rPr>
          <w:rFonts w:hint="eastAsia"/>
          <w:color w:val="auto"/>
          <w:sz w:val="21"/>
          <w:szCs w:val="21"/>
          <w:vertAlign w:val="baseline"/>
          <w:lang w:val="en-US" w:eastAsia="zh-CN"/>
        </w:rPr>
        <w:t xml:space="preserve"> </w:t>
      </w:r>
      <w:r>
        <w:rPr>
          <w:rFonts w:hint="eastAsia"/>
          <w:color w:val="auto"/>
          <w:sz w:val="21"/>
          <w:szCs w:val="21"/>
          <w:vertAlign w:val="baseline"/>
        </w:rPr>
        <w:t>1-5.</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 77-79.</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w:t>
      </w:r>
      <w:r>
        <w:rPr>
          <w:rFonts w:hint="eastAsia"/>
          <w:color w:val="auto"/>
          <w:sz w:val="21"/>
          <w:szCs w:val="21"/>
          <w:vertAlign w:val="baseline"/>
          <w:lang w:val="en-US" w:eastAsia="zh-CN"/>
        </w:rPr>
        <w:t xml:space="preserve"> </w:t>
      </w:r>
      <w:r>
        <w:rPr>
          <w:rFonts w:hint="eastAsia"/>
          <w:color w:val="auto"/>
          <w:sz w:val="21"/>
          <w:szCs w:val="21"/>
          <w:vertAlign w:val="baseline"/>
        </w:rPr>
        <w:t>531-534.</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w:t>
      </w:r>
      <w:r>
        <w:rPr>
          <w:rFonts w:hint="eastAsia"/>
          <w:color w:val="auto"/>
          <w:sz w:val="21"/>
          <w:szCs w:val="21"/>
          <w:vertAlign w:val="baseline"/>
          <w:lang w:val="en-US" w:eastAsia="zh-CN"/>
        </w:rPr>
        <w:t xml:space="preserve"> </w:t>
      </w:r>
      <w:r>
        <w:rPr>
          <w:rFonts w:hint="eastAsia"/>
          <w:color w:val="auto"/>
          <w:sz w:val="21"/>
          <w:szCs w:val="21"/>
          <w:vertAlign w:val="baseline"/>
        </w:rPr>
        <w:t>170-172.</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w:t>
      </w:r>
      <w:r>
        <w:rPr>
          <w:rFonts w:hint="eastAsia"/>
          <w:color w:val="auto"/>
          <w:sz w:val="21"/>
          <w:szCs w:val="21"/>
          <w:lang w:val="en-US" w:eastAsia="zh-CN"/>
        </w:rPr>
        <w:t xml:space="preserve"> </w:t>
      </w:r>
      <w:r>
        <w:rPr>
          <w:rFonts w:hint="eastAsia"/>
          <w:color w:val="auto"/>
          <w:sz w:val="21"/>
          <w:szCs w:val="21"/>
        </w:rPr>
        <w:t>141-144..</w:t>
      </w:r>
      <w:r>
        <w:rPr>
          <w:rFonts w:hint="eastAsia"/>
          <w:color w:val="auto"/>
          <w:sz w:val="21"/>
          <w:szCs w:val="21"/>
          <w:vertAlign w:val="baseline"/>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w:t>
      </w:r>
      <w:r>
        <w:rPr>
          <w:rFonts w:hint="eastAsia"/>
          <w:color w:val="auto"/>
          <w:sz w:val="21"/>
          <w:szCs w:val="21"/>
          <w:vertAlign w:val="baseline"/>
          <w:lang w:val="en-US" w:eastAsia="zh-CN"/>
        </w:rPr>
        <w:t xml:space="preserve"> </w:t>
      </w:r>
      <w:r>
        <w:rPr>
          <w:rFonts w:hint="eastAsia"/>
          <w:color w:val="auto"/>
          <w:sz w:val="21"/>
          <w:szCs w:val="21"/>
          <w:vertAlign w:val="baseline"/>
        </w:rPr>
        <w:t>211–227.</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 90-117</w:t>
      </w:r>
      <w:r>
        <w:rPr>
          <w:rFonts w:hint="eastAsia"/>
          <w:color w:val="auto"/>
          <w:sz w:val="21"/>
          <w:szCs w:val="21"/>
          <w:vertAlign w:val="baseline"/>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 352-360.</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w:t>
      </w:r>
      <w:r>
        <w:rPr>
          <w:rFonts w:hint="eastAsia"/>
          <w:color w:val="auto"/>
          <w:sz w:val="21"/>
          <w:szCs w:val="21"/>
          <w:vertAlign w:val="baseline"/>
          <w:lang w:val="en-US" w:eastAsia="zh-CN"/>
        </w:rPr>
        <w:t xml:space="preserve"> </w:t>
      </w:r>
      <w:r>
        <w:rPr>
          <w:rFonts w:hint="eastAsia"/>
          <w:color w:val="auto"/>
          <w:sz w:val="21"/>
          <w:szCs w:val="21"/>
          <w:vertAlign w:val="baseline"/>
        </w:rPr>
        <w:t>74-81.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 01-50</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w:t>
      </w:r>
      <w:r>
        <w:rPr>
          <w:rFonts w:hint="eastAsia"/>
          <w:color w:val="auto"/>
          <w:sz w:val="21"/>
          <w:szCs w:val="21"/>
          <w:lang w:val="en-US" w:eastAsia="zh-CN"/>
        </w:rPr>
        <w:t xml:space="preserve"> </w:t>
      </w:r>
      <w:r>
        <w:rPr>
          <w:rFonts w:hint="eastAsia"/>
          <w:color w:val="auto"/>
          <w:sz w:val="21"/>
          <w:szCs w:val="21"/>
        </w:rPr>
        <w:t>869-880.</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w:t>
      </w:r>
      <w:r>
        <w:rPr>
          <w:rFonts w:hint="eastAsia"/>
          <w:color w:val="auto"/>
          <w:sz w:val="21"/>
          <w:szCs w:val="21"/>
          <w:lang w:val="en-US" w:eastAsia="zh-CN"/>
        </w:rPr>
        <w:t xml:space="preserve"> </w:t>
      </w:r>
      <w:r>
        <w:rPr>
          <w:rFonts w:hint="eastAsia"/>
          <w:color w:val="auto"/>
          <w:sz w:val="21"/>
          <w:szCs w:val="21"/>
        </w:rPr>
        <w:t>54-82</w:t>
      </w:r>
      <w:r>
        <w:rPr>
          <w:rFonts w:hint="eastAsia"/>
          <w:color w:val="auto"/>
          <w:sz w:val="21"/>
          <w:szCs w:val="21"/>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w:t>
      </w:r>
      <w:r>
        <w:rPr>
          <w:rFonts w:hint="eastAsia"/>
          <w:color w:val="auto"/>
          <w:sz w:val="21"/>
          <w:szCs w:val="21"/>
          <w:vertAlign w:val="baseline"/>
          <w:lang w:val="en-US" w:eastAsia="zh-CN"/>
        </w:rPr>
        <w:t xml:space="preserve"> </w:t>
      </w:r>
      <w:r>
        <w:rPr>
          <w:rFonts w:hint="eastAsia"/>
          <w:color w:val="auto"/>
          <w:sz w:val="21"/>
          <w:szCs w:val="21"/>
          <w:vertAlign w:val="baseline"/>
        </w:rPr>
        <w:t>6-11</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w:t>
      </w:r>
      <w:r>
        <w:rPr>
          <w:rFonts w:hint="eastAsia"/>
          <w:color w:val="auto"/>
          <w:sz w:val="21"/>
          <w:szCs w:val="21"/>
          <w:vertAlign w:val="baseline"/>
          <w:lang w:val="en-US" w:eastAsia="zh-CN"/>
        </w:rPr>
        <w:t xml:space="preserve"> </w:t>
      </w:r>
      <w:r>
        <w:rPr>
          <w:rFonts w:hint="eastAsia"/>
          <w:color w:val="auto"/>
          <w:sz w:val="21"/>
          <w:szCs w:val="21"/>
          <w:vertAlign w:val="baseline"/>
        </w:rPr>
        <w:t>974-980</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w:t>
      </w:r>
      <w:r>
        <w:rPr>
          <w:rFonts w:hint="eastAsia"/>
          <w:color w:val="auto"/>
          <w:sz w:val="21"/>
          <w:szCs w:val="21"/>
          <w:vertAlign w:val="baseline"/>
          <w:lang w:val="en-US" w:eastAsia="zh-CN"/>
        </w:rPr>
        <w:t xml:space="preserve"> </w:t>
      </w:r>
      <w:r>
        <w:rPr>
          <w:rFonts w:hint="eastAsia"/>
          <w:color w:val="auto"/>
          <w:sz w:val="21"/>
          <w:szCs w:val="21"/>
          <w:vertAlign w:val="baseline"/>
        </w:rPr>
        <w:t>52-58</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w:t>
      </w:r>
      <w:r>
        <w:rPr>
          <w:rFonts w:hint="eastAsia"/>
          <w:color w:val="auto"/>
          <w:sz w:val="21"/>
          <w:szCs w:val="21"/>
          <w:vertAlign w:val="baseline"/>
          <w:lang w:val="en-US" w:eastAsia="zh-CN"/>
        </w:rPr>
        <w:t xml:space="preserve"> </w:t>
      </w:r>
      <w:r>
        <w:rPr>
          <w:rFonts w:hint="eastAsia"/>
          <w:color w:val="auto"/>
          <w:sz w:val="21"/>
          <w:szCs w:val="21"/>
          <w:vertAlign w:val="baseline"/>
        </w:rPr>
        <w:t>115-117</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w:t>
      </w:r>
      <w:r>
        <w:rPr>
          <w:rFonts w:hint="eastAsia"/>
          <w:color w:val="auto"/>
          <w:sz w:val="21"/>
          <w:szCs w:val="21"/>
          <w:vertAlign w:val="baseline"/>
          <w:lang w:val="en-US" w:eastAsia="zh-CN"/>
        </w:rPr>
        <w:t xml:space="preserve"> </w:t>
      </w:r>
      <w:r>
        <w:rPr>
          <w:rFonts w:hint="eastAsia"/>
          <w:color w:val="auto"/>
          <w:sz w:val="21"/>
          <w:szCs w:val="21"/>
          <w:vertAlign w:val="baseline"/>
        </w:rPr>
        <w:t>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w:t>
      </w:r>
      <w:r>
        <w:rPr>
          <w:rFonts w:hint="eastAsia"/>
          <w:color w:val="auto"/>
          <w:sz w:val="21"/>
          <w:szCs w:val="21"/>
          <w:vertAlign w:val="baseline"/>
          <w:lang w:val="en-US" w:eastAsia="zh-CN"/>
        </w:rPr>
        <w:t xml:space="preserve"> </w:t>
      </w:r>
      <w:r>
        <w:rPr>
          <w:rFonts w:hint="eastAsia"/>
          <w:color w:val="auto"/>
          <w:sz w:val="21"/>
          <w:szCs w:val="21"/>
          <w:vertAlign w:val="baseline"/>
        </w:rPr>
        <w:t>934-939</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Smith, Jim, Nair, et al. Virtual Machines: Versatile Platforms for Systems and Processes (The Morgan Kaufmann Series in Computer Architecture and Design)[J]. 2005.</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w:t>
      </w:r>
      <w:r>
        <w:rPr>
          <w:rFonts w:hint="eastAsia"/>
          <w:color w:val="auto"/>
          <w:sz w:val="21"/>
          <w:szCs w:val="21"/>
          <w:vertAlign w:val="baseline"/>
          <w:lang w:val="en-US" w:eastAsia="zh-CN"/>
        </w:rPr>
        <w:t xml:space="preserve"> </w:t>
      </w:r>
      <w:r>
        <w:rPr>
          <w:rFonts w:hint="eastAsia"/>
          <w:color w:val="auto"/>
          <w:sz w:val="21"/>
          <w:szCs w:val="21"/>
          <w:vertAlign w:val="baseline"/>
        </w:rPr>
        <w:t>2-13.</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color w:val="auto"/>
          <w:sz w:val="21"/>
          <w:szCs w:val="21"/>
          <w:vertAlign w:val="baseline"/>
        </w:rPr>
      </w:pPr>
      <w:r>
        <w:rPr>
          <w:rFonts w:hint="eastAsia"/>
          <w:color w:val="auto"/>
          <w:sz w:val="21"/>
          <w:szCs w:val="21"/>
          <w:vertAlign w:val="baseline"/>
        </w:rPr>
        <w:t xml:space="preserve">Get Docker |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w:t>
      </w:r>
      <w:r>
        <w:rPr>
          <w:rFonts w:hint="eastAsia"/>
          <w:color w:val="auto"/>
          <w:sz w:val="21"/>
          <w:szCs w:val="21"/>
          <w:lang w:val="en-US" w:eastAsia="zh-CN"/>
        </w:rPr>
        <w:t xml:space="preserve"> </w:t>
      </w:r>
      <w:r>
        <w:rPr>
          <w:rFonts w:hint="eastAsia"/>
          <w:color w:val="auto"/>
          <w:sz w:val="21"/>
          <w:szCs w:val="21"/>
        </w:rPr>
        <w:t>11-20.</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w:t>
      </w:r>
      <w:r>
        <w:rPr>
          <w:rFonts w:hint="eastAsia"/>
          <w:color w:val="auto"/>
          <w:sz w:val="21"/>
          <w:szCs w:val="21"/>
          <w:vertAlign w:val="baseline"/>
          <w:lang w:val="en-US" w:eastAsia="zh-CN"/>
        </w:rPr>
        <w:t xml:space="preserve"> </w:t>
      </w:r>
      <w:r>
        <w:rPr>
          <w:rFonts w:hint="eastAsia"/>
          <w:color w:val="auto"/>
          <w:sz w:val="21"/>
          <w:szCs w:val="21"/>
          <w:vertAlign w:val="baseline"/>
        </w:rPr>
        <w:t>221-236.</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 231-245. </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w:t>
      </w:r>
      <w:r>
        <w:rPr>
          <w:rFonts w:hint="eastAsia"/>
          <w:color w:val="auto"/>
          <w:sz w:val="21"/>
          <w:szCs w:val="21"/>
          <w:vertAlign w:val="baseline"/>
          <w:lang w:val="en-US" w:eastAsia="zh-CN"/>
        </w:rPr>
        <w:t xml:space="preserve"> </w:t>
      </w:r>
      <w:r>
        <w:rPr>
          <w:rFonts w:hint="eastAsia"/>
          <w:color w:val="auto"/>
          <w:sz w:val="21"/>
          <w:szCs w:val="21"/>
          <w:vertAlign w:val="baseline"/>
        </w:rPr>
        <w:t>380-395.</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 xml:space="preserve"> 143-158.</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 1-15[2018-03-23]. http://kns.cnki.net/kcms/detail/11.1826.TP.20170728.1254.024.html.</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2"/>
        </w:numPr>
        <w:tabs>
          <w:tab w:val="left" w:pos="0"/>
          <w:tab w:val="clear" w:pos="420"/>
        </w:tabs>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400" w:lineRule="exact"/>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400" w:lineRule="exact"/>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26"/>
    <w:multiLevelType w:val="singleLevel"/>
    <w:tmpl w:val="5A997226"/>
    <w:lvl w:ilvl="0" w:tentative="0">
      <w:start w:val="1"/>
      <w:numFmt w:val="decimal"/>
      <w:suff w:val="space"/>
      <w:lvlText w:val="(%1)"/>
      <w:lvlJc w:val="left"/>
    </w:lvl>
  </w:abstractNum>
  <w:abstractNum w:abstractNumId="6">
    <w:nsid w:val="5A997297"/>
    <w:multiLevelType w:val="singleLevel"/>
    <w:tmpl w:val="5A997297"/>
    <w:lvl w:ilvl="0" w:tentative="0">
      <w:start w:val="2"/>
      <w:numFmt w:val="decimal"/>
      <w:suff w:val="nothing"/>
      <w:lvlText w:val="（%1）"/>
      <w:lvlJc w:val="left"/>
    </w:lvl>
  </w:abstractNum>
  <w:abstractNum w:abstractNumId="7">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AB0BE02"/>
    <w:multiLevelType w:val="singleLevel"/>
    <w:tmpl w:val="5AB0BE02"/>
    <w:lvl w:ilvl="0" w:tentative="0">
      <w:start w:val="1"/>
      <w:numFmt w:val="decimal"/>
      <w:suff w:val="nothing"/>
      <w:lvlText w:val="（%1）"/>
      <w:lvlJc w:val="left"/>
    </w:lvl>
  </w:abstractNum>
  <w:abstractNum w:abstractNumId="10">
    <w:nsid w:val="5AB37292"/>
    <w:multiLevelType w:val="singleLevel"/>
    <w:tmpl w:val="5AB37292"/>
    <w:lvl w:ilvl="0" w:tentative="0">
      <w:start w:val="1"/>
      <w:numFmt w:val="decimal"/>
      <w:suff w:val="nothing"/>
      <w:lvlText w:val="[%1]."/>
      <w:lvlJc w:val="left"/>
      <w:pPr>
        <w:tabs>
          <w:tab w:val="left" w:pos="420"/>
        </w:tabs>
        <w:ind w:left="420" w:leftChars="0" w:hanging="420" w:firstLineChars="0"/>
      </w:pPr>
      <w:rPr>
        <w:rFonts w:hint="default" w:ascii="Times New Roman" w:hAnsi="Times New Roman"/>
        <w:sz w:val="21"/>
      </w:rPr>
    </w:lvl>
  </w:abstractNum>
  <w:abstractNum w:abstractNumId="11">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6"/>
  </w:num>
  <w:num w:numId="8">
    <w:abstractNumId w:val="9"/>
  </w:num>
  <w:num w:numId="9">
    <w:abstractNumId w:val="0"/>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34637A"/>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296D14"/>
    <w:rsid w:val="255F2E97"/>
    <w:rsid w:val="258F3439"/>
    <w:rsid w:val="264735B5"/>
    <w:rsid w:val="26715481"/>
    <w:rsid w:val="26BC52A2"/>
    <w:rsid w:val="270513CC"/>
    <w:rsid w:val="2760721C"/>
    <w:rsid w:val="28146016"/>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65DD0"/>
    <w:rsid w:val="2D4F3ECF"/>
    <w:rsid w:val="2D9519B6"/>
    <w:rsid w:val="2D9C0D4D"/>
    <w:rsid w:val="2DE02D4B"/>
    <w:rsid w:val="2DF04EFA"/>
    <w:rsid w:val="2DF34AED"/>
    <w:rsid w:val="2E206087"/>
    <w:rsid w:val="2E4A4D5B"/>
    <w:rsid w:val="2E6C0E71"/>
    <w:rsid w:val="2EAB6446"/>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AA5DBB"/>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1663465"/>
    <w:rsid w:val="416853AB"/>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6E1529"/>
    <w:rsid w:val="4DA93059"/>
    <w:rsid w:val="4DAB7D28"/>
    <w:rsid w:val="4DEB62C9"/>
    <w:rsid w:val="4E4F7EA3"/>
    <w:rsid w:val="4E8B6611"/>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390D82"/>
    <w:rsid w:val="536952B7"/>
    <w:rsid w:val="539907F9"/>
    <w:rsid w:val="53AF3FCA"/>
    <w:rsid w:val="53B01CF8"/>
    <w:rsid w:val="53BF5134"/>
    <w:rsid w:val="540F7481"/>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115BF7"/>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E060B39"/>
    <w:rsid w:val="6E214098"/>
    <w:rsid w:val="6E494ED4"/>
    <w:rsid w:val="6E760A88"/>
    <w:rsid w:val="6EFF2B8C"/>
    <w:rsid w:val="6F8639ED"/>
    <w:rsid w:val="6FA31C32"/>
    <w:rsid w:val="70091CB4"/>
    <w:rsid w:val="706D6A7E"/>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3" Type="http://schemas.openxmlformats.org/officeDocument/2006/relationships/fontTable" Target="fontTable.xml"/><Relationship Id="rId372" Type="http://schemas.openxmlformats.org/officeDocument/2006/relationships/numbering" Target="numbering.xml"/><Relationship Id="rId371" Type="http://schemas.openxmlformats.org/officeDocument/2006/relationships/customXml" Target="../customXml/item1.xml"/><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2018-03-23T03:42:41Z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