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eastAsia="zh-CN"/>
        </w:rPr>
      </w:pPr>
      <w:r>
        <w:rPr>
          <w:rFonts w:hint="default" w:ascii="Times New Roman" w:hAnsi="Times New Roman" w:cs="Times New Roman"/>
          <w:lang w:eastAsia="zh-CN"/>
        </w:rPr>
        <w:t>题目：具有瀑布特征的可信虚拟平台信任链模型及其分析方法</w:t>
      </w:r>
    </w:p>
    <w:p>
      <w:pPr>
        <w:rPr>
          <w:rFonts w:hint="default" w:ascii="Times New Roman" w:hAnsi="Times New Roman" w:cs="Times New Roman"/>
          <w:lang w:eastAsia="zh-CN"/>
        </w:rPr>
      </w:pP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引言</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1.1</w:t>
      </w:r>
      <w:r>
        <w:rPr>
          <w:rFonts w:hint="default" w:ascii="Times New Roman" w:hAnsi="Times New Roman" w:cs="Times New Roman"/>
          <w:lang w:val="en-US" w:eastAsia="zh-CN"/>
        </w:rPr>
        <w:t>研究背景</w:t>
      </w:r>
      <w:r>
        <w:rPr>
          <w:rFonts w:hint="eastAsia" w:ascii="Times New Roman" w:hAnsi="Times New Roman" w:cs="Times New Roman"/>
          <w:lang w:val="en-US" w:eastAsia="zh-CN"/>
        </w:rPr>
        <w:t>及意义</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w:t>
      </w:r>
    </w:p>
    <w:p>
      <w:pPr>
        <w:numPr>
          <w:ilvl w:val="0"/>
          <w:numId w:val="0"/>
        </w:numPr>
        <w:ind w:firstLine="420" w:firstLineChars="0"/>
        <w:rPr>
          <w:rFonts w:hint="eastAsia" w:ascii="Times New Roman" w:hAnsi="宋体"/>
          <w:szCs w:val="21"/>
          <w:lang w:val="en-US" w:eastAsia="zh-CN"/>
        </w:rPr>
      </w:pPr>
      <w:r>
        <w:commentReference w:id="0"/>
      </w:r>
      <w:r>
        <w:rPr>
          <w:rFonts w:hint="eastAsia" w:ascii="Times New Roman" w:hAnsi="Times New Roman" w:cs="Times New Roman"/>
          <w:lang w:val="en-US" w:eastAsia="zh-CN"/>
        </w:rPr>
        <w:t>可信平台模块TPM(Trusted Platform Module, TPM)是可信计算的核心和关键技术，是可信计算机系统的信任根，通过构建从平台底层硬件到平台上层应用程序的信任链，并结合可信远程证明向平台外部实体提供可信证明。TCG（Trusted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CRTM)和TPM中的一组PCR存储器组成，可信存储根RTS由TPM和存储根密钥SRK组成，可信报告根RTR由TPM和EK组成。TCG的TPM工作组负责TPM规范的起草、修订和发布，其规范已从TPM1.0、TPM1.2发展到现在的TPM2.0。TPM2.0规范于</w:t>
      </w:r>
      <w:r>
        <w:rPr>
          <w:rFonts w:ascii="Times New Roman" w:hAnsi="Times New Roman"/>
          <w:szCs w:val="21"/>
        </w:rPr>
        <w:t>2014</w:t>
      </w:r>
      <w:r>
        <w:rPr>
          <w:rFonts w:ascii="Times New Roman" w:hAnsi="宋体"/>
          <w:szCs w:val="21"/>
        </w:rPr>
        <w:t>年发布，在密码算法支持、密钥、授权、签名、虚拟化等方面均有些新的特点</w:t>
      </w:r>
      <w:r>
        <w:rPr>
          <w:rFonts w:hint="eastAsia" w:ascii="Times New Roman" w:hAnsi="宋体"/>
          <w:szCs w:val="21"/>
          <w:lang w:eastAsia="zh-CN"/>
        </w:rPr>
        <w:t>，</w:t>
      </w:r>
      <w:r>
        <w:rPr>
          <w:rFonts w:hint="eastAsia" w:ascii="Times New Roman" w:hAnsi="宋体"/>
          <w:szCs w:val="21"/>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TVP的出现能够帮助云计算提供商向云租户更好的提供安全可靠的云服务。</w:t>
      </w:r>
    </w:p>
    <w:p>
      <w:pPr>
        <w:numPr>
          <w:ilvl w:val="0"/>
          <w:numId w:val="0"/>
        </w:numPr>
        <w:ind w:firstLine="420" w:firstLineChars="0"/>
        <w:rPr>
          <w:rFonts w:hint="eastAsia" w:ascii="Times New Roman" w:hAnsi="宋体"/>
          <w:szCs w:val="21"/>
          <w:lang w:val="en-US" w:eastAsia="zh-CN"/>
        </w:rPr>
      </w:pPr>
      <w:r>
        <w:rPr>
          <w:rFonts w:hint="eastAsia" w:ascii="Times New Roman" w:hAnsi="宋体"/>
          <w:szCs w:val="21"/>
          <w:lang w:val="en-US" w:eastAsia="zh-CN"/>
        </w:rPr>
        <w:t>【2017云计算报告】</w:t>
      </w:r>
      <w:bookmarkStart w:id="0" w:name="_GoBack"/>
      <w:bookmarkEnd w:id="0"/>
    </w:p>
    <w:p>
      <w:pPr>
        <w:numPr>
          <w:ilvl w:val="0"/>
          <w:numId w:val="0"/>
        </w:numPr>
        <w:ind w:firstLine="420" w:firstLineChars="0"/>
        <w:rPr>
          <w:rFonts w:hint="eastAsia" w:ascii="Times New Roman" w:hAnsi="宋体"/>
          <w:szCs w:val="21"/>
          <w:lang w:val="en-US" w:eastAsia="zh-CN"/>
        </w:rPr>
      </w:pPr>
      <w:r>
        <w:rPr>
          <w:rFonts w:hint="eastAsia" w:ascii="Times New Roman" w:hAnsi="宋体"/>
          <w:szCs w:val="21"/>
          <w:lang w:val="en-US" w:eastAsia="zh-CN"/>
        </w:rPr>
        <w:t>工业和信息化部发布的《云计算发展三年行动计划（2017－2019年）》提到我国云计算的发展目标“到2019年，我国云计算产业规模达到4300亿元”。</w:t>
      </w:r>
    </w:p>
    <w:p>
      <w:pPr>
        <w:numPr>
          <w:ilvl w:val="0"/>
          <w:numId w:val="0"/>
        </w:numPr>
        <w:ind w:firstLine="420" w:firstLineChars="0"/>
        <w:rPr>
          <w:rFonts w:hint="eastAsia" w:ascii="Times New Roman" w:hAnsi="宋体"/>
          <w:szCs w:val="21"/>
          <w:lang w:val="en-US" w:eastAsia="zh-CN"/>
        </w:rPr>
      </w:pPr>
      <w:r>
        <w:rPr>
          <w:rFonts w:hint="eastAsia" w:ascii="Times New Roman" w:hAnsi="宋体"/>
          <w:szCs w:val="21"/>
          <w:lang w:val="en-US" w:eastAsia="zh-CN"/>
        </w:rPr>
        <w:t>根据McAfee发布的“2017年全球云计算安全报告”显示，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目前，只有23%的企业完全信任公共云可以保护他们的数据安全。一年前，这个指数只有13%。信任度上升归功于公共云平台投入更多的开发工作和资源来实现安全功能和支持。从认证到更复杂的安全API，公共云平台供应商正在强化其系统的各个方面，以确保更高的安全性和可扩展性。这个策略使不信任云服务的企业数量从50%下降到29%。60%的工程企业表示，缺乏安全技能正在阻碍云计算采用计划。</w:t>
      </w: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宋体"/>
          <w:szCs w:val="21"/>
          <w:lang w:val="en-US" w:eastAsia="zh-CN"/>
        </w:rPr>
      </w:pPr>
      <w:r>
        <w:rPr>
          <w:rFonts w:hint="eastAsia" w:ascii="Times New Roman" w:hAnsi="宋体"/>
          <w:szCs w:val="21"/>
          <w:lang w:val="en-US" w:eastAsia="zh-CN"/>
        </w:rPr>
        <w:t>但是目前针对TVP的研究尚不完善，已有的TVP模型均把云计算底层资源和提供给云租户的虚拟机在构建过程中相分离，并且在利用信任链技术进行可信计算度量时，对云计算底层资源和虚拟机进行两次度量，不仅在逻辑上违背了TCG规定的链式度量方式，也在时间上产生了两条相互断开的信任链模型。</w:t>
      </w: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Times New Roman" w:cs="Times New Roman"/>
          <w:lang w:val="en-US" w:eastAsia="zh-CN"/>
        </w:rPr>
      </w:pPr>
    </w:p>
    <w:p>
      <w:pPr>
        <w:numPr>
          <w:ilvl w:val="0"/>
          <w:numId w:val="0"/>
        </w:numPr>
        <w:ind w:firstLine="420" w:firstLineChars="0"/>
        <w:rPr>
          <w:rFonts w:hint="eastAsia" w:ascii="Times New Roman" w:hAnsi="Times New Roman" w:cs="Times New Roman"/>
          <w:lang w:val="en-US" w:eastAsia="zh-CN"/>
        </w:rPr>
      </w:pP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1.2国内外研究现状</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1.3本文主要工作</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1.4</w:t>
      </w:r>
      <w:r>
        <w:rPr>
          <w:rFonts w:hint="default" w:ascii="Times New Roman" w:hAnsi="Times New Roman" w:cs="Times New Roman"/>
          <w:lang w:val="en-US" w:eastAsia="zh-CN"/>
        </w:rPr>
        <w:t>论文组织结构</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理论知识</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w:t>
      </w:r>
      <w:r>
        <w:rPr>
          <w:rFonts w:hint="default" w:ascii="Times New Roman" w:hAnsi="Times New Roman" w:cs="Times New Roman"/>
          <w:lang w:val="en-US" w:eastAsia="zh-CN"/>
        </w:rPr>
        <w:t>虚拟化技术</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2.1.1</w:t>
      </w:r>
      <w:r>
        <w:rPr>
          <w:rFonts w:hint="default" w:ascii="Times New Roman" w:hAnsi="Times New Roman" w:cs="Times New Roman"/>
          <w:lang w:val="en-US" w:eastAsia="zh-CN"/>
        </w:rPr>
        <w:t>半虚拟化</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2.1.2</w:t>
      </w:r>
      <w:r>
        <w:rPr>
          <w:rFonts w:hint="default" w:ascii="Times New Roman" w:hAnsi="Times New Roman" w:cs="Times New Roman"/>
          <w:lang w:val="en-US" w:eastAsia="zh-CN"/>
        </w:rPr>
        <w:t>全虚拟化</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2.1.3流行的虚拟化架构</w:t>
      </w:r>
    </w:p>
    <w:p>
      <w:pPr>
        <w:numPr>
          <w:ilvl w:val="0"/>
          <w:numId w:val="2"/>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Xen</w:t>
      </w:r>
    </w:p>
    <w:p>
      <w:pPr>
        <w:numPr>
          <w:ilvl w:val="0"/>
          <w:numId w:val="2"/>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KVM</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w:t>
      </w:r>
      <w:r>
        <w:rPr>
          <w:rFonts w:hint="default" w:ascii="Times New Roman" w:hAnsi="Times New Roman" w:cs="Times New Roman"/>
          <w:lang w:val="en-US" w:eastAsia="zh-CN"/>
        </w:rPr>
        <w:t>可信云计算</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2.2.1</w:t>
      </w:r>
      <w:r>
        <w:rPr>
          <w:rFonts w:hint="default" w:ascii="Times New Roman" w:hAnsi="Times New Roman" w:cs="Times New Roman"/>
          <w:lang w:val="en-US" w:eastAsia="zh-CN"/>
        </w:rPr>
        <w:t>可信计算</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2.2.2</w:t>
      </w:r>
      <w:r>
        <w:rPr>
          <w:rFonts w:hint="default" w:ascii="Times New Roman" w:hAnsi="Times New Roman" w:cs="Times New Roman"/>
          <w:lang w:val="en-US" w:eastAsia="zh-CN"/>
        </w:rPr>
        <w:t>云计算安全</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2.2.3</w:t>
      </w:r>
      <w:r>
        <w:rPr>
          <w:rFonts w:hint="default" w:ascii="Times New Roman" w:hAnsi="Times New Roman" w:cs="Times New Roman"/>
          <w:lang w:val="en-US" w:eastAsia="zh-CN"/>
        </w:rPr>
        <w:t>可信云计算</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w:t>
      </w:r>
      <w:r>
        <w:rPr>
          <w:rFonts w:hint="default" w:ascii="Times New Roman" w:hAnsi="Times New Roman" w:cs="Times New Roman"/>
          <w:lang w:val="en-US" w:eastAsia="zh-CN"/>
        </w:rPr>
        <w:t>形式化分析方法</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2.3.1</w:t>
      </w:r>
      <w:r>
        <w:rPr>
          <w:rFonts w:hint="default" w:ascii="Times New Roman" w:hAnsi="Times New Roman" w:cs="Times New Roman"/>
          <w:lang w:val="en-US" w:eastAsia="zh-CN"/>
        </w:rPr>
        <w:t>形式化分析</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2.3.2</w:t>
      </w:r>
      <w:r>
        <w:rPr>
          <w:rFonts w:hint="default" w:ascii="Times New Roman" w:hAnsi="Times New Roman" w:cs="Times New Roman"/>
          <w:lang w:val="en-US" w:eastAsia="zh-CN"/>
        </w:rPr>
        <w:t>安全系统逻辑（LS</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2.3.3</w:t>
      </w:r>
      <w:r>
        <w:rPr>
          <w:rFonts w:hint="default" w:ascii="Times New Roman" w:hAnsi="Times New Roman" w:cs="Times New Roman"/>
          <w:lang w:val="en-US" w:eastAsia="zh-CN"/>
        </w:rPr>
        <w:t>无干扰理论</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2.4本章小结</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具有瀑布特征的可信虚拟平台信任链模型</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w:t>
      </w:r>
      <w:r>
        <w:rPr>
          <w:rFonts w:hint="default" w:ascii="Times New Roman" w:hAnsi="Times New Roman" w:cs="Times New Roman"/>
          <w:lang w:val="en-US" w:eastAsia="zh-CN"/>
        </w:rPr>
        <w:t>具有瀑布特征的可信虚拟平台（TVP-QT）</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3.1.1</w:t>
      </w:r>
      <w:r>
        <w:rPr>
          <w:rFonts w:hint="default" w:ascii="Times New Roman" w:hAnsi="Times New Roman" w:cs="Times New Roman"/>
          <w:lang w:val="en-US" w:eastAsia="zh-CN"/>
        </w:rPr>
        <w:t>传统的可信虚拟平台</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a.</w:t>
      </w:r>
      <w:r>
        <w:rPr>
          <w:rFonts w:hint="default" w:ascii="Times New Roman" w:hAnsi="Times New Roman" w:cs="Times New Roman"/>
          <w:lang w:val="en-US" w:eastAsia="zh-CN"/>
        </w:rPr>
        <w:t>TVP架构</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b.</w:t>
      </w:r>
      <w:r>
        <w:rPr>
          <w:rFonts w:hint="default" w:ascii="Times New Roman" w:hAnsi="Times New Roman" w:cs="Times New Roman"/>
          <w:lang w:val="en-US" w:eastAsia="zh-CN"/>
        </w:rPr>
        <w:t>缺点与不足</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3.1.2</w:t>
      </w:r>
      <w:r>
        <w:rPr>
          <w:rFonts w:hint="default" w:ascii="Times New Roman" w:hAnsi="Times New Roman" w:cs="Times New Roman"/>
          <w:lang w:val="en-US" w:eastAsia="zh-CN"/>
        </w:rPr>
        <w:t>TVP-QT架构</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3.1.3</w:t>
      </w:r>
      <w:r>
        <w:rPr>
          <w:rFonts w:hint="default" w:ascii="Times New Roman" w:hAnsi="Times New Roman" w:cs="Times New Roman"/>
          <w:lang w:val="en-US" w:eastAsia="zh-CN"/>
        </w:rPr>
        <w:t>TVP-QT优点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3.2TVP-QT信任链模型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3.2.1信任模型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3.2.2信任链属性</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3.3基于扩展LS</w:t>
      </w:r>
      <w:r>
        <w:rPr>
          <w:rFonts w:hint="eastAsia" w:ascii="Times New Roman" w:hAnsi="Times New Roman" w:cs="Times New Roman"/>
          <w:vertAlign w:val="superscript"/>
          <w:lang w:val="en-US" w:eastAsia="zh-CN"/>
        </w:rPr>
        <w:t>2</w:t>
      </w:r>
      <w:r>
        <w:rPr>
          <w:rFonts w:hint="eastAsia" w:ascii="Times New Roman" w:hAnsi="Times New Roman" w:cs="Times New Roman"/>
          <w:lang w:val="en-US" w:eastAsia="zh-CN"/>
        </w:rPr>
        <w:t>的信任链分析</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3.3.1扩展LS</w:t>
      </w:r>
      <w:r>
        <w:rPr>
          <w:rFonts w:hint="eastAsia" w:ascii="Times New Roman" w:hAnsi="Times New Roman" w:cs="Times New Roman"/>
          <w:vertAlign w:val="superscript"/>
          <w:lang w:val="en-US" w:eastAsia="zh-CN"/>
        </w:rPr>
        <w:t>2</w:t>
      </w:r>
      <w:r>
        <w:rPr>
          <w:rFonts w:hint="eastAsia" w:ascii="Times New Roman" w:hAnsi="Times New Roman" w:cs="Times New Roman"/>
          <w:lang w:val="en-US" w:eastAsia="zh-CN"/>
        </w:rPr>
        <w:t>及基本假定</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3.3.2m信任链的本地验证及远程证明</w:t>
      </w:r>
    </w:p>
    <w:p>
      <w:pPr>
        <w:numPr>
          <w:ilvl w:val="0"/>
          <w:numId w:val="3"/>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本地程序执行</w:t>
      </w:r>
    </w:p>
    <w:p>
      <w:pPr>
        <w:numPr>
          <w:ilvl w:val="0"/>
          <w:numId w:val="3"/>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本地可信属性描述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3.3.信任链远程验证</w:t>
      </w:r>
    </w:p>
    <w:p>
      <w:pPr>
        <w:numPr>
          <w:ilvl w:val="0"/>
          <w:numId w:val="4"/>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远程验证程序执行</w:t>
      </w:r>
    </w:p>
    <w:p>
      <w:pPr>
        <w:numPr>
          <w:ilvl w:val="0"/>
          <w:numId w:val="4"/>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信任链属性的远程验证</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3.4实例系统分析</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3.5本章小结</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基于无干扰+的云计算信任链传递分析方法</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4.1无干扰理论缺点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4.2扩展无干扰理论（无干扰+）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4.2.1基本定义</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4.2.2优点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4.3基于无干扰+的可信虚拟平台信任链传递模型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4.3.1基于无干扰+的TVP-QT描述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4.3.2基于无干扰+的TVP-QT信任链分析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4.4基于无干扰+信任链传递判定定理</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4.4.1云计算下的信任链传递判定定理</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4.4.2TVP-QT信任链安全分析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4.5实例系统分析</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4.6本章小结</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相关实验及</w:t>
      </w:r>
      <w:r>
        <w:rPr>
          <w:rFonts w:hint="default" w:ascii="Times New Roman" w:hAnsi="Times New Roman" w:cs="Times New Roman"/>
          <w:lang w:val="en-US" w:eastAsia="zh-CN"/>
        </w:rPr>
        <w:t>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5.1实验环境</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5.2TVP-QT平台构建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5.3TVP-QT信任链构建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5.4TVP-QT安全验证</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5.5本章小结</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结论及展望</w:t>
      </w:r>
    </w:p>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usio" w:date="2018-02-27T13:29:05Z" w:initials="">
    <w:p w14:paraId="30DF5EB5">
      <w:pPr>
        <w:pStyle w:val="2"/>
        <w:rPr>
          <w:rFonts w:hint="eastAsia" w:eastAsia="宋体"/>
          <w:lang w:val="en-US" w:eastAsia="zh-CN"/>
        </w:rPr>
      </w:pPr>
      <w:r>
        <w:rPr>
          <w:rFonts w:hint="eastAsia"/>
          <w:lang w:val="en-US" w:eastAsia="zh-CN"/>
        </w:rPr>
        <w:t>Copy from TPM虚拟化及其进展。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0DF5E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EFEE1"/>
    <w:multiLevelType w:val="multilevel"/>
    <w:tmpl w:val="59CEFEE1"/>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CF011D"/>
    <w:multiLevelType w:val="singleLevel"/>
    <w:tmpl w:val="59CF011D"/>
    <w:lvl w:ilvl="0" w:tentative="0">
      <w:start w:val="1"/>
      <w:numFmt w:val="lowerLetter"/>
      <w:suff w:val="nothing"/>
      <w:lvlText w:val="%1."/>
      <w:lvlJc w:val="left"/>
    </w:lvl>
  </w:abstractNum>
  <w:abstractNum w:abstractNumId="2">
    <w:nsid w:val="59CF02B2"/>
    <w:multiLevelType w:val="singleLevel"/>
    <w:tmpl w:val="59CF02B2"/>
    <w:lvl w:ilvl="0" w:tentative="0">
      <w:start w:val="1"/>
      <w:numFmt w:val="lowerLetter"/>
      <w:suff w:val="nothing"/>
      <w:lvlText w:val="%1."/>
      <w:lvlJc w:val="left"/>
    </w:lvl>
  </w:abstractNum>
  <w:abstractNum w:abstractNumId="3">
    <w:nsid w:val="59CF0302"/>
    <w:multiLevelType w:val="singleLevel"/>
    <w:tmpl w:val="59CF0302"/>
    <w:lvl w:ilvl="0" w:tentative="0">
      <w:start w:val="1"/>
      <w:numFmt w:val="lowerLetter"/>
      <w:suff w:val="nothing"/>
      <w:lvlText w:val="%1."/>
      <w:lvlJc w:val="left"/>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673A6"/>
    <w:rsid w:val="008D76D3"/>
    <w:rsid w:val="15436D90"/>
    <w:rsid w:val="1A9152C5"/>
    <w:rsid w:val="1C5E4E41"/>
    <w:rsid w:val="20600725"/>
    <w:rsid w:val="24405B28"/>
    <w:rsid w:val="246A6537"/>
    <w:rsid w:val="2C4C5867"/>
    <w:rsid w:val="3EA652C6"/>
    <w:rsid w:val="3FDC3531"/>
    <w:rsid w:val="45483674"/>
    <w:rsid w:val="610C3C76"/>
    <w:rsid w:val="66A24F94"/>
    <w:rsid w:val="6CB02021"/>
    <w:rsid w:val="6F5271D1"/>
    <w:rsid w:val="722A1E24"/>
    <w:rsid w:val="76E673A6"/>
    <w:rsid w:val="77B4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2018-02-26T08:39:00Z</dcterms:created>
  <dc:creator>Janusio</dc:creator>
  <cp:lastModifiedBy>Janusio</cp:lastModifiedBy>
  <dcterms:modified xsi:type="dcterms:W3CDTF">2018-02-27T06:02:29Z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