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1"/>
        <w:numPr>
          <w:ilvl w:val="0"/>
          <w:numId w:val="0"/>
        </w:numPr>
        <w:spacing w:line="360" w:lineRule="auto"/>
        <w:rPr>
          <w:rFonts w:hint="eastAsia" w:ascii="Times New Roman" w:hAnsi="Times New Roman"/>
          <w:sz w:val="24"/>
          <w:szCs w:val="24"/>
        </w:rPr>
      </w:pPr>
    </w:p>
    <w:p>
      <w:pPr>
        <w:pStyle w:val="11"/>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7"/>
      <w:bookmarkStart w:id="1" w:name="_Hlt34104666"/>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4"/>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4"/>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t>
      </w:r>
    </w:p>
    <w:p>
      <w:pPr>
        <w:pStyle w:val="14"/>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Berger等人最先提出vTPM的概念，随后产生了很多关于TVP及其信任链构建的研究成功，其中，开源的VMM——Xen是最早支持vTPM的，已经有许多学术成果将Xen作为实验平台；KVM对支持vTPM主要是依赖QEMU；2015年，VMware宣布在vSphere 6.0中支持vTPM；Oracle的Virtual Box也通过IBM的PCIXCC支持vTPM。这些知名公司的技术促进了可信虚拟平台的发展。为更好的对国内外研究现状进行阐释，本文将从可信虚拟平台、可信虚拟平台信任链、针对信任链的形式化分析方法三部分进行描述。</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对于TVP的研究，早在TVP概念出现之前，就出现了利用可信计算技术解决虚拟系统平台安全的方案，为TVP的发展提供了一些理论和构建基础，这些平台包括Terra [17]，Perseus [18]等，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0"/>
      </w:r>
      <w:r>
        <w:rPr>
          <w:rStyle w:val="7"/>
          <w:rFonts w:hint="eastAsia" w:ascii="Times New Roman" w:hAnsi="Times New Roman"/>
          <w:sz w:val="24"/>
          <w:szCs w:val="24"/>
          <w:lang w:val="en-US" w:eastAsia="zh-CN"/>
        </w:rPr>
        <w:t>]</w:t>
      </w:r>
      <w:bookmarkStart w:id="5" w:name="_GoBack"/>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1"/>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2"/>
      </w:r>
      <w:bookmarkEnd w:id="5"/>
      <w:r>
        <w:rPr>
          <w:rStyle w:val="7"/>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4"/>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4"/>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4"/>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 xml:space="preserve">统中数据的安全。 </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4"/>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p>
    <w:p>
      <w:pPr>
        <w:pStyle w:val="14"/>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4"/>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4"/>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4"/>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4"/>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4"/>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3" o:title=""/>
            <o:lock v:ext="edit" aspectratio="t"/>
            <w10:wrap type="none"/>
            <w10:anchorlock/>
          </v:shape>
          <o:OLEObject Type="Embed" ProgID="Visio.Drawing.11" ShapeID="_x0000_i1026" DrawAspect="Content" ObjectID="_1468075726" r:id="rId12">
            <o:LockedField>false</o:LockedField>
          </o:OLEObject>
        </w:object>
      </w:r>
      <w:bookmarkEnd w:id="3"/>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 TJP的可信依赖于物理TPM，用来衔接底层的虚拟化平台m和顶层的虚拟机vm。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TJP功能组件来源</w:t>
      </w:r>
    </w:p>
    <w:tbl>
      <w:tblPr>
        <w:tblStyle w:val="10"/>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4"/>
        <w:spacing w:line="360" w:lineRule="auto"/>
        <w:ind w:left="0" w:leftChars="0" w:firstLine="0" w:firstLineChars="0"/>
        <w:rPr>
          <w:rFonts w:hint="eastAsia" w:ascii="Times New Roman" w:hAnsi="Times New Roman"/>
          <w:sz w:val="24"/>
          <w:szCs w:val="24"/>
          <w:lang w:val="en-US" w:eastAsia="zh-CN"/>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TVP-QT工作程序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9"/>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图1</w:t>
      </w:r>
      <w:r>
        <w:rPr>
          <w:rFonts w:hint="eastAsia" w:ascii="Times New Roman" w:hAnsi="Times New Roman"/>
          <w:sz w:val="24"/>
          <w:szCs w:val="24"/>
          <w:lang w:val="en-US" w:eastAsia="zh-CN"/>
        </w:rPr>
        <w:t>1</w:t>
      </w:r>
      <w:r>
        <w:rPr>
          <w:rFonts w:hint="eastAsia" w:ascii="Times New Roman" w:hAnsi="Times New Roman"/>
          <w:sz w:val="24"/>
          <w:szCs w:val="24"/>
        </w:rPr>
        <w:t>为vTPMManager域配置文件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vtpmmgr.cfg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name="vtpmmgr"</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Kernel="/usr/lib/xen/boot/vtpmmgr-stubdom.gz"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extra="tpmlocality=2"</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disk=["file:file://root/xen-images/vtpmmgr-stubdom.img,hda,w"]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iomem=["fed42,1"]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vTPMManager配置文件部分参数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w:t>
      </w:r>
      <w:r>
        <w:rPr>
          <w:rFonts w:hint="eastAsia" w:ascii="Times New Roman" w:hAnsi="Times New Roman"/>
          <w:sz w:val="24"/>
          <w:szCs w:val="24"/>
        </w:rPr>
        <w:t>vTPMManager</w:t>
      </w:r>
      <w:r>
        <w:rPr>
          <w:rFonts w:hint="eastAsia" w:ascii="Times New Roman" w:hAnsi="Times New Roman"/>
          <w:sz w:val="24"/>
          <w:szCs w:val="24"/>
          <w:lang w:val="en-US" w:eastAsia="zh-CN"/>
        </w:rPr>
        <w:t xml:space="preserve"> </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  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可信计算平台上Linux的启动步骤如下:    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4"/>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390390" cy="3037840"/>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    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4"/>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628640" cy="8218805"/>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4"/>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4"/>
        <w:numPr>
          <w:ilvl w:val="0"/>
          <w:numId w:val="7"/>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4"/>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7" r:id="rId16">
            <o:LockedField>false</o:LockedField>
          </o:OLEObject>
        </w:objec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9"/>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4"/>
        <w:spacing w:line="360" w:lineRule="auto"/>
        <w:ind w:firstLine="420" w:firstLineChars="0"/>
        <w:rPr>
          <w:rFonts w:hint="eastAsia" w:ascii="Times New Roman" w:hAnsi="Times New Roman"/>
          <w:sz w:val="24"/>
          <w:szCs w:val="24"/>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18"/>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4"/>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×××××××××××××××××××××××××××××××××××××××××××××××××××××××××××××××××××××××××××××在对TVP-QT信任链属性进行形式化分析前，本文假定以下条件是成立的：</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8"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ascii="Times New Roman" w:hAnsi="Times New Roman"/>
          <w:color w:val="auto"/>
          <w:position w:val="-4"/>
          <w:sz w:val="24"/>
          <w:szCs w:val="24"/>
        </w:rPr>
        <w:object>
          <v:shape id="_x0000_i10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29" DrawAspect="Content" ObjectID="_1468075729"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0"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2" DrawAspect="Content" ObjectID="_1468075732" r:id="rId2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3" DrawAspect="Content" ObjectID="_1468075733" r:id="rId2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4" DrawAspect="Content" ObjectID="_1468075734" r:id="rId3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5" DrawAspect="Content" ObjectID="_1468075735" r:id="rId3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6" DrawAspect="Content" ObjectID="_1468075736"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7" DrawAspect="Content" ObjectID="_1468075737"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8" DrawAspect="Content" ObjectID="_1468075738"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2" DrawAspect="Content" ObjectID="_1468075742" r:id="rId3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3" DrawAspect="Content" ObjectID="_1468075743" r:id="rId3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5" DrawAspect="Content" ObjectID="_1468075745" r:id="rId4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6" DrawAspect="Content" ObjectID="_1468075746"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7" DrawAspect="Content" ObjectID="_1468075747"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048" DrawAspect="Content" ObjectID="_1468075748" r:id="rId44">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49" DrawAspect="Content" ObjectID="_1468075749" r:id="rId46">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0"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4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2" DrawAspect="Content" ObjectID="_1468075752"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3" DrawAspect="Content" ObjectID="_1468075753"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4" DrawAspect="Content" ObjectID="_1468075754" r:id="rId54">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5" DrawAspect="Content" ObjectID="_1468075755"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6" DrawAspect="Content" ObjectID="_1468075756" r:id="rId56">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7" DrawAspect="Content" ObjectID="_1468075757"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8" DrawAspect="Content" ObjectID="_1468075758" r:id="rId58">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9" DrawAspect="Content" ObjectID="_1468075759"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0"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060" DrawAspect="Content" ObjectID="_1468075760"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1" DrawAspect="Content" ObjectID="_1468075761" r:id="rId62">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2"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2" DrawAspect="Content" ObjectID="_1468075762" r:id="rId64">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3"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r>
        <w:rPr>
          <w:rFonts w:ascii="Times New Roman" w:hAnsi="Times New Roman"/>
          <w:color w:val="auto"/>
          <w:sz w:val="24"/>
          <w:szCs w:val="24"/>
        </w:rPr>
        <w:object>
          <v:shape id="_x0000_i1064"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5"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6"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066" DrawAspect="Content" ObjectID="_1468075766" r:id="rId71">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7"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7" DrawAspect="Content" ObjectID="_1468075767" r:id="rId73">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8"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068" DrawAspect="Content" ObjectID="_1468075768" r:id="rId74">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69"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9" DrawAspect="Content" ObjectID="_1468075769" r:id="rId7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0"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70" DrawAspect="Content" ObjectID="_1468075770" r:id="rId77">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1" o:spt="75" type="#_x0000_t75" style="height:15.6pt;width:148.1pt;" o:ole="t" filled="f" o:preferrelative="t" stroked="f" coordsize="21600,21600">
            <v:path/>
            <v:fill on="f" focussize="0,0"/>
            <v:stroke on="f"/>
            <v:imagedata r:id="rId80" o:title=""/>
            <o:lock v:ext="edit" aspectratio="t"/>
            <w10:wrap type="none"/>
            <w10:anchorlock/>
          </v:shape>
          <o:OLEObject Type="Embed" ProgID="Equation.KSEE3" ShapeID="_x0000_i1071" DrawAspect="Content" ObjectID="_1468075771" r:id="rId79">
            <o:LockedField>false</o:LockedField>
          </o:OLEObject>
        </w:object>
      </w:r>
      <w:r>
        <w:rPr>
          <w:rFonts w:hint="eastAsia" w:ascii="Times New Roman" w:hAnsi="Times New Roman"/>
          <w:color w:val="auto"/>
          <w:position w:val="-4"/>
          <w:sz w:val="24"/>
          <w:szCs w:val="24"/>
        </w:rPr>
        <w:object>
          <v:shape id="_x0000_i10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2" DrawAspect="Content" ObjectID="_1468075772" r:id="rId81">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3"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073" DrawAspect="Content" ObjectID="_1468075773"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4" DrawAspect="Content" ObjectID="_1468075774" r:id="rId8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5" DrawAspect="Content" ObjectID="_1468075775" r:id="rId85">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6" DrawAspect="Content" ObjectID="_1468075776" r:id="rId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7" DrawAspect="Content" ObjectID="_1468075777" r:id="rId8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8" DrawAspect="Content" ObjectID="_1468075778" r:id="rId8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9" DrawAspect="Content" ObjectID="_1468075779" r:id="rId8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0" DrawAspect="Content" ObjectID="_1468075780" r:id="rId90">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1" DrawAspect="Content" ObjectID="_1468075781"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2" DrawAspect="Content" ObjectID="_1468075782" r:id="rId92">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3" DrawAspect="Content" ObjectID="_1468075783"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4" DrawAspect="Content" ObjectID="_1468075784"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5" DrawAspect="Content" ObjectID="_1468075785"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6" DrawAspect="Content" ObjectID="_1468075786"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7" DrawAspect="Content" ObjectID="_1468075787"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8" DrawAspect="Content" ObjectID="_1468075788" r:id="rId9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9" DrawAspect="Content" ObjectID="_1468075789"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0" DrawAspect="Content" ObjectID="_1468075790" r:id="rId10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1"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1" DrawAspect="Content" ObjectID="_1468075791" r:id="rId101">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2"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092" DrawAspect="Content" ObjectID="_1468075792" r:id="rId103">
            <o:LockedField>false</o:LockedField>
          </o:OLEObject>
        </w:object>
      </w:r>
      <w:r>
        <w:rPr>
          <w:rFonts w:hint="eastAsia" w:ascii="Times New Roman" w:hAnsi="Times New Roman"/>
          <w:i/>
          <w:iCs/>
          <w:color w:val="auto"/>
          <w:position w:val="-4"/>
          <w:sz w:val="24"/>
          <w:szCs w:val="24"/>
        </w:rPr>
        <w:object>
          <v:shape id="_x0000_i1093"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3" DrawAspect="Content" ObjectID="_1468075793" r:id="rId105">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4"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5"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5" DrawAspect="Content" ObjectID="_1468075795" r:id="rId108">
            <o:LockedField>false</o:LockedField>
          </o:OLEObject>
        </w:object>
      </w:r>
      <w:r>
        <w:rPr>
          <w:rFonts w:hint="eastAsia" w:ascii="Times New Roman" w:hAnsi="Times New Roman"/>
          <w:i/>
          <w:iCs/>
          <w:color w:val="auto"/>
          <w:position w:val="-4"/>
          <w:sz w:val="24"/>
          <w:szCs w:val="24"/>
        </w:rPr>
        <w:object>
          <v:shape id="_x0000_i109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96" DrawAspect="Content" ObjectID="_1468075796" r:id="rId110">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97" DrawAspect="Content" ObjectID="_1468075797"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8" DrawAspect="Content" ObjectID="_1468075798" r:id="rId112">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9" DrawAspect="Content" ObjectID="_1468075799" r:id="rId113">
            <o:LockedField>false</o:LockedField>
          </o:OLEObject>
        </w:object>
      </w:r>
      <w:r>
        <w:rPr>
          <w:rFonts w:hint="eastAsia" w:ascii="Times New Roman" w:hAnsi="Times New Roman"/>
          <w:i/>
          <w:iCs/>
          <w:color w:val="auto"/>
          <w:position w:val="-4"/>
          <w:sz w:val="24"/>
          <w:szCs w:val="24"/>
        </w:rPr>
        <w:object>
          <v:shape id="_x0000_i110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0" DrawAspect="Content" ObjectID="_1468075800" r:id="rId114">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1" DrawAspect="Content" ObjectID="_1468075801" r:id="rId1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2"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2" DrawAspect="Content" ObjectID="_1468075802" r:id="rId116">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3" DrawAspect="Content" ObjectID="_1468075803" r:id="rId117">
            <o:LockedField>false</o:LockedField>
          </o:OLEObject>
        </w:object>
      </w:r>
      <w:r>
        <w:rPr>
          <w:rFonts w:hint="eastAsia" w:ascii="Times New Roman" w:hAnsi="Times New Roman"/>
          <w:i/>
          <w:iCs/>
          <w:color w:val="auto"/>
          <w:position w:val="-4"/>
          <w:sz w:val="24"/>
          <w:szCs w:val="24"/>
        </w:rPr>
        <w:object>
          <v:shape id="_x0000_i110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4" DrawAspect="Content" ObjectID="_1468075804" r:id="rId11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5" DrawAspect="Content" ObjectID="_1468075805" r:id="rId119">
            <o:LockedField>false</o:LockedField>
          </o:OLEObject>
        </w:object>
      </w:r>
      <w:r>
        <w:rPr>
          <w:rFonts w:hint="eastAsia" w:ascii="Times New Roman" w:hAnsi="Times New Roman"/>
          <w:color w:val="auto"/>
          <w:position w:val="-6"/>
          <w:sz w:val="24"/>
          <w:szCs w:val="24"/>
        </w:rPr>
        <w:object>
          <v:shape id="_x0000_i1106"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106" DrawAspect="Content" ObjectID="_1468075806" r:id="rId120">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7"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07" DrawAspect="Content" ObjectID="_1468075807" r:id="rId122">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8" DrawAspect="Content" ObjectID="_1468075808" r:id="rId124">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9" DrawAspect="Content" ObjectID="_1468075809" r:id="rId125">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10" DrawAspect="Content" ObjectID="_1468075810" r:id="rId1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11" DrawAspect="Content" ObjectID="_1468075811" r:id="rId128">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2"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112" DrawAspect="Content" ObjectID="_1468075812" r:id="rId129">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3"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3" DrawAspect="Content" ObjectID="_1468075813" r:id="rId13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4"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4" DrawAspect="Content" ObjectID="_1468075814" r:id="rId133">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7"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9"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9" DrawAspect="Content" ObjectID="_1468075819" r:id="rId142">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0"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20" DrawAspect="Content" ObjectID="_1468075820" r:id="rId14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1" DrawAspect="Content" ObjectID="_1468075821" r:id="rId144">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2" DrawAspect="Content" ObjectID="_1468075822" r:id="rId14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3" DrawAspect="Content" ObjectID="_1468075823" r:id="rId146">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4" DrawAspect="Content" ObjectID="_1468075824"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5" DrawAspect="Content" ObjectID="_1468075825" r:id="rId148">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6"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26" DrawAspect="Content" ObjectID="_1468075826" r:id="rId149">
            <o:LockedField>false</o:LockedField>
          </o:OLEObject>
        </w:object>
      </w:r>
      <w:r>
        <w:rPr>
          <w:rFonts w:hint="eastAsia" w:ascii="Times New Roman" w:hAnsi="Times New Roman"/>
          <w:i/>
          <w:iCs/>
          <w:color w:val="auto"/>
          <w:position w:val="-4"/>
          <w:sz w:val="24"/>
          <w:szCs w:val="24"/>
        </w:rPr>
        <w:object>
          <v:shape id="_x0000_i112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7" DrawAspect="Content" ObjectID="_1468075827" r:id="rId151">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8" DrawAspect="Content" ObjectID="_1468075828" r:id="rId152">
            <o:LockedField>false</o:LockedField>
          </o:OLEObject>
        </w:object>
      </w:r>
      <w:r>
        <w:rPr>
          <w:rFonts w:hint="eastAsia" w:ascii="Times New Roman" w:hAnsi="Times New Roman"/>
          <w:color w:val="auto"/>
          <w:position w:val="-6"/>
          <w:sz w:val="24"/>
          <w:szCs w:val="24"/>
        </w:rPr>
        <w:object>
          <v:shape id="_x0000_i1129"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129" DrawAspect="Content" ObjectID="_1468075829" r:id="rId153">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0"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30" DrawAspect="Content" ObjectID="_1468075830" r:id="rId15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1" DrawAspect="Content" ObjectID="_1468075831" r:id="rId1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2" DrawAspect="Content" ObjectID="_1468075832" r:id="rId1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3" DrawAspect="Content" ObjectID="_1468075833" r:id="rId158">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4"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34" DrawAspect="Content" ObjectID="_1468075834" r:id="rId159">
            <o:LockedField>false</o:LockedField>
          </o:OLEObject>
        </w:object>
      </w:r>
      <w:r>
        <w:rPr>
          <w:rFonts w:hint="eastAsia" w:ascii="Times New Roman" w:hAnsi="Times New Roman"/>
          <w:i/>
          <w:iCs/>
          <w:color w:val="auto"/>
          <w:position w:val="-4"/>
          <w:sz w:val="24"/>
          <w:szCs w:val="24"/>
        </w:rPr>
        <w:object>
          <v:shape id="_x0000_i113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35" DrawAspect="Content" ObjectID="_1468075835" r:id="rId16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6" DrawAspect="Content" ObjectID="_1468075836" r:id="rId1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7" DrawAspect="Content" ObjectID="_1468075837" r:id="rId162">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38" DrawAspect="Content" ObjectID="_1468075838" r:id="rId163">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9"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39" DrawAspect="Content" ObjectID="_1468075839" r:id="rId165">
            <o:LockedField>false</o:LockedField>
          </o:OLEObject>
        </w:object>
      </w:r>
      <w:r>
        <w:rPr>
          <w:rFonts w:ascii="Times New Roman" w:hAnsi="Times New Roman"/>
          <w:color w:val="auto"/>
          <w:position w:val="-4"/>
          <w:sz w:val="24"/>
          <w:szCs w:val="24"/>
        </w:rPr>
        <w:object>
          <v:shape id="_x0000_i1140"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140" DrawAspect="Content" ObjectID="_1468075840" r:id="rId166">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1"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41" DrawAspect="Content" ObjectID="_1468075841" r:id="rId168">
            <o:LockedField>false</o:LockedField>
          </o:OLEObject>
        </w:object>
      </w:r>
      <w:r>
        <w:rPr>
          <w:rFonts w:hint="eastAsia" w:ascii="Times New Roman" w:hAnsi="Times New Roman"/>
          <w:i/>
          <w:iCs/>
          <w:color w:val="auto"/>
          <w:position w:val="-4"/>
          <w:sz w:val="24"/>
          <w:szCs w:val="24"/>
        </w:rPr>
        <w:object>
          <v:shape id="_x0000_i114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2" DrawAspect="Content" ObjectID="_1468075842" r:id="rId169">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3" DrawAspect="Content" ObjectID="_1468075843" r:id="rId17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4"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4" DrawAspect="Content" ObjectID="_1468075844" r:id="rId171">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5" DrawAspect="Content" ObjectID="_1468075845" r:id="rId173">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6"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6" DrawAspect="Content" ObjectID="_1468075846" r:id="rId174">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7" DrawAspect="Content" ObjectID="_1468075847" r:id="rId175">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48" DrawAspect="Content" ObjectID="_1468075848" r:id="rId177">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49"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149" DrawAspect="Content" ObjectID="_1468075849"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0" DrawAspect="Content" ObjectID="_1468075850" r:id="rId18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1" DrawAspect="Content" ObjectID="_1468075851" r:id="rId18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2" DrawAspect="Content" ObjectID="_1468075852" r:id="rId18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3" DrawAspect="Content" ObjectID="_1468075853" r:id="rId18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4" DrawAspect="Content" ObjectID="_1468075854" r:id="rId18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5" DrawAspect="Content" ObjectID="_1468075855" r:id="rId18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6" DrawAspect="Content" ObjectID="_1468075856" r:id="rId18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7"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57" DrawAspect="Content" ObjectID="_1468075857" r:id="rId188">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6"/>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58" DrawAspect="Content" ObjectID="_1468075858" r:id="rId189">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59"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159" DrawAspect="Content" ObjectID="_1468075859" r:id="rId190">
            <o:LockedField>false</o:LockedField>
          </o:OLEObject>
        </w:object>
      </w:r>
      <w:r>
        <w:rPr>
          <w:rFonts w:ascii="Times New Roman" w:hAnsi="Times New Roman"/>
          <w:i/>
          <w:iCs/>
          <w:color w:val="auto"/>
          <w:position w:val="-6"/>
          <w:sz w:val="24"/>
          <w:szCs w:val="24"/>
        </w:rPr>
        <w:object>
          <v:shape id="_x0000_i1160"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160" DrawAspect="Content" ObjectID="_1468075860" r:id="rId192">
            <o:LockedField>false</o:LockedField>
          </o:OLEObject>
        </w:object>
      </w:r>
      <w:r>
        <w:rPr>
          <w:rFonts w:hint="eastAsia" w:ascii="Times New Roman" w:hAnsi="Times New Roman"/>
          <w:i/>
          <w:iCs/>
          <w:color w:val="auto"/>
          <w:position w:val="-4"/>
          <w:sz w:val="24"/>
          <w:szCs w:val="24"/>
        </w:rPr>
        <w:object>
          <v:shape id="_x0000_i1161"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1" DrawAspect="Content" ObjectID="_1468075861" r:id="rId194">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2" DrawAspect="Content" ObjectID="_1468075862" r:id="rId195">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3"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63" DrawAspect="Content" ObjectID="_1468075863" r:id="rId196">
            <o:LockedField>false</o:LockedField>
          </o:OLEObject>
        </w:object>
      </w:r>
      <w:r>
        <w:rPr>
          <w:rFonts w:hint="eastAsia" w:ascii="Times New Roman" w:hAnsi="Times New Roman"/>
          <w:i/>
          <w:iCs/>
          <w:color w:val="auto"/>
          <w:position w:val="-4"/>
          <w:sz w:val="24"/>
          <w:szCs w:val="24"/>
        </w:rPr>
        <w:object>
          <v:shape id="_x0000_i116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4" DrawAspect="Content" ObjectID="_1468075864" r:id="rId198">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5" DrawAspect="Content" ObjectID="_1468075865"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6" DrawAspect="Content" ObjectID="_1468075866" r:id="rId200">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7"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167" DrawAspect="Content" ObjectID="_1468075867" r:id="rId201">
            <o:LockedField>false</o:LockedField>
          </o:OLEObject>
        </w:object>
      </w:r>
      <w:r>
        <w:rPr>
          <w:rFonts w:hint="eastAsia" w:ascii="Times New Roman" w:hAnsi="Times New Roman"/>
          <w:i/>
          <w:iCs/>
          <w:color w:val="auto"/>
          <w:position w:val="-4"/>
          <w:sz w:val="24"/>
          <w:szCs w:val="24"/>
        </w:rPr>
        <w:object>
          <v:shape id="_x0000_i116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8" DrawAspect="Content" ObjectID="_1468075868" r:id="rId203">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9" DrawAspect="Content" ObjectID="_1468075869"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5"/>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6"/>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07"/>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09"/>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2"/>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4"/>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5"/>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6"/>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17"/>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18"/>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2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29"/>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3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3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3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4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4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0"/>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3"/>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5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5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5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0"/>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1"/>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5"/>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6"/>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67"/>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69"/>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3"/>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4"/>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5"/>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6"/>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77"/>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78"/>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7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3"/>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4"/>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5"/>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6"/>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87"/>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88"/>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89"/>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1"/>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2"/>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3"/>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4"/>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6"/>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29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298"/>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299"/>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0"/>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1"/>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2"/>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3"/>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4"/>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5"/>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6"/>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0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0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09"/>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0"/>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1"/>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2"/>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3"/>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4"/>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4"/>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5"/>
                    <a:stretch>
                      <a:fillRect/>
                    </a:stretch>
                  </pic:blipFill>
                  <pic:spPr>
                    <a:xfrm>
                      <a:off x="0" y="0"/>
                      <a:ext cx="3058160" cy="1352550"/>
                    </a:xfrm>
                    <a:prstGeom prst="rect">
                      <a:avLst/>
                    </a:prstGeom>
                    <a:noFill/>
                    <a:ln w="9525">
                      <a:noFill/>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6"/>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1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19"/>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0"/>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1"/>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4"/>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5"/>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7"/>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28"/>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1"/>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2"/>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3"/>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4"/>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5"/>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6"/>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7"/>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39"/>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0"/>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1"/>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2"/>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48"/>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49"/>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0"/>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4"/>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5"/>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6"/>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7"/>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58"/>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59"/>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0"/>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3"/>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7"/>
        </w:rPr>
        <w:t>[</w:t>
      </w:r>
      <w:r>
        <w:rPr>
          <w:rStyle w:val="7"/>
        </w:rPr>
        <w:endnoteRef/>
      </w:r>
      <w:r>
        <w:rPr>
          <w:rStyle w:val="7"/>
        </w:rPr>
        <w:t>]</w:t>
      </w:r>
      <w:r>
        <w:t xml:space="preserve"> </w:t>
      </w:r>
      <w:r>
        <w:rPr>
          <w:rFonts w:hint="eastAsia"/>
          <w:lang w:val="en-US" w:eastAsia="zh-CN"/>
        </w:rPr>
        <w:t>yyy</w:t>
      </w:r>
    </w:p>
  </w:endnote>
  <w:endnote w:id="1">
    <w:p>
      <w:pPr>
        <w:pStyle w:val="3"/>
        <w:snapToGrid w:val="0"/>
      </w:pPr>
      <w:r>
        <w:rPr>
          <w:rStyle w:val="7"/>
        </w:rPr>
        <w:t>[</w:t>
      </w:r>
      <w:r>
        <w:rPr>
          <w:rStyle w:val="7"/>
        </w:rPr>
        <w:endnoteRef/>
      </w:r>
      <w:r>
        <w:rPr>
          <w:rStyle w:val="7"/>
        </w:rPr>
        <w:t>]</w:t>
      </w:r>
      <w:r>
        <w:t xml:space="preserve"> </w:t>
      </w:r>
      <w:r>
        <w:rPr>
          <w:rFonts w:hint="eastAsia"/>
          <w:lang w:eastAsia="zh-CN"/>
        </w:rPr>
        <w:t>；；；</w:t>
      </w:r>
    </w:p>
  </w:endnote>
  <w:endnote w:id="2">
    <w:p>
      <w:pPr>
        <w:pStyle w:val="3"/>
        <w:snapToGrid w:val="0"/>
      </w:pPr>
      <w:r>
        <w:rPr>
          <w:rStyle w:val="7"/>
        </w:rPr>
        <w:t>[</w:t>
      </w:r>
      <w:r>
        <w:rPr>
          <w:rStyle w:val="7"/>
        </w:rPr>
        <w:endnoteRef/>
      </w:r>
      <w:r>
        <w:rPr>
          <w:rStyle w:val="7"/>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5"/>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12"/>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6">
    <w:nsid w:val="6CEA2025"/>
    <w:multiLevelType w:val="multilevel"/>
    <w:tmpl w:val="6CEA2025"/>
    <w:lvl w:ilvl="0" w:tentative="0">
      <w:start w:val="1"/>
      <w:numFmt w:val="none"/>
      <w:pStyle w:val="1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5"/>
  </w:num>
  <w:num w:numId="2">
    <w:abstractNumId w:val="16"/>
  </w:num>
  <w:num w:numId="3">
    <w:abstractNumId w:val="0"/>
  </w:num>
  <w:num w:numId="4">
    <w:abstractNumId w:val="10"/>
  </w:num>
  <w:num w:numId="5">
    <w:abstractNumId w:val="12"/>
  </w:num>
  <w:num w:numId="6">
    <w:abstractNumId w:val="13"/>
  </w:num>
  <w:num w:numId="7">
    <w:abstractNumId w:val="14"/>
  </w:num>
  <w:num w:numId="8">
    <w:abstractNumId w:val="9"/>
  </w:num>
  <w:num w:numId="9">
    <w:abstractNumId w:val="8"/>
  </w:num>
  <w:num w:numId="10">
    <w:abstractNumId w:val="11"/>
  </w:num>
  <w:num w:numId="11">
    <w:abstractNumId w:val="1"/>
  </w:num>
  <w:num w:numId="12">
    <w:abstractNumId w:val="2"/>
  </w:num>
  <w:num w:numId="13">
    <w:abstractNumId w:val="4"/>
  </w:num>
  <w:num w:numId="14">
    <w:abstractNumId w:val="5"/>
  </w:num>
  <w:num w:numId="15">
    <w:abstractNumId w:val="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18B1C32"/>
    <w:rsid w:val="05AD6BB9"/>
    <w:rsid w:val="088D41C4"/>
    <w:rsid w:val="098F62AB"/>
    <w:rsid w:val="0A0A383C"/>
    <w:rsid w:val="0BA11285"/>
    <w:rsid w:val="1ADE6353"/>
    <w:rsid w:val="1D327066"/>
    <w:rsid w:val="26715481"/>
    <w:rsid w:val="298E5C29"/>
    <w:rsid w:val="2D9519B6"/>
    <w:rsid w:val="2DF34AED"/>
    <w:rsid w:val="3D2C04D5"/>
    <w:rsid w:val="3F9E5968"/>
    <w:rsid w:val="57F9111D"/>
    <w:rsid w:val="5E832416"/>
    <w:rsid w:val="5F114EB9"/>
    <w:rsid w:val="607661DE"/>
    <w:rsid w:val="640154BD"/>
    <w:rsid w:val="67761126"/>
    <w:rsid w:val="6A121562"/>
    <w:rsid w:val="6B7D4475"/>
    <w:rsid w:val="70E13F3D"/>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footnote reference"/>
    <w:basedOn w:val="6"/>
    <w:uiPriority w:val="0"/>
    <w:rPr>
      <w:vertAlign w:val="superscript"/>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2">
    <w:name w:val="附录标识"/>
    <w:basedOn w:val="13"/>
    <w:qFormat/>
    <w:uiPriority w:val="0"/>
    <w:pPr>
      <w:numPr>
        <w:ilvl w:val="0"/>
        <w:numId w:val="1"/>
      </w:numPr>
      <w:tabs>
        <w:tab w:val="left" w:pos="6405"/>
      </w:tabs>
      <w:spacing w:after="200"/>
    </w:pPr>
    <w:rPr>
      <w:sz w:val="21"/>
    </w:rPr>
  </w:style>
  <w:style w:type="paragraph" w:customStyle="1" w:styleId="13">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4">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5">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6">
    <w:name w:val="图表名称"/>
    <w:basedOn w:val="1"/>
    <w:qFormat/>
    <w:uiPriority w:val="0"/>
    <w:pPr>
      <w:jc w:val="center"/>
    </w:pPr>
    <w:rPr>
      <w:rFonts w:ascii="黑体" w:hAnsi="黑体" w:eastAsia="黑体"/>
      <w:color w:val="000000"/>
    </w:rPr>
  </w:style>
  <w:style w:type="paragraph" w:customStyle="1" w:styleId="17">
    <w:name w:val="列出段落1"/>
    <w:basedOn w:val="1"/>
    <w:qFormat/>
    <w:uiPriority w:val="99"/>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5.bin"/><Relationship Id="rId98" Type="http://schemas.openxmlformats.org/officeDocument/2006/relationships/oleObject" Target="embeddings/oleObject64.bin"/><Relationship Id="rId97" Type="http://schemas.openxmlformats.org/officeDocument/2006/relationships/oleObject" Target="embeddings/oleObject63.bin"/><Relationship Id="rId96" Type="http://schemas.openxmlformats.org/officeDocument/2006/relationships/oleObject" Target="embeddings/oleObject62.bin"/><Relationship Id="rId95" Type="http://schemas.openxmlformats.org/officeDocument/2006/relationships/oleObject" Target="embeddings/oleObject61.bin"/><Relationship Id="rId94" Type="http://schemas.openxmlformats.org/officeDocument/2006/relationships/oleObject" Target="embeddings/oleObject60.bin"/><Relationship Id="rId93" Type="http://schemas.openxmlformats.org/officeDocument/2006/relationships/oleObject" Target="embeddings/oleObject59.bin"/><Relationship Id="rId92" Type="http://schemas.openxmlformats.org/officeDocument/2006/relationships/oleObject" Target="embeddings/oleObject58.bin"/><Relationship Id="rId91" Type="http://schemas.openxmlformats.org/officeDocument/2006/relationships/oleObject" Target="embeddings/oleObject57.bin"/><Relationship Id="rId90" Type="http://schemas.openxmlformats.org/officeDocument/2006/relationships/oleObject" Target="embeddings/oleObject56.bin"/><Relationship Id="rId9" Type="http://schemas.openxmlformats.org/officeDocument/2006/relationships/image" Target="media/image3.emf"/><Relationship Id="rId89" Type="http://schemas.openxmlformats.org/officeDocument/2006/relationships/oleObject" Target="embeddings/oleObject55.bin"/><Relationship Id="rId88" Type="http://schemas.openxmlformats.org/officeDocument/2006/relationships/oleObject" Target="embeddings/oleObject54.bin"/><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image" Target="media/image29.wmf"/><Relationship Id="rId82" Type="http://schemas.openxmlformats.org/officeDocument/2006/relationships/oleObject" Target="embeddings/oleObject49.bin"/><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1.bin"/><Relationship Id="rId79" Type="http://schemas.openxmlformats.org/officeDocument/2006/relationships/oleObject" Target="embeddings/oleObject47.bin"/><Relationship Id="rId78" Type="http://schemas.openxmlformats.org/officeDocument/2006/relationships/image" Target="media/image27.wmf"/><Relationship Id="rId77" Type="http://schemas.openxmlformats.org/officeDocument/2006/relationships/oleObject" Target="embeddings/oleObject46.bin"/><Relationship Id="rId76" Type="http://schemas.openxmlformats.org/officeDocument/2006/relationships/oleObject" Target="embeddings/oleObject45.bin"/><Relationship Id="rId75" Type="http://schemas.openxmlformats.org/officeDocument/2006/relationships/image" Target="media/image26.wmf"/><Relationship Id="rId74" Type="http://schemas.openxmlformats.org/officeDocument/2006/relationships/oleObject" Target="embeddings/oleObject44.bin"/><Relationship Id="rId73" Type="http://schemas.openxmlformats.org/officeDocument/2006/relationships/oleObject" Target="embeddings/oleObject43.bin"/><Relationship Id="rId72" Type="http://schemas.openxmlformats.org/officeDocument/2006/relationships/image" Target="media/image25.wmf"/><Relationship Id="rId71" Type="http://schemas.openxmlformats.org/officeDocument/2006/relationships/oleObject" Target="embeddings/oleObject42.bin"/><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image" Target="media/image20.wmf"/><Relationship Id="rId60" Type="http://schemas.openxmlformats.org/officeDocument/2006/relationships/oleObject" Target="embeddings/oleObject36.bin"/><Relationship Id="rId6" Type="http://schemas.openxmlformats.org/officeDocument/2006/relationships/image" Target="media/image2.png"/><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image" Target="media/image16.wmf"/><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oleObject" Target="embeddings/oleObject17.bin"/><Relationship Id="rId366" Type="http://schemas.openxmlformats.org/officeDocument/2006/relationships/fontTable" Target="fontTable.xml"/><Relationship Id="rId365" Type="http://schemas.openxmlformats.org/officeDocument/2006/relationships/numbering" Target="numbering.xml"/><Relationship Id="rId364" Type="http://schemas.openxmlformats.org/officeDocument/2006/relationships/customXml" Target="../customXml/item1.xml"/><Relationship Id="rId363" Type="http://schemas.openxmlformats.org/officeDocument/2006/relationships/image" Target="media/image213.emf"/><Relationship Id="rId362" Type="http://schemas.openxmlformats.org/officeDocument/2006/relationships/image" Target="media/image212.wmf"/><Relationship Id="rId361" Type="http://schemas.openxmlformats.org/officeDocument/2006/relationships/image" Target="media/image211.wmf"/><Relationship Id="rId360" Type="http://schemas.openxmlformats.org/officeDocument/2006/relationships/image" Target="media/image210.wmf"/><Relationship Id="rId36" Type="http://schemas.openxmlformats.org/officeDocument/2006/relationships/oleObject" Target="embeddings/oleObject16.bin"/><Relationship Id="rId359" Type="http://schemas.openxmlformats.org/officeDocument/2006/relationships/image" Target="media/image209.wmf"/><Relationship Id="rId358" Type="http://schemas.openxmlformats.org/officeDocument/2006/relationships/image" Target="media/image208.wmf"/><Relationship Id="rId357" Type="http://schemas.openxmlformats.org/officeDocument/2006/relationships/image" Target="media/image207.wmf"/><Relationship Id="rId356" Type="http://schemas.openxmlformats.org/officeDocument/2006/relationships/image" Target="media/image206.wmf"/><Relationship Id="rId355" Type="http://schemas.openxmlformats.org/officeDocument/2006/relationships/image" Target="media/image205.wmf"/><Relationship Id="rId354" Type="http://schemas.openxmlformats.org/officeDocument/2006/relationships/image" Target="media/image204.wmf"/><Relationship Id="rId353" Type="http://schemas.openxmlformats.org/officeDocument/2006/relationships/image" Target="media/image203.wmf"/><Relationship Id="rId352" Type="http://schemas.openxmlformats.org/officeDocument/2006/relationships/image" Target="media/image202.wmf"/><Relationship Id="rId351" Type="http://schemas.openxmlformats.org/officeDocument/2006/relationships/image" Target="media/image201.wmf"/><Relationship Id="rId350" Type="http://schemas.openxmlformats.org/officeDocument/2006/relationships/image" Target="media/image200.wmf"/><Relationship Id="rId35" Type="http://schemas.openxmlformats.org/officeDocument/2006/relationships/oleObject" Target="embeddings/oleObject15.bin"/><Relationship Id="rId349" Type="http://schemas.openxmlformats.org/officeDocument/2006/relationships/image" Target="media/image199.wmf"/><Relationship Id="rId348" Type="http://schemas.openxmlformats.org/officeDocument/2006/relationships/image" Target="media/image198.wmf"/><Relationship Id="rId347" Type="http://schemas.openxmlformats.org/officeDocument/2006/relationships/image" Target="media/image197.wmf"/><Relationship Id="rId346" Type="http://schemas.openxmlformats.org/officeDocument/2006/relationships/image" Target="media/image196.wmf"/><Relationship Id="rId345" Type="http://schemas.openxmlformats.org/officeDocument/2006/relationships/image" Target="media/image195.wmf"/><Relationship Id="rId344" Type="http://schemas.openxmlformats.org/officeDocument/2006/relationships/image" Target="media/image194.wmf"/><Relationship Id="rId343" Type="http://schemas.openxmlformats.org/officeDocument/2006/relationships/image" Target="media/image193.wmf"/><Relationship Id="rId342" Type="http://schemas.openxmlformats.org/officeDocument/2006/relationships/image" Target="media/image192.wmf"/><Relationship Id="rId341" Type="http://schemas.openxmlformats.org/officeDocument/2006/relationships/image" Target="media/image191.wmf"/><Relationship Id="rId340" Type="http://schemas.openxmlformats.org/officeDocument/2006/relationships/image" Target="media/image190.wmf"/><Relationship Id="rId34" Type="http://schemas.openxmlformats.org/officeDocument/2006/relationships/oleObject" Target="embeddings/oleObject14.bin"/><Relationship Id="rId339" Type="http://schemas.openxmlformats.org/officeDocument/2006/relationships/image" Target="media/image189.wmf"/><Relationship Id="rId338" Type="http://schemas.openxmlformats.org/officeDocument/2006/relationships/image" Target="media/image188.wmf"/><Relationship Id="rId337" Type="http://schemas.openxmlformats.org/officeDocument/2006/relationships/image" Target="media/image187.wmf"/><Relationship Id="rId336" Type="http://schemas.openxmlformats.org/officeDocument/2006/relationships/image" Target="media/image186.wmf"/><Relationship Id="rId335" Type="http://schemas.openxmlformats.org/officeDocument/2006/relationships/image" Target="media/image185.wmf"/><Relationship Id="rId334" Type="http://schemas.openxmlformats.org/officeDocument/2006/relationships/image" Target="media/image184.wmf"/><Relationship Id="rId333" Type="http://schemas.openxmlformats.org/officeDocument/2006/relationships/image" Target="media/image183.wmf"/><Relationship Id="rId332" Type="http://schemas.openxmlformats.org/officeDocument/2006/relationships/image" Target="media/image182.wmf"/><Relationship Id="rId331" Type="http://schemas.openxmlformats.org/officeDocument/2006/relationships/image" Target="media/image181.wmf"/><Relationship Id="rId330" Type="http://schemas.openxmlformats.org/officeDocument/2006/relationships/image" Target="media/image180.wmf"/><Relationship Id="rId33" Type="http://schemas.openxmlformats.org/officeDocument/2006/relationships/oleObject" Target="embeddings/oleObject13.bin"/><Relationship Id="rId329" Type="http://schemas.openxmlformats.org/officeDocument/2006/relationships/image" Target="media/image179.wmf"/><Relationship Id="rId328" Type="http://schemas.openxmlformats.org/officeDocument/2006/relationships/image" Target="media/image178.wmf"/><Relationship Id="rId327" Type="http://schemas.openxmlformats.org/officeDocument/2006/relationships/image" Target="media/image177.wmf"/><Relationship Id="rId326" Type="http://schemas.openxmlformats.org/officeDocument/2006/relationships/image" Target="media/image176.wmf"/><Relationship Id="rId325" Type="http://schemas.openxmlformats.org/officeDocument/2006/relationships/image" Target="media/image175.wmf"/><Relationship Id="rId324" Type="http://schemas.openxmlformats.org/officeDocument/2006/relationships/image" Target="media/image174.wmf"/><Relationship Id="rId323" Type="http://schemas.openxmlformats.org/officeDocument/2006/relationships/image" Target="media/image173.wmf"/><Relationship Id="rId322" Type="http://schemas.openxmlformats.org/officeDocument/2006/relationships/image" Target="media/image172.wmf"/><Relationship Id="rId321" Type="http://schemas.openxmlformats.org/officeDocument/2006/relationships/image" Target="media/image171.wmf"/><Relationship Id="rId320" Type="http://schemas.openxmlformats.org/officeDocument/2006/relationships/image" Target="media/image170.wmf"/><Relationship Id="rId32" Type="http://schemas.openxmlformats.org/officeDocument/2006/relationships/oleObject" Target="embeddings/oleObject12.bin"/><Relationship Id="rId319" Type="http://schemas.openxmlformats.org/officeDocument/2006/relationships/image" Target="media/image169.wmf"/><Relationship Id="rId318" Type="http://schemas.openxmlformats.org/officeDocument/2006/relationships/image" Target="media/image168.wmf"/><Relationship Id="rId317" Type="http://schemas.openxmlformats.org/officeDocument/2006/relationships/image" Target="media/image167.wmf"/><Relationship Id="rId316" Type="http://schemas.openxmlformats.org/officeDocument/2006/relationships/image" Target="media/image166.wmf"/><Relationship Id="rId315" Type="http://schemas.openxmlformats.org/officeDocument/2006/relationships/image" Target="media/image165.emf"/><Relationship Id="rId314" Type="http://schemas.openxmlformats.org/officeDocument/2006/relationships/image" Target="media/image164.wmf"/><Relationship Id="rId313" Type="http://schemas.openxmlformats.org/officeDocument/2006/relationships/image" Target="media/image163.wmf"/><Relationship Id="rId312" Type="http://schemas.openxmlformats.org/officeDocument/2006/relationships/image" Target="media/image162.wmf"/><Relationship Id="rId311" Type="http://schemas.openxmlformats.org/officeDocument/2006/relationships/image" Target="media/image161.wmf"/><Relationship Id="rId310" Type="http://schemas.openxmlformats.org/officeDocument/2006/relationships/image" Target="media/image160.wmf"/><Relationship Id="rId31" Type="http://schemas.openxmlformats.org/officeDocument/2006/relationships/oleObject" Target="embeddings/oleObject11.bin"/><Relationship Id="rId309" Type="http://schemas.openxmlformats.org/officeDocument/2006/relationships/image" Target="media/image159.wmf"/><Relationship Id="rId308" Type="http://schemas.openxmlformats.org/officeDocument/2006/relationships/image" Target="media/image158.wmf"/><Relationship Id="rId307" Type="http://schemas.openxmlformats.org/officeDocument/2006/relationships/image" Target="media/image157.wmf"/><Relationship Id="rId306" Type="http://schemas.openxmlformats.org/officeDocument/2006/relationships/image" Target="media/image156.wmf"/><Relationship Id="rId305" Type="http://schemas.openxmlformats.org/officeDocument/2006/relationships/image" Target="media/image155.wmf"/><Relationship Id="rId304" Type="http://schemas.openxmlformats.org/officeDocument/2006/relationships/image" Target="media/image154.wmf"/><Relationship Id="rId303" Type="http://schemas.openxmlformats.org/officeDocument/2006/relationships/image" Target="media/image153.wmf"/><Relationship Id="rId302" Type="http://schemas.openxmlformats.org/officeDocument/2006/relationships/image" Target="media/image152.wmf"/><Relationship Id="rId301" Type="http://schemas.openxmlformats.org/officeDocument/2006/relationships/image" Target="media/image151.wmf"/><Relationship Id="rId300" Type="http://schemas.openxmlformats.org/officeDocument/2006/relationships/image" Target="media/image150.wmf"/><Relationship Id="rId30" Type="http://schemas.openxmlformats.org/officeDocument/2006/relationships/oleObject" Target="embeddings/oleObject10.bin"/><Relationship Id="rId3" Type="http://schemas.openxmlformats.org/officeDocument/2006/relationships/endnotes" Target="endnotes.xml"/><Relationship Id="rId299" Type="http://schemas.openxmlformats.org/officeDocument/2006/relationships/image" Target="media/image149.wmf"/><Relationship Id="rId298" Type="http://schemas.openxmlformats.org/officeDocument/2006/relationships/image" Target="media/image148.wmf"/><Relationship Id="rId297" Type="http://schemas.openxmlformats.org/officeDocument/2006/relationships/image" Target="media/image147.wmf"/><Relationship Id="rId296" Type="http://schemas.openxmlformats.org/officeDocument/2006/relationships/image" Target="media/image146.wmf"/><Relationship Id="rId295" Type="http://schemas.openxmlformats.org/officeDocument/2006/relationships/image" Target="media/image145.wmf"/><Relationship Id="rId294" Type="http://schemas.openxmlformats.org/officeDocument/2006/relationships/image" Target="media/image144.wmf"/><Relationship Id="rId293" Type="http://schemas.openxmlformats.org/officeDocument/2006/relationships/image" Target="media/image143.wmf"/><Relationship Id="rId292" Type="http://schemas.openxmlformats.org/officeDocument/2006/relationships/image" Target="media/image142.wmf"/><Relationship Id="rId291" Type="http://schemas.openxmlformats.org/officeDocument/2006/relationships/image" Target="media/image141.wmf"/><Relationship Id="rId290" Type="http://schemas.openxmlformats.org/officeDocument/2006/relationships/image" Target="media/image140.wmf"/><Relationship Id="rId29" Type="http://schemas.openxmlformats.org/officeDocument/2006/relationships/oleObject" Target="embeddings/oleObject9.bin"/><Relationship Id="rId289" Type="http://schemas.openxmlformats.org/officeDocument/2006/relationships/image" Target="media/image139.wmf"/><Relationship Id="rId288" Type="http://schemas.openxmlformats.org/officeDocument/2006/relationships/image" Target="media/image138.wmf"/><Relationship Id="rId287" Type="http://schemas.openxmlformats.org/officeDocument/2006/relationships/image" Target="media/image137.wmf"/><Relationship Id="rId286" Type="http://schemas.openxmlformats.org/officeDocument/2006/relationships/image" Target="media/image136.wmf"/><Relationship Id="rId285" Type="http://schemas.openxmlformats.org/officeDocument/2006/relationships/image" Target="media/image135.wmf"/><Relationship Id="rId284" Type="http://schemas.openxmlformats.org/officeDocument/2006/relationships/image" Target="media/image134.wmf"/><Relationship Id="rId283" Type="http://schemas.openxmlformats.org/officeDocument/2006/relationships/image" Target="media/image133.wmf"/><Relationship Id="rId282" Type="http://schemas.openxmlformats.org/officeDocument/2006/relationships/image" Target="media/image132.wmf"/><Relationship Id="rId281" Type="http://schemas.openxmlformats.org/officeDocument/2006/relationships/image" Target="media/image131.wmf"/><Relationship Id="rId280" Type="http://schemas.openxmlformats.org/officeDocument/2006/relationships/image" Target="media/image130.wmf"/><Relationship Id="rId28" Type="http://schemas.openxmlformats.org/officeDocument/2006/relationships/oleObject" Target="embeddings/oleObject8.bin"/><Relationship Id="rId279" Type="http://schemas.openxmlformats.org/officeDocument/2006/relationships/image" Target="media/image129.wmf"/><Relationship Id="rId278" Type="http://schemas.openxmlformats.org/officeDocument/2006/relationships/image" Target="media/image128.wmf"/><Relationship Id="rId277" Type="http://schemas.openxmlformats.org/officeDocument/2006/relationships/image" Target="media/image127.wmf"/><Relationship Id="rId276" Type="http://schemas.openxmlformats.org/officeDocument/2006/relationships/image" Target="media/image126.wmf"/><Relationship Id="rId275" Type="http://schemas.openxmlformats.org/officeDocument/2006/relationships/image" Target="media/image125.wmf"/><Relationship Id="rId274" Type="http://schemas.openxmlformats.org/officeDocument/2006/relationships/image" Target="media/image124.wmf"/><Relationship Id="rId273" Type="http://schemas.openxmlformats.org/officeDocument/2006/relationships/image" Target="media/image123.wmf"/><Relationship Id="rId272" Type="http://schemas.openxmlformats.org/officeDocument/2006/relationships/image" Target="media/image122.wmf"/><Relationship Id="rId271" Type="http://schemas.openxmlformats.org/officeDocument/2006/relationships/image" Target="media/image121.wmf"/><Relationship Id="rId270" Type="http://schemas.openxmlformats.org/officeDocument/2006/relationships/image" Target="media/image120.wmf"/><Relationship Id="rId27" Type="http://schemas.openxmlformats.org/officeDocument/2006/relationships/oleObject" Target="embeddings/oleObject7.bin"/><Relationship Id="rId269" Type="http://schemas.openxmlformats.org/officeDocument/2006/relationships/image" Target="media/image119.wmf"/><Relationship Id="rId268" Type="http://schemas.openxmlformats.org/officeDocument/2006/relationships/image" Target="media/image118.wmf"/><Relationship Id="rId267" Type="http://schemas.openxmlformats.org/officeDocument/2006/relationships/image" Target="media/image117.wmf"/><Relationship Id="rId266" Type="http://schemas.openxmlformats.org/officeDocument/2006/relationships/image" Target="media/image116.wmf"/><Relationship Id="rId265" Type="http://schemas.openxmlformats.org/officeDocument/2006/relationships/image" Target="media/image115.wmf"/><Relationship Id="rId264" Type="http://schemas.openxmlformats.org/officeDocument/2006/relationships/image" Target="media/image114.wmf"/><Relationship Id="rId263" Type="http://schemas.openxmlformats.org/officeDocument/2006/relationships/image" Target="media/image113.wmf"/><Relationship Id="rId262" Type="http://schemas.openxmlformats.org/officeDocument/2006/relationships/image" Target="media/image112.wmf"/><Relationship Id="rId261" Type="http://schemas.openxmlformats.org/officeDocument/2006/relationships/image" Target="media/image111.wmf"/><Relationship Id="rId260" Type="http://schemas.openxmlformats.org/officeDocument/2006/relationships/image" Target="media/image110.wmf"/><Relationship Id="rId26" Type="http://schemas.openxmlformats.org/officeDocument/2006/relationships/image" Target="media/image15.wmf"/><Relationship Id="rId259" Type="http://schemas.openxmlformats.org/officeDocument/2006/relationships/image" Target="media/image109.wmf"/><Relationship Id="rId258" Type="http://schemas.openxmlformats.org/officeDocument/2006/relationships/image" Target="media/image108.wmf"/><Relationship Id="rId257" Type="http://schemas.openxmlformats.org/officeDocument/2006/relationships/image" Target="media/image107.wmf"/><Relationship Id="rId256" Type="http://schemas.openxmlformats.org/officeDocument/2006/relationships/image" Target="media/image106.wmf"/><Relationship Id="rId255" Type="http://schemas.openxmlformats.org/officeDocument/2006/relationships/image" Target="media/image105.wmf"/><Relationship Id="rId254" Type="http://schemas.openxmlformats.org/officeDocument/2006/relationships/image" Target="media/image104.wmf"/><Relationship Id="rId253" Type="http://schemas.openxmlformats.org/officeDocument/2006/relationships/image" Target="media/image103.wmf"/><Relationship Id="rId252" Type="http://schemas.openxmlformats.org/officeDocument/2006/relationships/image" Target="media/image102.wmf"/><Relationship Id="rId251" Type="http://schemas.openxmlformats.org/officeDocument/2006/relationships/image" Target="media/image101.wmf"/><Relationship Id="rId250" Type="http://schemas.openxmlformats.org/officeDocument/2006/relationships/image" Target="media/image100.wmf"/><Relationship Id="rId25" Type="http://schemas.openxmlformats.org/officeDocument/2006/relationships/oleObject" Target="embeddings/oleObject6.bin"/><Relationship Id="rId249" Type="http://schemas.openxmlformats.org/officeDocument/2006/relationships/image" Target="media/image99.wmf"/><Relationship Id="rId248" Type="http://schemas.openxmlformats.org/officeDocument/2006/relationships/image" Target="media/image98.wmf"/><Relationship Id="rId247" Type="http://schemas.openxmlformats.org/officeDocument/2006/relationships/image" Target="media/image97.wmf"/><Relationship Id="rId246" Type="http://schemas.openxmlformats.org/officeDocument/2006/relationships/image" Target="media/image96.wmf"/><Relationship Id="rId245" Type="http://schemas.openxmlformats.org/officeDocument/2006/relationships/image" Target="media/image95.wmf"/><Relationship Id="rId244" Type="http://schemas.openxmlformats.org/officeDocument/2006/relationships/image" Target="media/image94.wmf"/><Relationship Id="rId243" Type="http://schemas.openxmlformats.org/officeDocument/2006/relationships/image" Target="media/image93.wmf"/><Relationship Id="rId242" Type="http://schemas.openxmlformats.org/officeDocument/2006/relationships/image" Target="media/image92.wmf"/><Relationship Id="rId241" Type="http://schemas.openxmlformats.org/officeDocument/2006/relationships/image" Target="media/image91.wmf"/><Relationship Id="rId240" Type="http://schemas.openxmlformats.org/officeDocument/2006/relationships/image" Target="media/image90.wmf"/><Relationship Id="rId24" Type="http://schemas.openxmlformats.org/officeDocument/2006/relationships/image" Target="media/image14.wmf"/><Relationship Id="rId239" Type="http://schemas.openxmlformats.org/officeDocument/2006/relationships/image" Target="media/image89.wmf"/><Relationship Id="rId238" Type="http://schemas.openxmlformats.org/officeDocument/2006/relationships/image" Target="media/image88.wmf"/><Relationship Id="rId237" Type="http://schemas.openxmlformats.org/officeDocument/2006/relationships/image" Target="media/image87.wmf"/><Relationship Id="rId236" Type="http://schemas.openxmlformats.org/officeDocument/2006/relationships/image" Target="media/image86.wmf"/><Relationship Id="rId235" Type="http://schemas.openxmlformats.org/officeDocument/2006/relationships/image" Target="media/image85.wmf"/><Relationship Id="rId234" Type="http://schemas.openxmlformats.org/officeDocument/2006/relationships/image" Target="media/image84.wmf"/><Relationship Id="rId233" Type="http://schemas.openxmlformats.org/officeDocument/2006/relationships/image" Target="media/image83.wmf"/><Relationship Id="rId232" Type="http://schemas.openxmlformats.org/officeDocument/2006/relationships/image" Target="media/image82.wmf"/><Relationship Id="rId231" Type="http://schemas.openxmlformats.org/officeDocument/2006/relationships/image" Target="media/image81.wmf"/><Relationship Id="rId230" Type="http://schemas.openxmlformats.org/officeDocument/2006/relationships/image" Target="media/image80.wmf"/><Relationship Id="rId23" Type="http://schemas.openxmlformats.org/officeDocument/2006/relationships/oleObject" Target="embeddings/oleObject5.bin"/><Relationship Id="rId229" Type="http://schemas.openxmlformats.org/officeDocument/2006/relationships/image" Target="media/image79.wmf"/><Relationship Id="rId228" Type="http://schemas.openxmlformats.org/officeDocument/2006/relationships/image" Target="media/image78.wmf"/><Relationship Id="rId227" Type="http://schemas.openxmlformats.org/officeDocument/2006/relationships/image" Target="media/image77.wmf"/><Relationship Id="rId226" Type="http://schemas.openxmlformats.org/officeDocument/2006/relationships/image" Target="media/image76.wmf"/><Relationship Id="rId225" Type="http://schemas.openxmlformats.org/officeDocument/2006/relationships/image" Target="media/image75.wmf"/><Relationship Id="rId224" Type="http://schemas.openxmlformats.org/officeDocument/2006/relationships/image" Target="media/image74.wmf"/><Relationship Id="rId223" Type="http://schemas.openxmlformats.org/officeDocument/2006/relationships/image" Target="media/image73.wmf"/><Relationship Id="rId222" Type="http://schemas.openxmlformats.org/officeDocument/2006/relationships/image" Target="media/image72.wmf"/><Relationship Id="rId221" Type="http://schemas.openxmlformats.org/officeDocument/2006/relationships/image" Target="media/image71.wmf"/><Relationship Id="rId220" Type="http://schemas.openxmlformats.org/officeDocument/2006/relationships/image" Target="media/image70.wmf"/><Relationship Id="rId22" Type="http://schemas.openxmlformats.org/officeDocument/2006/relationships/image" Target="media/image13.wmf"/><Relationship Id="rId219" Type="http://schemas.openxmlformats.org/officeDocument/2006/relationships/image" Target="media/image69.wmf"/><Relationship Id="rId218" Type="http://schemas.openxmlformats.org/officeDocument/2006/relationships/image" Target="media/image68.wmf"/><Relationship Id="rId217" Type="http://schemas.openxmlformats.org/officeDocument/2006/relationships/image" Target="media/image67.wmf"/><Relationship Id="rId216" Type="http://schemas.openxmlformats.org/officeDocument/2006/relationships/image" Target="media/image66.wmf"/><Relationship Id="rId215" Type="http://schemas.openxmlformats.org/officeDocument/2006/relationships/image" Target="media/image65.wmf"/><Relationship Id="rId214" Type="http://schemas.openxmlformats.org/officeDocument/2006/relationships/image" Target="media/image64.wmf"/><Relationship Id="rId213" Type="http://schemas.openxmlformats.org/officeDocument/2006/relationships/image" Target="media/image63.wmf"/><Relationship Id="rId212" Type="http://schemas.openxmlformats.org/officeDocument/2006/relationships/image" Target="media/image62.wmf"/><Relationship Id="rId211" Type="http://schemas.openxmlformats.org/officeDocument/2006/relationships/image" Target="media/image61.wmf"/><Relationship Id="rId210" Type="http://schemas.openxmlformats.org/officeDocument/2006/relationships/image" Target="media/image60.wmf"/><Relationship Id="rId21" Type="http://schemas.openxmlformats.org/officeDocument/2006/relationships/oleObject" Target="embeddings/oleObject4.bin"/><Relationship Id="rId209" Type="http://schemas.openxmlformats.org/officeDocument/2006/relationships/image" Target="media/image59.wmf"/><Relationship Id="rId208" Type="http://schemas.openxmlformats.org/officeDocument/2006/relationships/image" Target="media/image58.wmf"/><Relationship Id="rId207" Type="http://schemas.openxmlformats.org/officeDocument/2006/relationships/image" Target="media/image57.wmf"/><Relationship Id="rId206" Type="http://schemas.openxmlformats.org/officeDocument/2006/relationships/image" Target="media/image56.wmf"/><Relationship Id="rId205" Type="http://schemas.openxmlformats.org/officeDocument/2006/relationships/image" Target="media/image55.wmf"/><Relationship Id="rId204" Type="http://schemas.openxmlformats.org/officeDocument/2006/relationships/oleObject" Target="embeddings/oleObject145.bin"/><Relationship Id="rId203" Type="http://schemas.openxmlformats.org/officeDocument/2006/relationships/oleObject" Target="embeddings/oleObject144.bin"/><Relationship Id="rId202" Type="http://schemas.openxmlformats.org/officeDocument/2006/relationships/image" Target="media/image54.wmf"/><Relationship Id="rId201" Type="http://schemas.openxmlformats.org/officeDocument/2006/relationships/oleObject" Target="embeddings/oleObject143.bin"/><Relationship Id="rId200" Type="http://schemas.openxmlformats.org/officeDocument/2006/relationships/oleObject" Target="embeddings/oleObject142.bin"/><Relationship Id="rId20" Type="http://schemas.openxmlformats.org/officeDocument/2006/relationships/image" Target="media/image12.png"/><Relationship Id="rId2" Type="http://schemas.openxmlformats.org/officeDocument/2006/relationships/settings" Target="settings.xml"/><Relationship Id="rId199" Type="http://schemas.openxmlformats.org/officeDocument/2006/relationships/oleObject" Target="embeddings/oleObject141.bin"/><Relationship Id="rId198" Type="http://schemas.openxmlformats.org/officeDocument/2006/relationships/oleObject" Target="embeddings/oleObject140.bin"/><Relationship Id="rId197" Type="http://schemas.openxmlformats.org/officeDocument/2006/relationships/image" Target="media/image53.wmf"/><Relationship Id="rId196" Type="http://schemas.openxmlformats.org/officeDocument/2006/relationships/oleObject" Target="embeddings/oleObject139.bin"/><Relationship Id="rId195" Type="http://schemas.openxmlformats.org/officeDocument/2006/relationships/oleObject" Target="embeddings/oleObject138.bin"/><Relationship Id="rId194" Type="http://schemas.openxmlformats.org/officeDocument/2006/relationships/oleObject" Target="embeddings/oleObject137.bin"/><Relationship Id="rId193" Type="http://schemas.openxmlformats.org/officeDocument/2006/relationships/image" Target="media/image52.wmf"/><Relationship Id="rId192" Type="http://schemas.openxmlformats.org/officeDocument/2006/relationships/oleObject" Target="embeddings/oleObject136.bin"/><Relationship Id="rId191" Type="http://schemas.openxmlformats.org/officeDocument/2006/relationships/image" Target="media/image51.wmf"/><Relationship Id="rId190" Type="http://schemas.openxmlformats.org/officeDocument/2006/relationships/oleObject" Target="embeddings/oleObject135.bin"/><Relationship Id="rId19" Type="http://schemas.openxmlformats.org/officeDocument/2006/relationships/image" Target="media/image11.png"/><Relationship Id="rId189" Type="http://schemas.openxmlformats.org/officeDocument/2006/relationships/oleObject" Target="embeddings/oleObject134.bin"/><Relationship Id="rId188" Type="http://schemas.openxmlformats.org/officeDocument/2006/relationships/oleObject" Target="embeddings/oleObject133.bin"/><Relationship Id="rId187" Type="http://schemas.openxmlformats.org/officeDocument/2006/relationships/oleObject" Target="embeddings/oleObject132.bin"/><Relationship Id="rId186" Type="http://schemas.openxmlformats.org/officeDocument/2006/relationships/oleObject" Target="embeddings/oleObject131.bin"/><Relationship Id="rId185" Type="http://schemas.openxmlformats.org/officeDocument/2006/relationships/oleObject" Target="embeddings/oleObject130.bin"/><Relationship Id="rId184" Type="http://schemas.openxmlformats.org/officeDocument/2006/relationships/oleObject" Target="embeddings/oleObject129.bin"/><Relationship Id="rId183" Type="http://schemas.openxmlformats.org/officeDocument/2006/relationships/oleObject" Target="embeddings/oleObject128.bin"/><Relationship Id="rId182" Type="http://schemas.openxmlformats.org/officeDocument/2006/relationships/oleObject" Target="embeddings/oleObject127.bin"/><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jpeg"/><Relationship Id="rId179" Type="http://schemas.openxmlformats.org/officeDocument/2006/relationships/oleObject" Target="embeddings/oleObject125.bin"/><Relationship Id="rId178" Type="http://schemas.openxmlformats.org/officeDocument/2006/relationships/image" Target="media/image49.wmf"/><Relationship Id="rId177" Type="http://schemas.openxmlformats.org/officeDocument/2006/relationships/oleObject" Target="embeddings/oleObject124.bin"/><Relationship Id="rId176" Type="http://schemas.openxmlformats.org/officeDocument/2006/relationships/image" Target="media/image48.wmf"/><Relationship Id="rId175" Type="http://schemas.openxmlformats.org/officeDocument/2006/relationships/oleObject" Target="embeddings/oleObject123.bin"/><Relationship Id="rId174" Type="http://schemas.openxmlformats.org/officeDocument/2006/relationships/oleObject" Target="embeddings/oleObject122.bin"/><Relationship Id="rId173" Type="http://schemas.openxmlformats.org/officeDocument/2006/relationships/oleObject" Target="embeddings/oleObject121.bin"/><Relationship Id="rId172" Type="http://schemas.openxmlformats.org/officeDocument/2006/relationships/image" Target="media/image47.wmf"/><Relationship Id="rId171" Type="http://schemas.openxmlformats.org/officeDocument/2006/relationships/oleObject" Target="embeddings/oleObject120.bin"/><Relationship Id="rId170" Type="http://schemas.openxmlformats.org/officeDocument/2006/relationships/oleObject" Target="embeddings/oleObject119.bin"/><Relationship Id="rId17" Type="http://schemas.openxmlformats.org/officeDocument/2006/relationships/image" Target="media/image9.emf"/><Relationship Id="rId169" Type="http://schemas.openxmlformats.org/officeDocument/2006/relationships/oleObject" Target="embeddings/oleObject118.bin"/><Relationship Id="rId168" Type="http://schemas.openxmlformats.org/officeDocument/2006/relationships/oleObject" Target="embeddings/oleObject117.bin"/><Relationship Id="rId167" Type="http://schemas.openxmlformats.org/officeDocument/2006/relationships/image" Target="media/image46.wmf"/><Relationship Id="rId166" Type="http://schemas.openxmlformats.org/officeDocument/2006/relationships/oleObject" Target="embeddings/oleObject116.bin"/><Relationship Id="rId165" Type="http://schemas.openxmlformats.org/officeDocument/2006/relationships/oleObject" Target="embeddings/oleObject115.bin"/><Relationship Id="rId164" Type="http://schemas.openxmlformats.org/officeDocument/2006/relationships/image" Target="media/image45.wmf"/><Relationship Id="rId163" Type="http://schemas.openxmlformats.org/officeDocument/2006/relationships/oleObject" Target="embeddings/oleObject114.bin"/><Relationship Id="rId162" Type="http://schemas.openxmlformats.org/officeDocument/2006/relationships/oleObject" Target="embeddings/oleObject113.bin"/><Relationship Id="rId161" Type="http://schemas.openxmlformats.org/officeDocument/2006/relationships/oleObject" Target="embeddings/oleObject112.bin"/><Relationship Id="rId160" Type="http://schemas.openxmlformats.org/officeDocument/2006/relationships/oleObject" Target="embeddings/oleObject111.bin"/><Relationship Id="rId16" Type="http://schemas.openxmlformats.org/officeDocument/2006/relationships/oleObject" Target="embeddings/oleObject3.bin"/><Relationship Id="rId159" Type="http://schemas.openxmlformats.org/officeDocument/2006/relationships/oleObject" Target="embeddings/oleObject110.bin"/><Relationship Id="rId158" Type="http://schemas.openxmlformats.org/officeDocument/2006/relationships/oleObject" Target="embeddings/oleObject109.bin"/><Relationship Id="rId157" Type="http://schemas.openxmlformats.org/officeDocument/2006/relationships/oleObject" Target="embeddings/oleObject108.bin"/><Relationship Id="rId156" Type="http://schemas.openxmlformats.org/officeDocument/2006/relationships/oleObject" Target="embeddings/oleObject107.bin"/><Relationship Id="rId155" Type="http://schemas.openxmlformats.org/officeDocument/2006/relationships/oleObject" Target="embeddings/oleObject106.bin"/><Relationship Id="rId154" Type="http://schemas.openxmlformats.org/officeDocument/2006/relationships/image" Target="media/image44.wmf"/><Relationship Id="rId153" Type="http://schemas.openxmlformats.org/officeDocument/2006/relationships/oleObject" Target="embeddings/oleObject105.bin"/><Relationship Id="rId152" Type="http://schemas.openxmlformats.org/officeDocument/2006/relationships/oleObject" Target="embeddings/oleObject104.bin"/><Relationship Id="rId151" Type="http://schemas.openxmlformats.org/officeDocument/2006/relationships/oleObject" Target="embeddings/oleObject103.bin"/><Relationship Id="rId150" Type="http://schemas.openxmlformats.org/officeDocument/2006/relationships/image" Target="media/image43.wmf"/><Relationship Id="rId15" Type="http://schemas.openxmlformats.org/officeDocument/2006/relationships/image" Target="media/image8.png"/><Relationship Id="rId149" Type="http://schemas.openxmlformats.org/officeDocument/2006/relationships/oleObject" Target="embeddings/oleObject102.bin"/><Relationship Id="rId148" Type="http://schemas.openxmlformats.org/officeDocument/2006/relationships/oleObject" Target="embeddings/oleObject101.bin"/><Relationship Id="rId147" Type="http://schemas.openxmlformats.org/officeDocument/2006/relationships/oleObject" Target="embeddings/oleObject100.bin"/><Relationship Id="rId146" Type="http://schemas.openxmlformats.org/officeDocument/2006/relationships/oleObject" Target="embeddings/oleObject99.bin"/><Relationship Id="rId145" Type="http://schemas.openxmlformats.org/officeDocument/2006/relationships/oleObject" Target="embeddings/oleObject98.bin"/><Relationship Id="rId144" Type="http://schemas.openxmlformats.org/officeDocument/2006/relationships/oleObject" Target="embeddings/oleObject97.bin"/><Relationship Id="rId143" Type="http://schemas.openxmlformats.org/officeDocument/2006/relationships/oleObject" Target="embeddings/oleObject96.bin"/><Relationship Id="rId142" Type="http://schemas.openxmlformats.org/officeDocument/2006/relationships/oleObject" Target="embeddings/oleObject95.bin"/><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png"/><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image" Target="media/image38.wmf"/><Relationship Id="rId131" Type="http://schemas.openxmlformats.org/officeDocument/2006/relationships/oleObject" Target="embeddings/oleObject89.bin"/><Relationship Id="rId130" Type="http://schemas.openxmlformats.org/officeDocument/2006/relationships/image" Target="media/image37.wmf"/><Relationship Id="rId13" Type="http://schemas.openxmlformats.org/officeDocument/2006/relationships/image" Target="media/image6.emf"/><Relationship Id="rId129" Type="http://schemas.openxmlformats.org/officeDocument/2006/relationships/oleObject" Target="embeddings/oleObject88.bin"/><Relationship Id="rId128" Type="http://schemas.openxmlformats.org/officeDocument/2006/relationships/oleObject" Target="embeddings/oleObject87.bin"/><Relationship Id="rId127" Type="http://schemas.openxmlformats.org/officeDocument/2006/relationships/image" Target="media/image36.wmf"/><Relationship Id="rId126" Type="http://schemas.openxmlformats.org/officeDocument/2006/relationships/oleObject" Target="embeddings/oleObject86.bin"/><Relationship Id="rId125" Type="http://schemas.openxmlformats.org/officeDocument/2006/relationships/oleObject" Target="embeddings/oleObject85.bin"/><Relationship Id="rId124" Type="http://schemas.openxmlformats.org/officeDocument/2006/relationships/oleObject" Target="embeddings/oleObject84.bin"/><Relationship Id="rId123" Type="http://schemas.openxmlformats.org/officeDocument/2006/relationships/image" Target="media/image35.wmf"/><Relationship Id="rId122" Type="http://schemas.openxmlformats.org/officeDocument/2006/relationships/oleObject" Target="embeddings/oleObject83.bin"/><Relationship Id="rId121" Type="http://schemas.openxmlformats.org/officeDocument/2006/relationships/image" Target="media/image34.wmf"/><Relationship Id="rId120" Type="http://schemas.openxmlformats.org/officeDocument/2006/relationships/oleObject" Target="embeddings/oleObject82.bin"/><Relationship Id="rId12" Type="http://schemas.openxmlformats.org/officeDocument/2006/relationships/oleObject" Target="embeddings/oleObject2.bin"/><Relationship Id="rId119" Type="http://schemas.openxmlformats.org/officeDocument/2006/relationships/oleObject" Target="embeddings/oleObject81.bin"/><Relationship Id="rId118" Type="http://schemas.openxmlformats.org/officeDocument/2006/relationships/oleObject" Target="embeddings/oleObject80.bin"/><Relationship Id="rId117" Type="http://schemas.openxmlformats.org/officeDocument/2006/relationships/oleObject" Target="embeddings/oleObject79.bin"/><Relationship Id="rId116" Type="http://schemas.openxmlformats.org/officeDocument/2006/relationships/oleObject" Target="embeddings/oleObject78.bin"/><Relationship Id="rId115" Type="http://schemas.openxmlformats.org/officeDocument/2006/relationships/oleObject" Target="embeddings/oleObject77.bin"/><Relationship Id="rId114" Type="http://schemas.openxmlformats.org/officeDocument/2006/relationships/oleObject" Target="embeddings/oleObject76.bin"/><Relationship Id="rId113" Type="http://schemas.openxmlformats.org/officeDocument/2006/relationships/oleObject" Target="embeddings/oleObject75.bin"/><Relationship Id="rId112" Type="http://schemas.openxmlformats.org/officeDocument/2006/relationships/oleObject" Target="embeddings/oleObject74.bin"/><Relationship Id="rId111" Type="http://schemas.openxmlformats.org/officeDocument/2006/relationships/oleObject" Target="embeddings/oleObject73.bin"/><Relationship Id="rId110" Type="http://schemas.openxmlformats.org/officeDocument/2006/relationships/oleObject" Target="embeddings/oleObject72.bin"/><Relationship Id="rId11" Type="http://schemas.openxmlformats.org/officeDocument/2006/relationships/image" Target="media/image5.png"/><Relationship Id="rId109" Type="http://schemas.openxmlformats.org/officeDocument/2006/relationships/image" Target="media/image33.wmf"/><Relationship Id="rId108" Type="http://schemas.openxmlformats.org/officeDocument/2006/relationships/oleObject" Target="embeddings/oleObject71.bin"/><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image" Target="media/image30.wmf"/><Relationship Id="rId101" Type="http://schemas.openxmlformats.org/officeDocument/2006/relationships/oleObject" Target="embeddings/oleObject67.bin"/><Relationship Id="rId100" Type="http://schemas.openxmlformats.org/officeDocument/2006/relationships/oleObject" Target="embeddings/oleObject66.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2018-03-02T17:35:14Z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