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0"/>
        </w:numPr>
        <w:spacing w:line="360" w:lineRule="auto"/>
        <w:rPr>
          <w:rFonts w:hint="eastAsia" w:hAnsi="宋体"/>
          <w:szCs w:val="21"/>
        </w:rPr>
      </w:pPr>
      <w:r>
        <w:rPr>
          <w:rFonts w:hint="eastAsia" w:hAnsi="宋体"/>
          <w:szCs w:val="21"/>
        </w:rPr>
        <w:t>附件1.2：学术型硕士学位论文封面格式</w:t>
      </w:r>
      <w:r>
        <w:rPr>
          <w:rFonts w:hint="eastAsia" w:hAnsi="宋体"/>
          <w:color w:val="FF0000"/>
          <w:szCs w:val="21"/>
        </w:rPr>
        <w:t>（浅黄色A4皮纹纸装订，打印时此行取消）</w:t>
      </w:r>
    </w:p>
    <w:p>
      <w:pPr>
        <w:pStyle w:val="6"/>
        <w:numPr>
          <w:ilvl w:val="0"/>
          <w:numId w:val="0"/>
        </w:numPr>
        <w:spacing w:line="360" w:lineRule="auto"/>
        <w:rPr>
          <w:rFonts w:hint="eastAsia"/>
          <w:sz w:val="24"/>
          <w:szCs w:val="24"/>
        </w:rPr>
      </w:pPr>
    </w:p>
    <w:p>
      <w:pPr>
        <w:pStyle w:val="6"/>
        <w:numPr>
          <w:ilvl w:val="0"/>
          <w:numId w:val="0"/>
        </w:numPr>
        <w:spacing w:line="360" w:lineRule="auto"/>
        <w:rPr>
          <w:rFonts w:hint="eastAsia"/>
          <w:sz w:val="24"/>
          <w:szCs w:val="24"/>
        </w:rPr>
      </w:pPr>
      <w:r>
        <w:rPr>
          <w:rFonts w:hint="eastAsia"/>
          <w:sz w:val="24"/>
          <w:szCs w:val="24"/>
        </w:rPr>
        <w:t>分类号：</w:t>
      </w:r>
      <w:r>
        <w:rPr>
          <w:rFonts w:hint="eastAsia"/>
          <w:sz w:val="24"/>
          <w:szCs w:val="24"/>
          <w:u w:val="single"/>
        </w:rPr>
        <w:t xml:space="preserve">  (</w:t>
      </w:r>
      <w:r>
        <w:rPr>
          <w:rFonts w:hint="eastAsia"/>
          <w:szCs w:val="21"/>
          <w:u w:val="single"/>
        </w:rPr>
        <w:t>按中国图书分类法</w:t>
      </w:r>
      <w:r>
        <w:rPr>
          <w:rFonts w:hint="eastAsia"/>
          <w:sz w:val="24"/>
          <w:szCs w:val="24"/>
        </w:rPr>
        <w:t>)                            单位代码：</w:t>
      </w:r>
      <w:r>
        <w:rPr>
          <w:rFonts w:hint="eastAsia"/>
          <w:sz w:val="24"/>
          <w:szCs w:val="24"/>
          <w:u w:val="single"/>
        </w:rPr>
        <w:t xml:space="preserve"> 10636   </w:t>
      </w:r>
    </w:p>
    <w:p>
      <w:pPr>
        <w:spacing w:line="360" w:lineRule="auto"/>
        <w:rPr>
          <w:rFonts w:hint="eastAsia"/>
          <w:color w:val="000000"/>
          <w:sz w:val="24"/>
        </w:rPr>
      </w:pPr>
      <w:r>
        <w:rPr>
          <w:rFonts w:hint="eastAsia"/>
          <w:color w:val="000000"/>
          <w:sz w:val="24"/>
        </w:rPr>
        <w:t>密  级：</w:t>
      </w:r>
      <w:r>
        <w:rPr>
          <w:rFonts w:hint="eastAsia"/>
          <w:color w:val="000000"/>
          <w:szCs w:val="21"/>
          <w:u w:val="single"/>
        </w:rPr>
        <w:t xml:space="preserve">（注明密级与保密期限）   </w:t>
      </w:r>
      <w:r>
        <w:rPr>
          <w:rFonts w:hint="eastAsia"/>
          <w:color w:val="000000"/>
          <w:sz w:val="24"/>
        </w:rPr>
        <w:t xml:space="preserve">                         学    号：</w:t>
      </w:r>
      <w:r>
        <w:rPr>
          <w:rFonts w:hint="eastAsia"/>
          <w:color w:val="000000"/>
          <w:sz w:val="24"/>
          <w:u w:val="single"/>
        </w:rPr>
        <w:t xml:space="preserve">          </w:t>
      </w:r>
    </w:p>
    <w:p>
      <w:pPr>
        <w:jc w:val="center"/>
        <w:rPr>
          <w:rFonts w:hint="eastAsia"/>
          <w:color w:val="000000"/>
        </w:rPr>
      </w:pPr>
    </w:p>
    <w:p>
      <w:pPr>
        <w:jc w:val="center"/>
        <w:rPr>
          <w:rFonts w:hint="eastAsia" w:ascii="黑体" w:eastAsia="黑体"/>
          <w:color w:val="000000"/>
          <w:sz w:val="52"/>
          <w:szCs w:val="52"/>
        </w:rPr>
      </w:pPr>
      <w:r>
        <w:rPr>
          <w:szCs w:val="21"/>
        </w:rPr>
        <w:fldChar w:fldCharType="begin"/>
      </w:r>
      <w:r>
        <w:rPr>
          <w:szCs w:val="21"/>
        </w:rPr>
        <w:instrText xml:space="preserve"> INCLUDEPICTURE "http://web.sicnu.edu.cn/img2/ck4d0af88c2ecfb.gif" \* MERGEFORMATINET </w:instrText>
      </w:r>
      <w:r>
        <w:rPr>
          <w:szCs w:val="21"/>
        </w:rPr>
        <w:fldChar w:fldCharType="separate"/>
      </w:r>
      <w:r>
        <w:rPr>
          <w:szCs w:val="21"/>
        </w:rPr>
        <w:drawing>
          <wp:inline distT="0" distB="0" distL="114300" distR="114300">
            <wp:extent cx="3291840" cy="499110"/>
            <wp:effectExtent l="0" t="0" r="3810" b="15240"/>
            <wp:docPr id="3" name="图片 3"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k4d0af88c2ecfb"/>
                    <pic:cNvPicPr>
                      <a:picLocks noChangeAspect="1"/>
                    </pic:cNvPicPr>
                  </pic:nvPicPr>
                  <pic:blipFill>
                    <a:blip r:embed="rId4"/>
                    <a:stretch>
                      <a:fillRect/>
                    </a:stretch>
                  </pic:blipFill>
                  <pic:spPr>
                    <a:xfrm>
                      <a:off x="0" y="0"/>
                      <a:ext cx="3291840" cy="499110"/>
                    </a:xfrm>
                    <a:prstGeom prst="rect">
                      <a:avLst/>
                    </a:prstGeom>
                    <a:noFill/>
                    <a:ln w="9525">
                      <a:noFill/>
                    </a:ln>
                  </pic:spPr>
                </pic:pic>
              </a:graphicData>
            </a:graphic>
          </wp:inline>
        </w:drawing>
      </w:r>
      <w:r>
        <w:rPr>
          <w:szCs w:val="21"/>
        </w:rPr>
        <w:fldChar w:fldCharType="end"/>
      </w:r>
    </w:p>
    <w:p>
      <w:pPr>
        <w:jc w:val="center"/>
        <w:rPr>
          <w:rFonts w:hint="eastAsia" w:ascii="黑体" w:eastAsia="黑体"/>
          <w:color w:val="000000"/>
          <w:sz w:val="52"/>
          <w:szCs w:val="52"/>
        </w:rPr>
      </w:pPr>
      <w:r>
        <w:rPr>
          <w:rFonts w:hint="eastAsia" w:eastAsia="幼圆"/>
          <w:b/>
          <w:bCs/>
          <w:snapToGrid w:val="0"/>
          <w:spacing w:val="120"/>
          <w:kern w:val="0"/>
          <w:sz w:val="84"/>
          <w:szCs w:val="84"/>
        </w:rPr>
        <w:t>硕士学位论文</w:t>
      </w:r>
    </w:p>
    <w:p>
      <w:pPr>
        <w:jc w:val="center"/>
        <w:rPr>
          <w:rFonts w:hint="eastAsia"/>
          <w:color w:val="000000"/>
        </w:rPr>
      </w:pPr>
      <w:r>
        <w:rPr>
          <w:szCs w:val="21"/>
        </w:rPr>
        <w:fldChar w:fldCharType="begin"/>
      </w:r>
      <w:r>
        <w:rPr>
          <w:szCs w:val="21"/>
        </w:rPr>
        <w:instrText xml:space="preserve"> INCLUDEPICTURE "http://web.sicnu.edu.cn/img2/ck4d0af8e356660.gif" \* MERGEFORMATINET </w:instrText>
      </w:r>
      <w:r>
        <w:rPr>
          <w:szCs w:val="21"/>
        </w:rPr>
        <w:fldChar w:fldCharType="separate"/>
      </w:r>
      <w:r>
        <w:rPr>
          <w:szCs w:val="21"/>
        </w:rPr>
        <w:drawing>
          <wp:inline distT="0" distB="0" distL="114300" distR="114300">
            <wp:extent cx="1319530" cy="110299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r:link="rId6"/>
                    <a:stretch>
                      <a:fillRect/>
                    </a:stretch>
                  </pic:blipFill>
                  <pic:spPr>
                    <a:xfrm>
                      <a:off x="0" y="0"/>
                      <a:ext cx="1319530" cy="1102995"/>
                    </a:xfrm>
                    <a:prstGeom prst="rect">
                      <a:avLst/>
                    </a:prstGeom>
                    <a:noFill/>
                    <a:ln w="9525">
                      <a:noFill/>
                    </a:ln>
                  </pic:spPr>
                </pic:pic>
              </a:graphicData>
            </a:graphic>
          </wp:inline>
        </w:drawing>
      </w:r>
      <w:r>
        <w:rPr>
          <w:szCs w:val="21"/>
        </w:rPr>
        <w:fldChar w:fldCharType="end"/>
      </w:r>
    </w:p>
    <w:p>
      <w:pPr>
        <w:spacing w:before="360"/>
        <w:ind w:left="900" w:leftChars="257" w:hanging="360" w:hangingChars="112"/>
        <w:rPr>
          <w:b/>
          <w:sz w:val="32"/>
          <w:u w:val="single"/>
        </w:rPr>
      </w:pPr>
      <w:r>
        <w:rPr>
          <w:rFonts w:hint="eastAsia"/>
          <w:b/>
          <w:sz w:val="32"/>
        </w:rPr>
        <w:t>中文论文题目 ：</w:t>
      </w:r>
      <w:r>
        <w:rPr>
          <w:rFonts w:hint="eastAsia"/>
          <w:b/>
          <w:sz w:val="32"/>
          <w:u w:val="single"/>
        </w:rPr>
        <w:t xml:space="preserve"> </w:t>
      </w:r>
      <w:r>
        <w:rPr>
          <w:rFonts w:hint="eastAsia"/>
          <w:b/>
          <w:sz w:val="36"/>
          <w:u w:val="single"/>
        </w:rPr>
        <w:t xml:space="preserve">           </w:t>
      </w:r>
      <w:r>
        <w:rPr>
          <w:rFonts w:hint="eastAsia"/>
          <w:color w:val="000000"/>
          <w:u w:val="single"/>
        </w:rPr>
        <w:t>（小二号仿宋体加黑）</w:t>
      </w:r>
      <w:r>
        <w:rPr>
          <w:rFonts w:hint="eastAsia"/>
          <w:b/>
          <w:sz w:val="36"/>
          <w:u w:val="single"/>
        </w:rPr>
        <w:t xml:space="preserve">         </w:t>
      </w:r>
    </w:p>
    <w:p>
      <w:pPr>
        <w:ind w:firstLine="2702" w:firstLineChars="841"/>
        <w:rPr>
          <w:rFonts w:hint="eastAsia"/>
          <w:color w:val="000000"/>
        </w:rPr>
      </w:pPr>
      <w:r>
        <w:rPr>
          <w:rFonts w:hint="eastAsia"/>
          <w:b/>
          <w:sz w:val="32"/>
          <w:u w:val="single"/>
        </w:rPr>
        <w:t xml:space="preserve"> </w:t>
      </w:r>
      <w:r>
        <w:rPr>
          <w:rFonts w:hint="eastAsia"/>
          <w:b/>
          <w:sz w:val="36"/>
          <w:u w:val="single"/>
        </w:rPr>
        <w:t xml:space="preserve">                                 </w:t>
      </w:r>
    </w:p>
    <w:p>
      <w:pPr>
        <w:ind w:left="540" w:leftChars="257"/>
        <w:rPr>
          <w:rFonts w:hint="eastAsia"/>
          <w:color w:val="000000"/>
        </w:rPr>
      </w:pPr>
      <w:r>
        <w:rPr>
          <w:rFonts w:hint="eastAsia"/>
          <w:b/>
          <w:sz w:val="32"/>
        </w:rPr>
        <w:t>英文论文题目：</w:t>
      </w:r>
      <w:r>
        <w:rPr>
          <w:rFonts w:hint="eastAsia"/>
          <w:b/>
          <w:sz w:val="32"/>
          <w:u w:val="single"/>
        </w:rPr>
        <w:t xml:space="preserve"> </w:t>
      </w:r>
      <w:r>
        <w:rPr>
          <w:rFonts w:hint="eastAsia"/>
          <w:b/>
          <w:sz w:val="36"/>
          <w:u w:val="single"/>
        </w:rPr>
        <w:t xml:space="preserve">            </w:t>
      </w:r>
      <w:r>
        <w:rPr>
          <w:rFonts w:hint="eastAsia"/>
          <w:color w:val="000000"/>
          <w:u w:val="single"/>
        </w:rPr>
        <w:t>（16</w:t>
      </w:r>
      <w:r>
        <w:rPr>
          <w:color w:val="000000"/>
          <w:u w:val="single"/>
        </w:rPr>
        <w:t xml:space="preserve">pt </w:t>
      </w:r>
      <w:r>
        <w:rPr>
          <w:rFonts w:hint="eastAsia"/>
          <w:color w:val="000000"/>
          <w:u w:val="single"/>
        </w:rPr>
        <w:t>T</w:t>
      </w:r>
      <w:r>
        <w:rPr>
          <w:color w:val="000000"/>
          <w:u w:val="single"/>
        </w:rPr>
        <w:t>ime New Roman</w:t>
      </w:r>
      <w:r>
        <w:rPr>
          <w:rFonts w:hint="eastAsia"/>
          <w:color w:val="000000"/>
          <w:u w:val="single"/>
        </w:rPr>
        <w:t>，</w:t>
      </w:r>
      <w:r>
        <w:rPr>
          <w:color w:val="000000"/>
          <w:u w:val="single"/>
        </w:rPr>
        <w:t>Bold</w:t>
      </w:r>
      <w:r>
        <w:rPr>
          <w:rFonts w:hint="eastAsia"/>
          <w:color w:val="000000"/>
          <w:u w:val="single"/>
        </w:rPr>
        <w:t>）</w:t>
      </w:r>
      <w:r>
        <w:rPr>
          <w:rFonts w:hint="eastAsia"/>
          <w:b/>
          <w:sz w:val="36"/>
          <w:u w:val="single"/>
        </w:rPr>
        <w:t xml:space="preserve">    </w:t>
      </w:r>
    </w:p>
    <w:p>
      <w:pPr>
        <w:ind w:firstLine="2702" w:firstLineChars="841"/>
        <w:rPr>
          <w:rFonts w:hint="eastAsia"/>
          <w:color w:val="000000"/>
        </w:rPr>
      </w:pPr>
      <w:r>
        <w:rPr>
          <w:rFonts w:hint="eastAsia"/>
          <w:b/>
          <w:sz w:val="32"/>
          <w:u w:val="single"/>
        </w:rPr>
        <w:t xml:space="preserve"> </w:t>
      </w:r>
      <w:r>
        <w:rPr>
          <w:rFonts w:hint="eastAsia"/>
          <w:b/>
          <w:sz w:val="36"/>
          <w:u w:val="single"/>
        </w:rPr>
        <w:t xml:space="preserve">            </w:t>
      </w:r>
      <w:r>
        <w:rPr>
          <w:rFonts w:hint="eastAsia"/>
          <w:color w:val="000000"/>
          <w:u w:val="single"/>
        </w:rPr>
        <w:t xml:space="preserve">                            </w:t>
      </w:r>
      <w:r>
        <w:rPr>
          <w:rFonts w:hint="eastAsia"/>
          <w:b/>
          <w:sz w:val="36"/>
          <w:u w:val="single"/>
        </w:rPr>
        <w:t xml:space="preserve">     </w:t>
      </w:r>
    </w:p>
    <w:p>
      <w:pPr>
        <w:jc w:val="center"/>
        <w:rPr>
          <w:rFonts w:hint="eastAsia"/>
          <w:color w:val="000000"/>
        </w:rPr>
      </w:pPr>
    </w:p>
    <w:p>
      <w:pPr>
        <w:spacing w:line="360" w:lineRule="auto"/>
        <w:ind w:left="839" w:firstLine="1141"/>
        <w:rPr>
          <w:rFonts w:hint="eastAsia"/>
          <w:color w:val="000000"/>
          <w:position w:val="-6"/>
          <w:sz w:val="28"/>
          <w:u w:val="single"/>
        </w:rPr>
      </w:pPr>
      <w:r>
        <w:rPr>
          <w:rFonts w:hint="eastAsia"/>
          <w:color w:val="000000"/>
          <w:kern w:val="0"/>
          <w:sz w:val="28"/>
        </w:rPr>
        <w:t>论文作者</w:t>
      </w:r>
      <w:r>
        <w:rPr>
          <w:rFonts w:hint="eastAsia"/>
          <w:color w:val="000000"/>
          <w:sz w:val="28"/>
        </w:rPr>
        <w:t>：</w:t>
      </w:r>
      <w:r>
        <w:rPr>
          <w:rFonts w:hint="eastAsia"/>
          <w:color w:val="000000"/>
          <w:position w:val="-6"/>
          <w:sz w:val="28"/>
          <w:u w:val="single"/>
        </w:rPr>
        <w:t xml:space="preserve">     （四号仿宋）    </w:t>
      </w:r>
    </w:p>
    <w:p>
      <w:pPr>
        <w:spacing w:line="360" w:lineRule="auto"/>
        <w:ind w:left="839" w:firstLine="1141"/>
        <w:rPr>
          <w:rFonts w:hint="eastAsia"/>
          <w:color w:val="000000"/>
          <w:position w:val="-6"/>
          <w:sz w:val="28"/>
          <w:u w:val="single"/>
        </w:rPr>
      </w:pPr>
      <w:r>
        <w:rPr>
          <w:rFonts w:hint="eastAsia"/>
          <w:color w:val="000000"/>
          <w:kern w:val="0"/>
          <w:sz w:val="28"/>
        </w:rPr>
        <w:t>指导教师</w:t>
      </w:r>
      <w:r>
        <w:rPr>
          <w:rFonts w:hint="eastAsia"/>
          <w:color w:val="000000"/>
          <w:sz w:val="28"/>
        </w:rPr>
        <w:t>：</w:t>
      </w:r>
      <w:r>
        <w:rPr>
          <w:rFonts w:hint="eastAsia"/>
          <w:color w:val="000000"/>
          <w:position w:val="-6"/>
          <w:sz w:val="28"/>
          <w:u w:val="single"/>
        </w:rPr>
        <w:t xml:space="preserve">                     </w:t>
      </w:r>
    </w:p>
    <w:p>
      <w:pPr>
        <w:spacing w:line="360" w:lineRule="auto"/>
        <w:ind w:left="839" w:firstLine="1141"/>
        <w:rPr>
          <w:rFonts w:hint="eastAsia"/>
          <w:color w:val="000000"/>
          <w:position w:val="-6"/>
          <w:sz w:val="28"/>
          <w:u w:val="single"/>
        </w:rPr>
      </w:pPr>
      <w:r>
        <w:rPr>
          <w:rFonts w:hint="eastAsia"/>
          <w:color w:val="000000"/>
          <w:kern w:val="0"/>
          <w:position w:val="-6"/>
          <w:sz w:val="28"/>
        </w:rPr>
        <w:t>专业名称</w:t>
      </w:r>
      <w:r>
        <w:rPr>
          <w:rFonts w:hint="eastAsia"/>
          <w:color w:val="000000"/>
          <w:position w:val="-6"/>
          <w:sz w:val="28"/>
        </w:rPr>
        <w:t>：</w:t>
      </w:r>
      <w:r>
        <w:rPr>
          <w:rFonts w:hint="eastAsia"/>
          <w:color w:val="000000"/>
          <w:position w:val="-6"/>
          <w:sz w:val="28"/>
          <w:u w:val="single"/>
        </w:rPr>
        <w:t xml:space="preserve">                     </w:t>
      </w:r>
    </w:p>
    <w:p>
      <w:pPr>
        <w:spacing w:line="360" w:lineRule="auto"/>
        <w:ind w:left="839" w:firstLine="1141"/>
        <w:rPr>
          <w:rFonts w:hint="eastAsia"/>
          <w:color w:val="000000"/>
          <w:kern w:val="0"/>
          <w:sz w:val="28"/>
        </w:rPr>
      </w:pPr>
      <w:r>
        <w:rPr>
          <w:rFonts w:hint="eastAsia"/>
          <w:color w:val="000000"/>
          <w:kern w:val="0"/>
          <w:sz w:val="28"/>
        </w:rPr>
        <w:t>研究方向：</w:t>
      </w:r>
      <w:r>
        <w:rPr>
          <w:rFonts w:hint="eastAsia"/>
          <w:color w:val="000000"/>
          <w:position w:val="-6"/>
          <w:sz w:val="28"/>
          <w:u w:val="single"/>
        </w:rPr>
        <w:t xml:space="preserve">                     </w:t>
      </w:r>
    </w:p>
    <w:p>
      <w:pPr>
        <w:spacing w:line="360" w:lineRule="auto"/>
        <w:ind w:left="839" w:firstLine="1141"/>
        <w:rPr>
          <w:rFonts w:hint="eastAsia"/>
          <w:color w:val="000000"/>
          <w:position w:val="-6"/>
          <w:sz w:val="28"/>
          <w:u w:val="single"/>
        </w:rPr>
      </w:pPr>
      <w:r>
        <w:rPr>
          <w:rFonts w:hint="eastAsia"/>
          <w:color w:val="000000"/>
          <w:kern w:val="0"/>
          <w:sz w:val="28"/>
        </w:rPr>
        <w:t>所在学院：</w:t>
      </w:r>
      <w:r>
        <w:rPr>
          <w:rFonts w:hint="eastAsia"/>
          <w:color w:val="000000"/>
          <w:position w:val="-6"/>
          <w:sz w:val="28"/>
          <w:u w:val="single"/>
        </w:rPr>
        <w:t xml:space="preserve">                     </w:t>
      </w:r>
    </w:p>
    <w:p>
      <w:pPr>
        <w:ind w:firstLine="1948" w:firstLineChars="696"/>
        <w:rPr>
          <w:rFonts w:hint="eastAsia"/>
          <w:sz w:val="30"/>
          <w:u w:val="single"/>
        </w:rPr>
      </w:pPr>
      <w:r>
        <w:rPr>
          <w:rFonts w:hint="eastAsia"/>
          <w:sz w:val="28"/>
          <w:szCs w:val="28"/>
        </w:rPr>
        <w:t>论文提交日期：</w:t>
      </w:r>
      <w:r>
        <w:rPr>
          <w:sz w:val="30"/>
          <w:u w:val="single"/>
        </w:rPr>
        <w:t xml:space="preserve">    </w:t>
      </w:r>
      <w:r>
        <w:rPr>
          <w:rFonts w:hint="eastAsia"/>
          <w:sz w:val="30"/>
          <w:u w:val="single"/>
        </w:rPr>
        <w:t xml:space="preserve"> </w:t>
      </w:r>
      <w:r>
        <w:rPr>
          <w:rFonts w:hint="eastAsia" w:ascii="仿宋_GB2312" w:eastAsia="仿宋_GB2312"/>
          <w:sz w:val="28"/>
          <w:szCs w:val="28"/>
          <w:u w:val="single"/>
        </w:rPr>
        <w:t>年   月   日</w:t>
      </w:r>
    </w:p>
    <w:p>
      <w:pPr>
        <w:adjustRightInd w:val="0"/>
        <w:snapToGrid w:val="0"/>
        <w:spacing w:line="360" w:lineRule="auto"/>
        <w:ind w:firstLine="1960" w:firstLineChars="700"/>
        <w:rPr>
          <w:rFonts w:hint="eastAsia" w:ascii="仿宋_GB2312" w:eastAsia="仿宋_GB2312"/>
          <w:sz w:val="28"/>
          <w:szCs w:val="28"/>
          <w:u w:val="single"/>
        </w:rPr>
      </w:pPr>
      <w:r>
        <w:rPr>
          <w:rFonts w:hint="eastAsia"/>
          <w:sz w:val="28"/>
          <w:szCs w:val="28"/>
        </w:rPr>
        <w:t>论文答辩日期：</w:t>
      </w:r>
      <w:r>
        <w:rPr>
          <w:rFonts w:hint="eastAsia"/>
          <w:sz w:val="30"/>
          <w:u w:val="single"/>
        </w:rPr>
        <w:t xml:space="preserve">    </w:t>
      </w:r>
      <w:r>
        <w:rPr>
          <w:sz w:val="30"/>
          <w:u w:val="single"/>
        </w:rPr>
        <w:t xml:space="preserve"> </w:t>
      </w:r>
      <w:r>
        <w:rPr>
          <w:rFonts w:hint="eastAsia" w:ascii="仿宋_GB2312" w:eastAsia="仿宋_GB2312"/>
          <w:sz w:val="28"/>
          <w:szCs w:val="28"/>
          <w:u w:val="single"/>
        </w:rPr>
        <w:t>年   月   日</w:t>
      </w:r>
    </w:p>
    <w:p>
      <w:pPr>
        <w:adjustRightInd w:val="0"/>
        <w:snapToGrid w:val="0"/>
        <w:spacing w:line="360" w:lineRule="auto"/>
        <w:ind w:firstLine="1960" w:firstLineChars="700"/>
        <w:rPr>
          <w:rFonts w:hint="eastAsia" w:ascii="仿宋_GB2312" w:eastAsia="仿宋_GB2312"/>
          <w:sz w:val="28"/>
          <w:szCs w:val="28"/>
          <w:u w:val="single"/>
        </w:rPr>
      </w:pPr>
    </w:p>
    <w:p>
      <w:pPr>
        <w:rPr>
          <w:rFonts w:hint="eastAsia" w:ascii="宋体" w:hAnsi="宋体"/>
          <w:szCs w:val="21"/>
          <w:u w:val="single"/>
        </w:rPr>
      </w:pPr>
      <w:r>
        <w:rPr>
          <w:rFonts w:hint="eastAsia" w:ascii="宋体" w:hAnsi="宋体"/>
          <w:szCs w:val="21"/>
        </w:rPr>
        <w:t>附件2：论文独创性及使用授权声明</w:t>
      </w:r>
    </w:p>
    <w:p>
      <w:pPr>
        <w:adjustRightInd w:val="0"/>
        <w:snapToGrid w:val="0"/>
        <w:spacing w:line="500" w:lineRule="exact"/>
        <w:rPr>
          <w:rFonts w:hint="eastAsia" w:ascii="宋体" w:hAnsi="宋体"/>
          <w:sz w:val="24"/>
        </w:rPr>
      </w:pPr>
    </w:p>
    <w:p>
      <w:pPr>
        <w:snapToGrid w:val="0"/>
        <w:jc w:val="center"/>
        <w:rPr>
          <w:rFonts w:hint="eastAsia" w:ascii="仿宋_GB2312" w:eastAsia="仿宋_GB2312"/>
          <w:sz w:val="30"/>
          <w:szCs w:val="30"/>
        </w:rPr>
      </w:pPr>
      <w:r>
        <w:rPr>
          <w:rFonts w:hint="eastAsia" w:ascii="仿宋_GB2312" w:eastAsia="仿宋_GB2312"/>
          <w:sz w:val="30"/>
          <w:szCs w:val="30"/>
        </w:rPr>
        <w:t>四川师范大学学位论文独创性声明</w:t>
      </w:r>
    </w:p>
    <w:p>
      <w:pPr>
        <w:jc w:val="center"/>
        <w:rPr>
          <w:rFonts w:hint="eastAsia"/>
          <w:szCs w:val="21"/>
        </w:rPr>
      </w:pPr>
      <w:r>
        <w:rPr>
          <w:rFonts w:hint="eastAsia"/>
          <w:szCs w:val="21"/>
        </w:rPr>
        <w:t xml:space="preserve">    </w:t>
      </w:r>
    </w:p>
    <w:p>
      <w:pPr>
        <w:spacing w:line="400" w:lineRule="exact"/>
        <w:ind w:firstLine="420" w:firstLineChars="200"/>
        <w:rPr>
          <w:rFonts w:hint="eastAsia"/>
          <w:sz w:val="24"/>
        </w:rPr>
      </w:pPr>
      <w:r>
        <w:rPr>
          <w:rFonts w:hint="eastAsia"/>
          <w:szCs w:val="21"/>
        </w:rPr>
        <w:t xml:space="preserve"> </w:t>
      </w:r>
      <w:r>
        <w:rPr>
          <w:rFonts w:hint="eastAsia"/>
          <w:sz w:val="24"/>
        </w:rPr>
        <w:t>本人声明：所呈交学位论文</w:t>
      </w:r>
      <w:r>
        <w:rPr>
          <w:rFonts w:hint="eastAsia"/>
          <w:sz w:val="24"/>
          <w:u w:val="single"/>
        </w:rPr>
        <w:t xml:space="preserve">                                       </w:t>
      </w:r>
      <w:r>
        <w:rPr>
          <w:rFonts w:hint="eastAsia"/>
          <w:sz w:val="24"/>
        </w:rPr>
        <w:t>，是本人在导师</w:t>
      </w:r>
      <w:r>
        <w:rPr>
          <w:rFonts w:hint="eastAsia"/>
          <w:sz w:val="24"/>
          <w:u w:val="single"/>
        </w:rPr>
        <w:t xml:space="preserve">       </w:t>
      </w:r>
      <w:r>
        <w:rPr>
          <w:rFonts w:hint="eastAsia"/>
          <w:sz w:val="24"/>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sz w:val="24"/>
        </w:rPr>
      </w:pPr>
      <w:r>
        <w:rPr>
          <w:rFonts w:hint="eastAsia"/>
          <w:sz w:val="24"/>
        </w:rPr>
        <w:t>本人承诺：已提交的学位论文电子版与论文纸本的内容一致。如因不符而引起的学术声誉上的损失由本人自负。</w:t>
      </w:r>
    </w:p>
    <w:p>
      <w:pPr>
        <w:spacing w:line="400" w:lineRule="exact"/>
        <w:ind w:firstLine="437"/>
        <w:rPr>
          <w:rFonts w:hint="eastAsia"/>
          <w:sz w:val="24"/>
        </w:rPr>
      </w:pPr>
    </w:p>
    <w:p>
      <w:pPr>
        <w:adjustRightInd w:val="0"/>
        <w:snapToGrid w:val="0"/>
        <w:ind w:firstLine="560" w:firstLineChars="200"/>
        <w:rPr>
          <w:rFonts w:hint="eastAsia" w:ascii="仿宋_GB2312" w:eastAsia="仿宋_GB2312"/>
          <w:sz w:val="28"/>
        </w:rPr>
      </w:pPr>
      <w:r>
        <w:rPr>
          <w:rFonts w:hint="eastAsia" w:ascii="仿宋_GB2312" w:eastAsia="仿宋_GB2312"/>
          <w:sz w:val="28"/>
        </w:rPr>
        <w:t>学位论文作者：               签字日期：      年    月    日</w:t>
      </w:r>
    </w:p>
    <w:p>
      <w:pPr>
        <w:adjustRightInd w:val="0"/>
        <w:snapToGrid w:val="0"/>
        <w:rPr>
          <w:rFonts w:hint="eastAsia" w:ascii="仿宋_GB2312" w:eastAsia="仿宋_GB2312"/>
          <w:sz w:val="28"/>
        </w:rPr>
      </w:pPr>
    </w:p>
    <w:p>
      <w:pPr>
        <w:snapToGrid w:val="0"/>
        <w:jc w:val="center"/>
        <w:rPr>
          <w:rFonts w:hint="eastAsia" w:ascii="仿宋_GB2312" w:eastAsia="仿宋_GB2312"/>
          <w:sz w:val="24"/>
        </w:rPr>
      </w:pPr>
    </w:p>
    <w:p>
      <w:pPr>
        <w:snapToGrid w:val="0"/>
        <w:jc w:val="center"/>
        <w:rPr>
          <w:rFonts w:hint="eastAsia" w:ascii="仿宋_GB2312" w:eastAsia="仿宋_GB2312"/>
          <w:sz w:val="24"/>
        </w:rPr>
      </w:pPr>
    </w:p>
    <w:p>
      <w:pPr>
        <w:snapToGrid w:val="0"/>
        <w:jc w:val="center"/>
        <w:rPr>
          <w:rFonts w:hint="eastAsia" w:ascii="仿宋_GB2312" w:eastAsia="仿宋_GB2312"/>
          <w:sz w:val="32"/>
          <w:szCs w:val="32"/>
        </w:rPr>
      </w:pPr>
      <w:r>
        <w:rPr>
          <w:rFonts w:hint="eastAsia" w:ascii="仿宋_GB2312" w:eastAsia="仿宋_GB2312"/>
          <w:sz w:val="32"/>
          <w:szCs w:val="32"/>
        </w:rPr>
        <w:t>四川师范大学学位论文版权使用授权书</w:t>
      </w:r>
    </w:p>
    <w:p>
      <w:pPr>
        <w:spacing w:line="400" w:lineRule="exact"/>
        <w:ind w:firstLine="437"/>
        <w:rPr>
          <w:rFonts w:hint="eastAsia"/>
          <w:sz w:val="24"/>
        </w:rPr>
      </w:pPr>
    </w:p>
    <w:p>
      <w:pPr>
        <w:spacing w:line="400" w:lineRule="exact"/>
        <w:ind w:firstLine="480" w:firstLineChars="200"/>
        <w:rPr>
          <w:rFonts w:hint="eastAsia" w:ascii="宋体" w:hAnsi="宋体"/>
          <w:sz w:val="24"/>
        </w:rPr>
      </w:pPr>
      <w:r>
        <w:rPr>
          <w:rFonts w:hint="eastAsia" w:ascii="宋体" w:hAnsi="宋体"/>
          <w:sz w:val="24"/>
        </w:rPr>
        <w:t>本人同意所撰写学位论文的使用授权遵照学校的管理规定：</w:t>
      </w:r>
    </w:p>
    <w:p>
      <w:pPr>
        <w:spacing w:line="400" w:lineRule="exact"/>
        <w:ind w:firstLine="480" w:firstLineChars="200"/>
        <w:rPr>
          <w:rFonts w:hint="eastAsia" w:ascii="宋体" w:hAnsi="宋体"/>
          <w:sz w:val="24"/>
        </w:rPr>
      </w:pPr>
      <w:r>
        <w:rPr>
          <w:rFonts w:hint="eastAsia" w:ascii="宋体" w:hAnsi="宋体"/>
          <w:sz w:val="24"/>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宋体" w:hAnsi="宋体"/>
          <w:sz w:val="24"/>
        </w:rPr>
      </w:pPr>
    </w:p>
    <w:p>
      <w:pPr>
        <w:snapToGrid w:val="0"/>
        <w:spacing w:line="400" w:lineRule="exact"/>
        <w:ind w:firstLine="480" w:firstLineChars="200"/>
        <w:rPr>
          <w:sz w:val="24"/>
        </w:rPr>
      </w:pPr>
      <w:r>
        <w:rPr>
          <w:rFonts w:hint="eastAsia"/>
          <w:sz w:val="24"/>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sz w:val="24"/>
        </w:rPr>
      </w:pPr>
      <w:r>
        <w:rPr>
          <w:rFonts w:hint="eastAsia"/>
          <w:sz w:val="24"/>
        </w:rPr>
        <w:t>（保密的学位论文在解密后适用本授权书）</w:t>
      </w:r>
    </w:p>
    <w:p>
      <w:pPr>
        <w:snapToGrid w:val="0"/>
        <w:spacing w:line="400" w:lineRule="exact"/>
        <w:ind w:left="480" w:firstLine="480" w:firstLineChars="200"/>
        <w:rPr>
          <w:rFonts w:hint="eastAsia"/>
          <w:sz w:val="24"/>
        </w:rPr>
      </w:pPr>
      <w:r>
        <w:rPr>
          <w:sz w:val="24"/>
        </w:rPr>
        <w:t> </w:t>
      </w:r>
    </w:p>
    <w:p>
      <w:pPr>
        <w:snapToGrid w:val="0"/>
        <w:spacing w:line="400" w:lineRule="exact"/>
        <w:ind w:firstLine="480" w:firstLineChars="200"/>
        <w:rPr>
          <w:sz w:val="24"/>
        </w:rPr>
      </w:pPr>
      <w:r>
        <w:rPr>
          <w:rFonts w:hint="eastAsia"/>
          <w:sz w:val="24"/>
        </w:rPr>
        <w:t>学位论文作者签名：</w:t>
      </w:r>
      <w:r>
        <w:rPr>
          <w:sz w:val="24"/>
        </w:rPr>
        <w:t xml:space="preserve">                      </w:t>
      </w:r>
      <w:r>
        <w:rPr>
          <w:rFonts w:hint="eastAsia"/>
          <w:sz w:val="24"/>
        </w:rPr>
        <w:t xml:space="preserve">        导师签名：</w:t>
      </w:r>
    </w:p>
    <w:p>
      <w:pPr>
        <w:snapToGrid w:val="0"/>
        <w:spacing w:line="400" w:lineRule="exact"/>
        <w:ind w:firstLine="480" w:firstLineChars="200"/>
        <w:rPr>
          <w:sz w:val="24"/>
        </w:rPr>
      </w:pPr>
      <w:r>
        <w:rPr>
          <w:sz w:val="24"/>
        </w:rPr>
        <w:t> </w:t>
      </w:r>
    </w:p>
    <w:p>
      <w:pPr>
        <w:snapToGrid w:val="0"/>
        <w:spacing w:line="400" w:lineRule="exact"/>
        <w:ind w:firstLine="480" w:firstLineChars="200"/>
        <w:rPr>
          <w:sz w:val="24"/>
        </w:rPr>
      </w:pPr>
      <w:r>
        <w:rPr>
          <w:rFonts w:hint="eastAsia"/>
          <w:sz w:val="24"/>
        </w:rPr>
        <w:t>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r>
        <w:rPr>
          <w:sz w:val="24"/>
        </w:rPr>
        <w:t xml:space="preserve">          </w:t>
      </w:r>
      <w:r>
        <w:rPr>
          <w:rFonts w:hint="eastAsia"/>
          <w:sz w:val="24"/>
        </w:rPr>
        <w:t xml:space="preserve">          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pPr>
        <w:ind w:firstLine="560" w:firstLineChars="200"/>
        <w:rPr>
          <w:rFonts w:hint="eastAsia"/>
          <w:sz w:val="28"/>
          <w:szCs w:val="28"/>
          <w:u w:val="single"/>
        </w:rPr>
      </w:pPr>
    </w:p>
    <w:p>
      <w:pPr>
        <w:ind w:firstLine="1948" w:firstLineChars="696"/>
        <w:rPr>
          <w:rFonts w:hint="eastAsia"/>
          <w:sz w:val="28"/>
          <w:szCs w:val="28"/>
          <w:u w:val="single"/>
        </w:rPr>
      </w:pPr>
    </w:p>
    <w:p>
      <w:pPr>
        <w:ind w:firstLine="1948" w:firstLineChars="696"/>
        <w:rPr>
          <w:rFonts w:hint="eastAsia"/>
          <w:sz w:val="28"/>
          <w:szCs w:val="28"/>
          <w:u w:val="single"/>
        </w:rPr>
      </w:pPr>
    </w:p>
    <w:p>
      <w:pPr>
        <w:spacing w:line="400" w:lineRule="exact"/>
        <w:rPr>
          <w:rFonts w:hint="eastAsia"/>
        </w:rPr>
      </w:pPr>
      <w:r>
        <w:rPr>
          <w:rFonts w:hint="eastAsia"/>
        </w:rPr>
        <w:t>附件3：论文摘要格式</w:t>
      </w:r>
    </w:p>
    <w:p>
      <w:pPr>
        <w:spacing w:line="400" w:lineRule="exact"/>
        <w:jc w:val="center"/>
        <w:rPr>
          <w:rFonts w:hint="eastAsia"/>
          <w:sz w:val="36"/>
        </w:rPr>
      </w:pPr>
    </w:p>
    <w:p>
      <w:pPr>
        <w:spacing w:line="400" w:lineRule="exact"/>
        <w:jc w:val="center"/>
        <w:rPr>
          <w:rFonts w:hint="eastAsia"/>
          <w:sz w:val="36"/>
        </w:rPr>
      </w:pPr>
    </w:p>
    <w:p>
      <w:pPr>
        <w:spacing w:line="400" w:lineRule="exact"/>
        <w:jc w:val="center"/>
        <w:rPr>
          <w:rFonts w:hint="eastAsia"/>
          <w:sz w:val="36"/>
        </w:rPr>
      </w:pPr>
      <w:r>
        <w:rPr>
          <w:rFonts w:hint="eastAsia"/>
          <w:sz w:val="36"/>
        </w:rPr>
        <w:t>高中语文古诗词鉴赏教学研究</w:t>
      </w:r>
    </w:p>
    <w:p>
      <w:pPr>
        <w:spacing w:line="400" w:lineRule="exact"/>
        <w:jc w:val="center"/>
        <w:rPr>
          <w:rFonts w:hint="eastAsia" w:eastAsia="黑体"/>
          <w:sz w:val="24"/>
        </w:rPr>
      </w:pPr>
    </w:p>
    <w:p>
      <w:pPr>
        <w:spacing w:line="400" w:lineRule="exact"/>
        <w:jc w:val="center"/>
        <w:rPr>
          <w:rFonts w:hint="eastAsia" w:eastAsia="黑体"/>
          <w:sz w:val="24"/>
        </w:rPr>
      </w:pPr>
      <w:r>
        <w:rPr>
          <w:rFonts w:hint="eastAsia" w:eastAsia="黑体"/>
          <w:sz w:val="24"/>
        </w:rPr>
        <w:t xml:space="preserve">  □□□□□□专业</w:t>
      </w:r>
    </w:p>
    <w:p>
      <w:pPr>
        <w:spacing w:line="400" w:lineRule="exact"/>
        <w:jc w:val="center"/>
        <w:rPr>
          <w:rFonts w:hint="eastAsia" w:eastAsia="黑体"/>
          <w:sz w:val="24"/>
        </w:rPr>
      </w:pPr>
    </w:p>
    <w:p>
      <w:pPr>
        <w:spacing w:line="400" w:lineRule="exact"/>
        <w:jc w:val="center"/>
        <w:rPr>
          <w:rFonts w:hint="eastAsia"/>
          <w:sz w:val="24"/>
        </w:rPr>
      </w:pPr>
      <w:r>
        <w:rPr>
          <w:rFonts w:hint="eastAsia" w:eastAsia="黑体"/>
          <w:sz w:val="24"/>
        </w:rPr>
        <w:t>研究生 □□□□  指导教师 □□□□</w:t>
      </w:r>
    </w:p>
    <w:p>
      <w:pPr>
        <w:spacing w:line="400" w:lineRule="exact"/>
        <w:jc w:val="center"/>
        <w:rPr>
          <w:rFonts w:hint="eastAsia"/>
          <w:sz w:val="24"/>
        </w:rPr>
      </w:pPr>
    </w:p>
    <w:p>
      <w:pPr>
        <w:spacing w:line="400" w:lineRule="exact"/>
        <w:jc w:val="center"/>
        <w:rPr>
          <w:rFonts w:hint="eastAsia"/>
          <w:sz w:val="24"/>
        </w:rPr>
      </w:pPr>
    </w:p>
    <w:p>
      <w:pPr>
        <w:spacing w:line="400" w:lineRule="exact"/>
        <w:ind w:firstLine="435"/>
        <w:rPr>
          <w:rFonts w:hint="eastAsia"/>
          <w:sz w:val="24"/>
        </w:rPr>
      </w:pPr>
      <w:r>
        <w:rPr>
          <w:rFonts w:hint="eastAsia" w:ascii="黑体" w:eastAsia="黑体"/>
          <w:b/>
          <w:sz w:val="24"/>
        </w:rPr>
        <w:t xml:space="preserve">摘要  </w:t>
      </w:r>
      <w:r>
        <w:rPr>
          <w:rFonts w:hint="eastAsia"/>
          <w:sz w:val="24"/>
        </w:rPr>
        <w:t>古诗词是中华民族文化中的精华。古诗词鉴赏教学可以激发学生的情感，提高学生的审美情趣、陶冶学生的情操，使学生受到传统文化、人文精神、道德修养、文化品味的熏陶和感染，这对于继承民族文化传统，弘扬民族精神、实现语文的美育功能都具有非常重要的意义。</w:t>
      </w:r>
    </w:p>
    <w:p>
      <w:pPr>
        <w:spacing w:line="400" w:lineRule="exact"/>
        <w:ind w:firstLine="435"/>
        <w:rPr>
          <w:rFonts w:hint="eastAsia"/>
          <w:sz w:val="24"/>
        </w:rPr>
      </w:pPr>
      <w:r>
        <w:rPr>
          <w:rFonts w:hint="eastAsia"/>
          <w:sz w:val="24"/>
        </w:rPr>
        <w:t>本文分四章来论述高中语文古诗词鉴赏教学，……</w:t>
      </w:r>
    </w:p>
    <w:p>
      <w:pPr>
        <w:spacing w:line="400" w:lineRule="exact"/>
        <w:ind w:firstLine="435"/>
        <w:rPr>
          <w:rFonts w:hint="eastAsia" w:ascii="宋体" w:hAnsi="宋体"/>
          <w:sz w:val="24"/>
        </w:rPr>
      </w:pPr>
      <w:r>
        <w:rPr>
          <w:rFonts w:hint="eastAsia" w:ascii="宋体" w:hAnsi="宋体"/>
          <w:sz w:val="24"/>
        </w:rPr>
        <w:t>本文将从知人论世策略；比较策略；整体感知策略；张扬主体、多元解读策略；营造情景策略五个方面对高中语文古诗词鉴赏教学作探讨。</w:t>
      </w:r>
    </w:p>
    <w:p>
      <w:pPr>
        <w:spacing w:line="400" w:lineRule="exact"/>
        <w:ind w:firstLine="435"/>
        <w:rPr>
          <w:rFonts w:hint="eastAsia"/>
          <w:sz w:val="24"/>
        </w:rPr>
      </w:pPr>
      <w:r>
        <w:rPr>
          <w:rFonts w:hint="eastAsia" w:eastAsia="黑体"/>
          <w:sz w:val="24"/>
        </w:rPr>
        <w:t>关键词：</w:t>
      </w:r>
      <w:r>
        <w:rPr>
          <w:rFonts w:hint="eastAsia"/>
          <w:sz w:val="24"/>
        </w:rPr>
        <w:t>高中语文  古典诗词  鉴赏教学</w:t>
      </w: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rPr>
      </w:pPr>
      <w:r>
        <w:rPr>
          <w:rFonts w:hint="eastAsia"/>
        </w:rPr>
        <w:t>附件4：目次页格式</w:t>
      </w:r>
    </w:p>
    <w:p>
      <w:pPr>
        <w:snapToGrid w:val="0"/>
        <w:spacing w:line="400" w:lineRule="exact"/>
        <w:rPr>
          <w:rFonts w:hint="eastAsia"/>
          <w:sz w:val="24"/>
        </w:rPr>
      </w:pPr>
      <w:r>
        <w:rPr>
          <w:sz w:val="24"/>
        </w:rPr>
        <w:t> </w:t>
      </w:r>
    </w:p>
    <w:p>
      <w:pPr>
        <w:snapToGrid w:val="0"/>
        <w:spacing w:line="400" w:lineRule="exact"/>
        <w:jc w:val="center"/>
        <w:rPr>
          <w:rFonts w:hint="eastAsia" w:ascii="仿宋_GB2312" w:eastAsia="仿宋_GB2312"/>
          <w:sz w:val="32"/>
          <w:szCs w:val="32"/>
        </w:rPr>
      </w:pPr>
    </w:p>
    <w:p>
      <w:pPr>
        <w:snapToGrid w:val="0"/>
        <w:spacing w:line="400" w:lineRule="exact"/>
        <w:jc w:val="center"/>
        <w:rPr>
          <w:rFonts w:hint="eastAsia" w:ascii="仿宋_GB2312" w:eastAsia="仿宋_GB2312"/>
          <w:b/>
          <w:sz w:val="32"/>
          <w:szCs w:val="32"/>
        </w:rPr>
      </w:pPr>
      <w:r>
        <w:rPr>
          <w:rFonts w:hint="eastAsia" w:ascii="仿宋_GB2312" w:eastAsia="仿宋_GB2312"/>
          <w:b/>
          <w:sz w:val="32"/>
          <w:szCs w:val="32"/>
        </w:rPr>
        <w:t>目  次</w:t>
      </w:r>
    </w:p>
    <w:p>
      <w:pPr>
        <w:rPr>
          <w:rFonts w:hint="eastAsia" w:ascii="仿宋_GB2312" w:eastAsia="仿宋_GB2312"/>
          <w:szCs w:val="21"/>
        </w:rPr>
      </w:pPr>
      <w:bookmarkStart w:id="0" w:name="_Hlt34104666"/>
      <w:bookmarkStart w:id="1" w:name="_Hlt34104667"/>
    </w:p>
    <w:p>
      <w:pPr>
        <w:rPr>
          <w:rFonts w:hint="eastAsia" w:ascii="仿宋_GB2312" w:eastAsia="仿宋_GB2312"/>
          <w:szCs w:val="21"/>
        </w:rPr>
      </w:pPr>
    </w:p>
    <w:p>
      <w:pPr>
        <w:pStyle w:val="3"/>
        <w:tabs>
          <w:tab w:val="right" w:leader="dot" w:pos="9345"/>
        </w:tabs>
        <w:spacing w:line="360" w:lineRule="auto"/>
        <w:rPr>
          <w:rFonts w:hint="eastAsia" w:ascii="仿宋_GB2312" w:eastAsia="仿宋_GB2312"/>
          <w:sz w:val="24"/>
          <w:szCs w:val="24"/>
        </w:rPr>
      </w:pPr>
      <w:r>
        <w:rPr>
          <w:rFonts w:hint="eastAsia" w:hAnsi="宋体"/>
          <w:sz w:val="24"/>
          <w:szCs w:val="24"/>
        </w:rPr>
        <w:t>摘要</w:t>
      </w:r>
      <w:r>
        <w:rPr>
          <w:rFonts w:hint="eastAsia"/>
          <w:color w:val="000000"/>
          <w:spacing w:val="20"/>
          <w:sz w:val="24"/>
        </w:rPr>
        <w:t>（小</w:t>
      </w:r>
      <w:r>
        <w:rPr>
          <w:color w:val="000000"/>
          <w:spacing w:val="20"/>
          <w:sz w:val="24"/>
        </w:rPr>
        <w:t>4</w:t>
      </w:r>
      <w:r>
        <w:rPr>
          <w:rFonts w:hint="eastAsia"/>
          <w:color w:val="000000"/>
          <w:spacing w:val="20"/>
          <w:sz w:val="24"/>
        </w:rPr>
        <w:t>号宋体）</w:t>
      </w:r>
      <w:r>
        <w:rPr>
          <w:rFonts w:hint="eastAsia" w:ascii="仿宋_GB2312" w:eastAsia="仿宋_GB2312"/>
          <w:sz w:val="24"/>
          <w:szCs w:val="24"/>
        </w:rPr>
        <w:tab/>
      </w:r>
      <w:r>
        <w:rPr>
          <w:rFonts w:hint="eastAsia" w:ascii="仿宋_GB2312" w:eastAsia="仿宋_GB2312"/>
          <w:sz w:val="24"/>
          <w:szCs w:val="24"/>
        </w:rPr>
        <w:fldChar w:fldCharType="begin"/>
      </w:r>
      <w:r>
        <w:rPr>
          <w:rFonts w:hint="eastAsia" w:ascii="仿宋_GB2312" w:eastAsia="仿宋_GB2312"/>
          <w:sz w:val="24"/>
          <w:szCs w:val="24"/>
        </w:rPr>
        <w:instrText xml:space="preserve"> = 1 \* ROMAN </w:instrText>
      </w:r>
      <w:r>
        <w:rPr>
          <w:rFonts w:hint="eastAsia" w:ascii="仿宋_GB2312" w:eastAsia="仿宋_GB2312"/>
          <w:sz w:val="24"/>
          <w:szCs w:val="24"/>
        </w:rPr>
        <w:fldChar w:fldCharType="separate"/>
      </w:r>
      <w:r>
        <w:rPr>
          <w:rFonts w:hint="eastAsia" w:ascii="仿宋_GB2312" w:eastAsia="仿宋_GB2312"/>
          <w:sz w:val="24"/>
          <w:szCs w:val="24"/>
        </w:rPr>
        <w:t>I</w:t>
      </w:r>
      <w:r>
        <w:rPr>
          <w:rFonts w:hint="eastAsia" w:ascii="仿宋_GB2312" w:eastAsia="仿宋_GB2312"/>
          <w:sz w:val="24"/>
          <w:szCs w:val="24"/>
        </w:rPr>
        <w:fldChar w:fldCharType="end"/>
      </w:r>
    </w:p>
    <w:p>
      <w:pPr>
        <w:pStyle w:val="3"/>
        <w:tabs>
          <w:tab w:val="right" w:leader="dot" w:pos="9345"/>
        </w:tabs>
        <w:spacing w:line="360" w:lineRule="auto"/>
        <w:rPr>
          <w:rFonts w:hint="eastAsia" w:ascii="仿宋_GB2312" w:hAnsi="宋体" w:eastAsia="仿宋_GB2312"/>
          <w:sz w:val="24"/>
          <w:szCs w:val="24"/>
        </w:rPr>
      </w:pPr>
      <w:r>
        <w:rPr>
          <w:color w:val="000000"/>
          <w:spacing w:val="20"/>
          <w:sz w:val="24"/>
        </w:rPr>
        <w:t>ABSTRACT</w:t>
      </w:r>
      <w:r>
        <w:rPr>
          <w:rFonts w:hint="eastAsia" w:ascii="仿宋_GB2312" w:eastAsia="仿宋_GB2312"/>
          <w:sz w:val="24"/>
          <w:szCs w:val="24"/>
        </w:rPr>
        <w:tab/>
      </w:r>
      <w:r>
        <w:rPr>
          <w:rFonts w:hint="eastAsia" w:ascii="仿宋_GB2312" w:eastAsia="仿宋_GB2312"/>
          <w:sz w:val="24"/>
          <w:szCs w:val="24"/>
        </w:rPr>
        <w:fldChar w:fldCharType="begin"/>
      </w:r>
      <w:r>
        <w:rPr>
          <w:rFonts w:hint="eastAsia" w:ascii="仿宋_GB2312" w:eastAsia="仿宋_GB2312"/>
          <w:sz w:val="24"/>
          <w:szCs w:val="24"/>
        </w:rPr>
        <w:instrText xml:space="preserve"> = 2 \* ROMAN </w:instrText>
      </w:r>
      <w:r>
        <w:rPr>
          <w:rFonts w:hint="eastAsia" w:ascii="仿宋_GB2312" w:eastAsia="仿宋_GB2312"/>
          <w:sz w:val="24"/>
          <w:szCs w:val="24"/>
        </w:rPr>
        <w:fldChar w:fldCharType="separate"/>
      </w:r>
      <w:r>
        <w:rPr>
          <w:rFonts w:hint="eastAsia" w:ascii="仿宋_GB2312" w:eastAsia="仿宋_GB2312"/>
          <w:sz w:val="24"/>
          <w:szCs w:val="24"/>
        </w:rPr>
        <w:t>II</w:t>
      </w:r>
      <w:r>
        <w:rPr>
          <w:rFonts w:hint="eastAsia" w:ascii="仿宋_GB2312" w:eastAsia="仿宋_GB2312"/>
          <w:sz w:val="24"/>
          <w:szCs w:val="24"/>
        </w:rPr>
        <w:fldChar w:fldCharType="end"/>
      </w:r>
    </w:p>
    <w:bookmarkEnd w:id="0"/>
    <w:bookmarkEnd w:id="1"/>
    <w:p>
      <w:pPr>
        <w:pStyle w:val="3"/>
        <w:tabs>
          <w:tab w:val="right" w:leader="dot" w:pos="9345"/>
        </w:tabs>
        <w:spacing w:line="360" w:lineRule="auto"/>
        <w:rPr>
          <w:rFonts w:hint="eastAsia" w:ascii="仿宋_GB2312" w:hAnsi="宋体" w:eastAsia="仿宋_GB2312"/>
          <w:sz w:val="24"/>
          <w:szCs w:val="24"/>
        </w:rPr>
      </w:pPr>
      <w:r>
        <w:rPr>
          <w:rFonts w:hint="eastAsia" w:hAnsi="宋体"/>
          <w:sz w:val="24"/>
          <w:szCs w:val="24"/>
        </w:rPr>
        <w:t>插图和附表清单</w:t>
      </w:r>
      <w:r>
        <w:rPr>
          <w:rFonts w:hint="eastAsia" w:ascii="仿宋_GB2312" w:eastAsia="仿宋_GB2312"/>
          <w:sz w:val="24"/>
          <w:szCs w:val="24"/>
        </w:rPr>
        <w:tab/>
      </w:r>
      <w:r>
        <w:rPr>
          <w:rFonts w:hint="eastAsia" w:ascii="仿宋_GB2312" w:hAnsi="宋体" w:eastAsia="仿宋_GB2312" w:cs="宋体"/>
          <w:sz w:val="24"/>
          <w:szCs w:val="24"/>
        </w:rPr>
        <w:t>Ⅲ</w:t>
      </w:r>
    </w:p>
    <w:p>
      <w:pPr>
        <w:pStyle w:val="3"/>
        <w:tabs>
          <w:tab w:val="right" w:leader="dot" w:pos="9345"/>
        </w:tabs>
        <w:spacing w:line="360" w:lineRule="auto"/>
        <w:rPr>
          <w:rFonts w:hint="eastAsia" w:hAnsi="宋体"/>
          <w:sz w:val="24"/>
          <w:szCs w:val="24"/>
        </w:rPr>
      </w:pPr>
      <w:r>
        <w:rPr>
          <w:rFonts w:hint="eastAsia" w:hAnsi="宋体"/>
          <w:sz w:val="24"/>
          <w:szCs w:val="24"/>
        </w:rPr>
        <w:t>目次</w:t>
      </w:r>
    </w:p>
    <w:p>
      <w:pPr>
        <w:pStyle w:val="3"/>
        <w:tabs>
          <w:tab w:val="right" w:leader="dot" w:pos="9345"/>
        </w:tabs>
        <w:spacing w:line="360" w:lineRule="auto"/>
        <w:rPr>
          <w:rFonts w:hint="eastAsia" w:hAnsi="宋体"/>
          <w:sz w:val="24"/>
          <w:szCs w:val="24"/>
        </w:rPr>
      </w:pPr>
      <w:r>
        <w:rPr>
          <w:rFonts w:hint="eastAsia" w:hAnsi="宋体"/>
          <w:sz w:val="24"/>
          <w:szCs w:val="24"/>
        </w:rPr>
        <w:t>1 （第1章）引言（绪论）</w:t>
      </w:r>
      <w:r>
        <w:rPr>
          <w:rFonts w:hint="eastAsia" w:hAnsi="宋体"/>
          <w:sz w:val="24"/>
          <w:szCs w:val="24"/>
        </w:rPr>
        <w:tab/>
      </w:r>
      <w:r>
        <w:rPr>
          <w:rFonts w:hint="eastAsia" w:hAnsi="宋体"/>
          <w:sz w:val="24"/>
          <w:szCs w:val="24"/>
        </w:rPr>
        <w:t>1</w:t>
      </w:r>
    </w:p>
    <w:p>
      <w:pPr>
        <w:pStyle w:val="3"/>
        <w:tabs>
          <w:tab w:val="right" w:leader="dot" w:pos="9345"/>
        </w:tabs>
        <w:spacing w:line="360" w:lineRule="auto"/>
        <w:rPr>
          <w:rFonts w:hint="eastAsia" w:hAnsi="宋体"/>
          <w:sz w:val="24"/>
          <w:szCs w:val="24"/>
        </w:rPr>
      </w:pPr>
      <w:r>
        <w:rPr>
          <w:rFonts w:hint="eastAsia" w:hAnsi="宋体"/>
          <w:sz w:val="24"/>
          <w:szCs w:val="24"/>
        </w:rPr>
        <w:t>1.1（第1章第1节）题名</w:t>
      </w:r>
      <w:r>
        <w:rPr>
          <w:rFonts w:hint="eastAsia" w:hAnsi="宋体"/>
          <w:sz w:val="24"/>
          <w:szCs w:val="24"/>
        </w:rPr>
        <w:tab/>
      </w:r>
      <w:r>
        <w:rPr>
          <w:rFonts w:hint="eastAsia" w:hAnsi="宋体"/>
          <w:sz w:val="24"/>
          <w:szCs w:val="24"/>
        </w:rPr>
        <w:t>3</w:t>
      </w:r>
    </w:p>
    <w:p>
      <w:pPr>
        <w:pStyle w:val="3"/>
        <w:tabs>
          <w:tab w:val="right" w:leader="dot" w:pos="9345"/>
        </w:tabs>
        <w:spacing w:line="360" w:lineRule="auto"/>
        <w:rPr>
          <w:rFonts w:hint="eastAsia" w:hAnsi="宋体"/>
          <w:sz w:val="24"/>
          <w:szCs w:val="24"/>
        </w:rPr>
      </w:pPr>
      <w:r>
        <w:rPr>
          <w:rFonts w:hint="eastAsia" w:hAnsi="宋体"/>
          <w:sz w:val="24"/>
          <w:szCs w:val="24"/>
        </w:rPr>
        <w:t>2 （第2章）题名</w:t>
      </w:r>
      <w:r>
        <w:rPr>
          <w:rFonts w:hint="eastAsia" w:hAnsi="宋体"/>
          <w:sz w:val="24"/>
          <w:szCs w:val="24"/>
        </w:rPr>
        <w:tab/>
      </w:r>
      <w:r>
        <w:rPr>
          <w:rFonts w:hint="eastAsia" w:hAnsi="宋体"/>
          <w:sz w:val="24"/>
          <w:szCs w:val="24"/>
        </w:rPr>
        <w:t>5</w:t>
      </w:r>
    </w:p>
    <w:p>
      <w:pPr>
        <w:pStyle w:val="3"/>
        <w:tabs>
          <w:tab w:val="right" w:leader="dot" w:pos="9345"/>
        </w:tabs>
        <w:spacing w:line="360" w:lineRule="auto"/>
        <w:rPr>
          <w:rFonts w:hint="eastAsia" w:hAnsi="宋体"/>
          <w:sz w:val="24"/>
          <w:szCs w:val="24"/>
        </w:rPr>
      </w:pPr>
      <w:r>
        <w:rPr>
          <w:rFonts w:hint="eastAsia" w:hAnsi="宋体"/>
          <w:sz w:val="24"/>
          <w:szCs w:val="24"/>
        </w:rPr>
        <w:t>2.1（第2章第1节）题名</w:t>
      </w:r>
      <w:r>
        <w:rPr>
          <w:rFonts w:hint="eastAsia" w:hAnsi="宋体"/>
          <w:sz w:val="24"/>
          <w:szCs w:val="24"/>
        </w:rPr>
        <w:tab/>
      </w:r>
      <w:r>
        <w:rPr>
          <w:rFonts w:hint="eastAsia" w:hAnsi="宋体"/>
          <w:sz w:val="24"/>
          <w:szCs w:val="24"/>
        </w:rPr>
        <w:t>7</w:t>
      </w:r>
    </w:p>
    <w:p>
      <w:pPr>
        <w:pStyle w:val="3"/>
        <w:tabs>
          <w:tab w:val="right" w:leader="dot" w:pos="9345"/>
        </w:tabs>
        <w:spacing w:line="360" w:lineRule="auto"/>
        <w:rPr>
          <w:rFonts w:hint="eastAsia" w:hAnsi="宋体"/>
          <w:sz w:val="24"/>
          <w:szCs w:val="24"/>
        </w:rPr>
      </w:pPr>
      <w:r>
        <w:rPr>
          <w:rFonts w:hint="eastAsia" w:hAnsi="宋体"/>
          <w:sz w:val="24"/>
          <w:szCs w:val="24"/>
        </w:rPr>
        <w:t>2.2（第2章第2节）题名</w:t>
      </w:r>
      <w:r>
        <w:rPr>
          <w:rFonts w:hint="eastAsia" w:hAnsi="宋体"/>
          <w:sz w:val="24"/>
          <w:szCs w:val="24"/>
        </w:rPr>
        <w:tab/>
      </w:r>
      <w:r>
        <w:rPr>
          <w:rFonts w:hint="eastAsia" w:hAnsi="宋体"/>
          <w:sz w:val="24"/>
          <w:szCs w:val="24"/>
        </w:rPr>
        <w:t>10</w:t>
      </w:r>
    </w:p>
    <w:p>
      <w:pPr>
        <w:pStyle w:val="3"/>
        <w:tabs>
          <w:tab w:val="right" w:leader="dot" w:pos="9345"/>
        </w:tabs>
        <w:spacing w:line="360" w:lineRule="auto"/>
        <w:rPr>
          <w:rFonts w:hint="eastAsia" w:hAnsi="宋体"/>
          <w:sz w:val="24"/>
          <w:szCs w:val="24"/>
        </w:rPr>
      </w:pPr>
      <w:r>
        <w:rPr>
          <w:rFonts w:hint="eastAsia" w:hAnsi="宋体"/>
          <w:sz w:val="24"/>
          <w:szCs w:val="24"/>
        </w:rPr>
        <w:t>…………</w:t>
      </w:r>
    </w:p>
    <w:p>
      <w:pPr>
        <w:pStyle w:val="3"/>
        <w:tabs>
          <w:tab w:val="right" w:leader="dot" w:pos="9345"/>
        </w:tabs>
        <w:spacing w:line="360" w:lineRule="auto"/>
        <w:rPr>
          <w:rFonts w:hint="eastAsia" w:hAnsi="宋体"/>
          <w:sz w:val="24"/>
          <w:szCs w:val="24"/>
        </w:rPr>
      </w:pPr>
      <w:r>
        <w:rPr>
          <w:rFonts w:hint="eastAsia" w:hAnsi="宋体"/>
          <w:sz w:val="24"/>
          <w:szCs w:val="24"/>
        </w:rPr>
        <w:t>5 （第5章）结论</w:t>
      </w:r>
      <w:r>
        <w:rPr>
          <w:rFonts w:hint="eastAsia" w:hAnsi="宋体"/>
          <w:sz w:val="24"/>
          <w:szCs w:val="24"/>
        </w:rPr>
        <w:tab/>
      </w:r>
      <w:r>
        <w:rPr>
          <w:rFonts w:hint="eastAsia" w:hAnsi="宋体"/>
          <w:sz w:val="24"/>
          <w:szCs w:val="24"/>
        </w:rPr>
        <w:t>71</w:t>
      </w:r>
    </w:p>
    <w:p>
      <w:pPr>
        <w:pStyle w:val="3"/>
        <w:tabs>
          <w:tab w:val="right" w:leader="dot" w:pos="9345"/>
        </w:tabs>
        <w:spacing w:line="360" w:lineRule="auto"/>
        <w:rPr>
          <w:rFonts w:hint="eastAsia" w:hAnsi="宋体"/>
          <w:sz w:val="24"/>
          <w:szCs w:val="24"/>
        </w:rPr>
      </w:pPr>
      <w:r>
        <w:rPr>
          <w:rFonts w:hint="eastAsia" w:hAnsi="宋体"/>
          <w:sz w:val="24"/>
          <w:szCs w:val="24"/>
        </w:rPr>
        <w:t>参考文献</w:t>
      </w:r>
      <w:r>
        <w:rPr>
          <w:rFonts w:hint="eastAsia" w:hAnsi="宋体"/>
          <w:sz w:val="24"/>
          <w:szCs w:val="24"/>
        </w:rPr>
        <w:tab/>
      </w:r>
      <w:r>
        <w:rPr>
          <w:rFonts w:hint="eastAsia" w:hAnsi="宋体"/>
          <w:sz w:val="24"/>
          <w:szCs w:val="24"/>
        </w:rPr>
        <w:t>93</w:t>
      </w:r>
    </w:p>
    <w:p>
      <w:pPr>
        <w:pStyle w:val="3"/>
        <w:tabs>
          <w:tab w:val="right" w:leader="dot" w:pos="9345"/>
        </w:tabs>
        <w:spacing w:line="360" w:lineRule="auto"/>
        <w:rPr>
          <w:rFonts w:hint="eastAsia" w:hAnsi="宋体"/>
          <w:sz w:val="24"/>
          <w:szCs w:val="24"/>
        </w:rPr>
      </w:pPr>
      <w:r>
        <w:rPr>
          <w:rFonts w:hint="eastAsia" w:hAnsi="宋体"/>
          <w:sz w:val="24"/>
          <w:szCs w:val="24"/>
        </w:rPr>
        <w:t>附录</w:t>
      </w:r>
      <w:r>
        <w:rPr>
          <w:rFonts w:hint="eastAsia" w:hAnsi="宋体"/>
          <w:sz w:val="24"/>
          <w:szCs w:val="24"/>
        </w:rPr>
        <w:tab/>
      </w:r>
      <w:r>
        <w:rPr>
          <w:rFonts w:hint="eastAsia" w:hAnsi="宋体"/>
          <w:sz w:val="24"/>
          <w:szCs w:val="24"/>
        </w:rPr>
        <w:t>96</w:t>
      </w:r>
    </w:p>
    <w:p>
      <w:pPr>
        <w:pStyle w:val="3"/>
        <w:tabs>
          <w:tab w:val="right" w:leader="dot" w:pos="9345"/>
        </w:tabs>
        <w:spacing w:line="360" w:lineRule="auto"/>
        <w:rPr>
          <w:rFonts w:hint="eastAsia" w:hAnsi="宋体"/>
          <w:sz w:val="24"/>
          <w:szCs w:val="24"/>
        </w:rPr>
      </w:pPr>
      <w:r>
        <w:rPr>
          <w:rFonts w:hint="eastAsia" w:hAnsi="宋体"/>
          <w:sz w:val="24"/>
          <w:szCs w:val="24"/>
        </w:rPr>
        <w:t>致谢</w:t>
      </w:r>
      <w:r>
        <w:rPr>
          <w:rFonts w:hint="eastAsia" w:hAnsi="宋体"/>
          <w:sz w:val="24"/>
          <w:szCs w:val="24"/>
        </w:rPr>
        <w:tab/>
      </w:r>
      <w:r>
        <w:rPr>
          <w:rFonts w:hint="eastAsia" w:hAnsi="宋体"/>
          <w:sz w:val="24"/>
          <w:szCs w:val="24"/>
        </w:rPr>
        <w:t>98</w:t>
      </w:r>
    </w:p>
    <w:p>
      <w:pPr>
        <w:pStyle w:val="3"/>
        <w:tabs>
          <w:tab w:val="right" w:leader="dot" w:pos="9345"/>
        </w:tabs>
        <w:spacing w:line="360" w:lineRule="auto"/>
        <w:rPr>
          <w:rFonts w:hint="eastAsia" w:ascii="仿宋_GB2312" w:hAnsi="宋体" w:eastAsia="仿宋_GB2312"/>
          <w:sz w:val="24"/>
          <w:szCs w:val="24"/>
        </w:rPr>
      </w:pPr>
      <w:r>
        <w:rPr>
          <w:rFonts w:hint="eastAsia" w:hAnsi="宋体"/>
          <w:sz w:val="24"/>
          <w:szCs w:val="24"/>
        </w:rPr>
        <w:t>在校期间的科研成果</w:t>
      </w:r>
      <w:r>
        <w:rPr>
          <w:rFonts w:hint="eastAsia" w:ascii="仿宋_GB2312" w:eastAsia="仿宋_GB2312"/>
          <w:sz w:val="24"/>
          <w:szCs w:val="24"/>
        </w:rPr>
        <w:tab/>
      </w:r>
      <w:r>
        <w:rPr>
          <w:rFonts w:hint="eastAsia" w:ascii="仿宋_GB2312" w:eastAsia="仿宋_GB2312"/>
          <w:sz w:val="24"/>
          <w:szCs w:val="24"/>
        </w:rPr>
        <w:t>102</w:t>
      </w:r>
    </w:p>
    <w:p>
      <w:pPr>
        <w:ind w:firstLine="1589" w:firstLineChars="757"/>
        <w:rPr>
          <w:rFonts w:hint="eastAsia" w:ascii="仿宋_GB2312" w:eastAsia="仿宋_GB2312"/>
          <w:szCs w:val="21"/>
        </w:rPr>
      </w:pPr>
    </w:p>
    <w:p>
      <w:pPr>
        <w:spacing w:line="400" w:lineRule="exact"/>
        <w:rPr>
          <w:rFonts w:hint="eastAsia"/>
        </w:rPr>
      </w:pPr>
      <w:r>
        <w:br w:type="page"/>
      </w:r>
    </w:p>
    <w:p>
      <w:pPr>
        <w:pStyle w:val="9"/>
        <w:ind w:firstLine="0" w:firstLineChars="0"/>
        <w:rPr>
          <w:rFonts w:hint="eastAsia" w:ascii="黑体" w:eastAsia="黑体"/>
          <w:sz w:val="32"/>
          <w:szCs w:val="32"/>
        </w:rPr>
      </w:pPr>
      <w:r>
        <w:rPr>
          <w:rFonts w:hint="eastAsia" w:ascii="黑体" w:eastAsia="黑体"/>
          <w:b/>
          <w:sz w:val="32"/>
          <w:szCs w:val="32"/>
        </w:rPr>
        <w:t>1</w:t>
      </w:r>
      <w:r>
        <w:rPr>
          <w:rFonts w:hint="eastAsia" w:ascii="黑体" w:eastAsia="黑体"/>
          <w:sz w:val="32"/>
          <w:szCs w:val="32"/>
        </w:rPr>
        <w:t xml:space="preserve"> </w:t>
      </w:r>
      <w:r>
        <w:rPr>
          <w:rFonts w:hint="eastAsia" w:ascii="黑体" w:eastAsia="黑体"/>
          <w:sz w:val="32"/>
          <w:szCs w:val="32"/>
          <w:lang w:val="en-US" w:eastAsia="zh-CN"/>
        </w:rPr>
        <w:t>绪论</w:t>
      </w:r>
    </w:p>
    <w:p>
      <w:pPr>
        <w:pStyle w:val="9"/>
        <w:ind w:firstLine="0" w:firstLineChars="0"/>
        <w:rPr>
          <w:rFonts w:hint="eastAsia" w:ascii="黑体" w:eastAsia="黑体"/>
          <w:b/>
          <w:sz w:val="28"/>
          <w:szCs w:val="28"/>
        </w:rPr>
      </w:pPr>
      <w:r>
        <w:rPr>
          <w:rFonts w:hint="eastAsia" w:ascii="黑体" w:eastAsia="黑体"/>
          <w:b/>
          <w:sz w:val="28"/>
          <w:szCs w:val="28"/>
        </w:rPr>
        <w:t xml:space="preserve">1.1 </w:t>
      </w:r>
      <w:r>
        <w:rPr>
          <w:rFonts w:hint="eastAsia" w:ascii="黑体" w:eastAsia="黑体"/>
          <w:b/>
          <w:sz w:val="28"/>
          <w:szCs w:val="28"/>
          <w:lang w:val="en-US" w:eastAsia="zh-CN"/>
        </w:rPr>
        <w:t>研究背景及意义</w:t>
      </w:r>
    </w:p>
    <w:p>
      <w:pPr>
        <w:pStyle w:val="9"/>
        <w:spacing w:line="360" w:lineRule="auto"/>
        <w:ind w:firstLine="540" w:firstLineChars="0"/>
        <w:rPr>
          <w:rFonts w:hint="eastAsia"/>
          <w:sz w:val="24"/>
          <w:szCs w:val="24"/>
          <w:lang w:val="en-US" w:eastAsia="zh-CN"/>
        </w:rPr>
      </w:pPr>
      <w:r>
        <w:rPr>
          <w:rFonts w:hint="eastAsia"/>
          <w:sz w:val="24"/>
          <w:szCs w:val="24"/>
          <w:lang w:val="en-US" w:eastAsia="zh-CN"/>
        </w:rPr>
        <w:t>根据NIST定义，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在云计算提高商，比如国外的Intel，IBM，微软，以及国内的腾讯，阿里巴巴都拥有非常成熟的云计算技术和应用服务提供技术。云计算的快速发展同时也给云计算带了除传统信息安全、网络安全之外的安全问题，其中，如何向云租户证明云计算底层平台的安全性、虚拟机的安全性是一个非常重要的问题。而可信计算是保障信息系统安全最为重要的技术手段之一，它通过提供数据保护、身份认证、远程证明以及完整性度量等特性提高包括底层物理资源、应用软件等在内的计算平台的可信性和可靠性。因此，将可信计算技术应用在提高云计算环境的安全性是工业界和产业界必须重视的地方。</w:t>
      </w:r>
    </w:p>
    <w:p>
      <w:pPr>
        <w:pStyle w:val="9"/>
        <w:spacing w:line="360" w:lineRule="auto"/>
        <w:ind w:firstLine="540" w:firstLineChars="0"/>
        <w:rPr>
          <w:rFonts w:hint="eastAsia"/>
          <w:sz w:val="24"/>
          <w:szCs w:val="24"/>
          <w:lang w:val="en-US" w:eastAsia="zh-CN"/>
        </w:rPr>
      </w:pPr>
      <w:r>
        <w:rPr>
          <w:rFonts w:hint="eastAsia"/>
          <w:sz w:val="24"/>
          <w:szCs w:val="24"/>
          <w:lang w:val="en-US" w:eastAsia="zh-CN"/>
        </w:rPr>
        <w:t>可信平台模块TPM(Trusted Platform Module, TPM)是可信计算的核心和关键技术，是可信计算机系统的信任根，通过构建从平台底层硬件到平台上层应用程序的信任链，并结合可信远程证明向平台外部实体提供可信证明。TCG（Trusted Computer Group, TCG）定义的可信计算平台的核心功能：度量、存储和报告等均依赖于TPM；可信计算平台的3个信任根：可信测量根RTM(Root of Trust for Measurement, RTM )、可信存储根RTS(Root of Trust for Storage, RTS )和可信报告根RTR(Root of Trust for Report, RTR)等均与TPM有直接的关系，其中可信测量根RTM由CRTM(Core Root of Trust for Measurement, CRTM)和TPM中的一组PCR存储器组成，可信存储根RTS由TPM和存储根密钥SRK组成，可信报告根RTR由TPM和EK组成。TCG的TPM工作组负责TPM规范的起草、修订和发布，其规范已从TPM1.0、TPM1.2发展到现在的TPM2.0。TPM2.0规范于</w:t>
      </w:r>
      <w:r>
        <w:rPr>
          <w:rFonts w:hint="eastAsia"/>
          <w:sz w:val="24"/>
          <w:szCs w:val="24"/>
        </w:rPr>
        <w:t>2014年发布，在密码算法支持、密钥、授权、签名、虚拟化等方面均有些新的特点</w:t>
      </w:r>
      <w:r>
        <w:rPr>
          <w:rFonts w:hint="eastAsia"/>
          <w:sz w:val="24"/>
          <w:szCs w:val="24"/>
          <w:lang w:eastAsia="zh-CN"/>
        </w:rPr>
        <w:t>，</w:t>
      </w:r>
      <w:r>
        <w:rPr>
          <w:rFonts w:hint="eastAsia"/>
          <w:sz w:val="24"/>
          <w:szCs w:val="24"/>
          <w:lang w:val="en-US" w:eastAsia="zh-CN"/>
        </w:rPr>
        <w:t>尤其在虚拟化方面的更新推动了可信计算技术与云计算技术的结合，共同保障云计算安全，向云租户提供一个安全可靠的云服务。利用可信计算技术构建可信虚拟平台（TVP）是研究的重要方向。TVP可以利用可信计算技术对云计算平台启动过程中，不仅可以对云计算物理资源组件进行信任链可信度量，比如BIOS、操作系统内核OS、虚拟机管理器等，也可以对虚拟机启动的组件进行可信度量，比如虚拟机镜像系统、虚拟机文件、虚拟机虚拟化过程所需的OS、虚拟BIOS等。TVP的出现能够帮助云计算提供商向云租户更好的提供安全可靠的云服务。</w:t>
      </w:r>
    </w:p>
    <w:p>
      <w:pPr>
        <w:pStyle w:val="9"/>
        <w:spacing w:line="360" w:lineRule="auto"/>
        <w:ind w:firstLine="540" w:firstLineChars="0"/>
        <w:rPr>
          <w:rFonts w:hint="eastAsia"/>
          <w:sz w:val="24"/>
          <w:szCs w:val="24"/>
          <w:lang w:val="en-US" w:eastAsia="zh-CN"/>
        </w:rPr>
      </w:pPr>
      <w:r>
        <w:rPr>
          <w:rFonts w:hint="eastAsia"/>
          <w:sz w:val="24"/>
          <w:szCs w:val="24"/>
          <w:lang w:val="en-US" w:eastAsia="zh-CN"/>
        </w:rPr>
        <w:t>根据中国信息通信研究院2017年7月发布的《云计算关键行业应用报告》，2016 年以 IaaS、PaaS 和 SaaS 为代表的典型云服务市场规模达到 654.8 亿美元，增速 25.4%，预计 2020年将达到 1435.3 亿美元，年复合增长率达 21.7%。我国云计算市场总体保持高速增长趋势。2016 年我国云计算整体市场规模达 514.9 亿元，整体增速 35.9%，高于全球平均水平。工业和信息化部发布的《云计算发展三年行动计划（2017－2019年）》提到我国云计算的发展目标“到2019年，我国云计算产业规模达到4300亿元”，该行动计划为我国云计算安全技术创新和产业发展指明了方向，提供了政策保障和法律依托。并且根据McAfee发布的“2017年全球云计算安全报告”显示，在过去15个月，80%的IT预算用于云应用和解决方案。云计算已经成为通过部署应用来销售服务的企业的首要事项。很多企业正在快速向云计算转移，以跟上合作伙伴和供应商的网络。无论顾客选择任何购买渠道和方式，都能提供卓越的客户体验，这也推动了云计算的部署。但是，只有23%的企业完全信任公共云可以保护他们的数据安全。由此可见目前的大部分云租户是不能完全信任云提供商提供的云计算服务，主要是由于云租户在使用云提供商提供的虚拟机时，并不能确认云计算平台上的物理主机是与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遭受操作系统、数据是否被篡改。而可信虚拟平台的构建可以利用TPM中的可信度量、可信报告等技术向用户发送关于云计算平台的可信度量结果，并且证明自身的安全性。</w:t>
      </w:r>
    </w:p>
    <w:p>
      <w:pPr>
        <w:pStyle w:val="9"/>
        <w:spacing w:line="360" w:lineRule="auto"/>
        <w:ind w:firstLine="540" w:firstLineChars="0"/>
        <w:rPr>
          <w:rFonts w:hint="eastAsia"/>
          <w:sz w:val="24"/>
          <w:szCs w:val="24"/>
          <w:lang w:val="en-US" w:eastAsia="zh-CN"/>
        </w:rPr>
      </w:pPr>
      <w:r>
        <w:rPr>
          <w:rFonts w:hint="eastAsia"/>
          <w:sz w:val="24"/>
          <w:szCs w:val="24"/>
          <w:lang w:val="en-US" w:eastAsia="zh-CN"/>
        </w:rPr>
        <w:t>信任链技术是可信计算的关键技术，针对可信计算技术与云计算技术结合的可信虚拟平台的信任链构建更是十分有必要的。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云服务提供更好的安全保障。</w:t>
      </w:r>
    </w:p>
    <w:p>
      <w:pPr>
        <w:pStyle w:val="9"/>
        <w:spacing w:line="360" w:lineRule="auto"/>
        <w:ind w:firstLine="540" w:firstLineChars="0"/>
        <w:rPr>
          <w:rFonts w:hint="eastAsia"/>
          <w:sz w:val="24"/>
          <w:szCs w:val="24"/>
        </w:rPr>
      </w:pPr>
      <w:r>
        <w:rPr>
          <w:rFonts w:hint="eastAsia"/>
          <w:sz w:val="24"/>
          <w:szCs w:val="24"/>
          <w:lang w:val="en-US" w:eastAsia="zh-CN"/>
        </w:rPr>
        <w:t>为此，本文对可信虚拟平台及其至上的信任链进行研究，并利用已有的形式化分析方法安全逻辑方法和改进的无干扰理论分别对信任链进行形式化分析。首先提出了带有可信衔接点的可信虚拟平台TVP-QT，该可信衔接点由三部分组件构成，虚拟机构建模块，虚拟可信模块构建模块，VM和vTPM绑定模块，该可信衔接点充分连接了云计算平台和虚拟机，保障信任链构建的合理性和完整性。其次，本文提出了一种具有瀑布特征的信任链模型—TVP-Q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然后，本文利用目前的安全逻辑形式方法和改进后的无干扰理论方法——无干扰理论+方法对TVP-QT进行形式化分析，不仅在实验上证明了TVP-QT的合理性和可靠性，也在理论上证明了TVP-QT的合理性。</w:t>
      </w:r>
    </w:p>
    <w:p>
      <w:pPr>
        <w:pStyle w:val="9"/>
        <w:ind w:firstLine="0" w:firstLineChars="0"/>
        <w:rPr>
          <w:rFonts w:hint="eastAsia" w:ascii="黑体" w:eastAsia="黑体"/>
          <w:b/>
          <w:sz w:val="28"/>
          <w:szCs w:val="28"/>
          <w:lang w:val="en-US" w:eastAsia="zh-CN"/>
        </w:rPr>
      </w:pPr>
      <w:r>
        <w:rPr>
          <w:rFonts w:hint="eastAsia" w:ascii="黑体" w:eastAsia="黑体"/>
          <w:b/>
          <w:sz w:val="28"/>
          <w:szCs w:val="28"/>
        </w:rPr>
        <w:t xml:space="preserve">1.2 </w:t>
      </w:r>
      <w:r>
        <w:rPr>
          <w:rFonts w:hint="eastAsia" w:ascii="黑体" w:eastAsia="黑体"/>
          <w:b/>
          <w:sz w:val="28"/>
          <w:szCs w:val="28"/>
          <w:lang w:val="en-US" w:eastAsia="zh-CN"/>
        </w:rPr>
        <w:t>国内外研究现状</w:t>
      </w:r>
    </w:p>
    <w:p>
      <w:pPr>
        <w:pStyle w:val="9"/>
        <w:ind w:firstLine="420" w:firstLineChars="0"/>
        <w:rPr>
          <w:rFonts w:hint="eastAsia" w:ascii="黑体" w:eastAsia="黑体"/>
          <w:b/>
          <w:sz w:val="28"/>
          <w:szCs w:val="28"/>
          <w:lang w:val="en-US" w:eastAsia="zh-CN"/>
        </w:rPr>
      </w:pPr>
      <w:r>
        <w:rPr>
          <w:rFonts w:hint="eastAsia"/>
          <w:sz w:val="24"/>
          <w:szCs w:val="24"/>
          <w:lang w:val="en-US" w:eastAsia="zh-CN"/>
        </w:rPr>
        <w:t>可信计算技术与虚拟化技术的结合的TVP一直以来都受到国内外学者的广泛关注。目前已经有涌现出很多优秀的研究成果。Intel的StefanBerger等人最先提出vTPM的概念，随后产生了很多关于TVP及其信任链构建的研究成功，其中，开源的VMM——Xen是最早支持vTPM的，已经有许多学术成果将Xen作为实验平台；KVM对支持vTPM主要是依赖QEMU；2015年，VMware宣布在vSphere 6.0中支持vTPM；Oracle的VirtualBox也通过IBM的PCIXCC支持vTPM。这些知名公司的技术促进了可信虚拟平台的发展。为更好的对国内外研究现状进行阐释，本文将从可信虚拟平台、可信虚拟平台信任链、针对信任链的形式化分析方法三部分进行描述。</w:t>
      </w:r>
    </w:p>
    <w:p>
      <w:pPr>
        <w:pStyle w:val="9"/>
        <w:spacing w:line="360" w:lineRule="auto"/>
        <w:ind w:firstLine="0" w:firstLineChars="0"/>
        <w:rPr>
          <w:rFonts w:hint="eastAsia" w:ascii="黑体" w:eastAsia="黑体"/>
          <w:b/>
          <w:sz w:val="24"/>
          <w:szCs w:val="24"/>
          <w:lang w:val="en-US" w:eastAsia="zh-CN"/>
        </w:rPr>
      </w:pPr>
      <w:r>
        <w:rPr>
          <w:rFonts w:hint="eastAsia" w:ascii="黑体" w:eastAsia="黑体"/>
          <w:sz w:val="24"/>
          <w:szCs w:val="24"/>
        </w:rPr>
        <w:t xml:space="preserve">1.2.1  </w:t>
      </w:r>
      <w:r>
        <w:rPr>
          <w:rFonts w:hint="eastAsia" w:ascii="黑体" w:eastAsia="黑体"/>
          <w:b/>
          <w:sz w:val="24"/>
          <w:szCs w:val="24"/>
          <w:lang w:val="en-US" w:eastAsia="zh-CN"/>
        </w:rPr>
        <w:t>可信虚拟平台</w:t>
      </w:r>
    </w:p>
    <w:p>
      <w:pPr>
        <w:pStyle w:val="9"/>
        <w:spacing w:line="360" w:lineRule="auto"/>
        <w:ind w:firstLine="420" w:firstLineChars="0"/>
        <w:rPr>
          <w:rFonts w:hint="eastAsia"/>
          <w:sz w:val="24"/>
          <w:szCs w:val="24"/>
          <w:lang w:val="en-US" w:eastAsia="zh-CN"/>
        </w:rPr>
      </w:pPr>
      <w:r>
        <w:rPr>
          <w:rFonts w:hint="eastAsia"/>
          <w:sz w:val="24"/>
          <w:szCs w:val="24"/>
        </w:rPr>
        <w:t>对于TVP的研究，早在TVP概念出现之前，就出现了利用可信计算技术解决虚拟系统平台安全的方案，为TVP的发展提供了一些理论和构建基础，这些平台包括Terra [17]，Perseus [18]等，</w:t>
      </w:r>
      <w:r>
        <w:rPr>
          <w:rFonts w:hint="eastAsia"/>
          <w:sz w:val="24"/>
          <w:szCs w:val="24"/>
          <w:lang w:val="en-US" w:eastAsia="zh-CN"/>
        </w:rPr>
        <w:t>这些平台的主要思想是把底层计算平台分为两部分，可信区域和不可信区域，其中可信区域上运行着高安全性需求的虚拟机。</w:t>
      </w:r>
    </w:p>
    <w:p>
      <w:pPr>
        <w:pStyle w:val="9"/>
        <w:spacing w:line="360" w:lineRule="auto"/>
        <w:ind w:firstLine="420" w:firstLineChars="0"/>
        <w:rPr>
          <w:rFonts w:hint="eastAsia"/>
          <w:sz w:val="24"/>
          <w:szCs w:val="24"/>
          <w:lang w:val="en-US" w:eastAsia="zh-CN"/>
        </w:rPr>
      </w:pPr>
      <w:r>
        <w:rPr>
          <w:rFonts w:hint="eastAsia"/>
          <w:sz w:val="24"/>
          <w:szCs w:val="24"/>
          <w:lang w:val="en-US" w:eastAsia="zh-CN"/>
        </w:rPr>
        <w:t>TVP 的概念首先由 Stefan Berger [12] 等人提出，随后文献[13-16]等学者针对如何构建具体应用场景的 TVP 功能应用以及抽象和统一的 TVP 概念取得了很多较好的研究成果，并且达成了一些基本的共识。目前，研究此方面的学者绝大多数都认为，在物理上，TVP作为一个可以支持虚拟化技术的可信主机，并且与一般的可信计算平台的主要区别有两方面，一是拥有在物理硬件可信平台模块（Trusted Platform Module, TPM）构建起来的虚拟可信信任根；而是可以并发的为在可信虚拟平台之上的多个用户虚拟机（Virtual Machine, VM）提供可信虚拟信任环境。这种TVP的运行架构如图1所示。从功能上看，TVP架构主要分为4个层次。第一层为硬件信任根TVP，作为整个架构的最底层，是整个平台信任的物理保证。第二层主要包括虚拟机监视器（Virtual Machine Monitor, VMM），及构建与VMM之上的管理域（主要是其内核及相关域管理工具），它们通常被认为是 TVP 的可信计算基（Trusted Computing Base, TCB）。第三层是虚拟信任根（Virtual Root of Trust, vRT），由于实现方案不同（如图1中a、b所示），其加载过程可能是传统信任链的一部分，或直接利用动态加载机制如动态度量信任根（Dynamic Root of Trusted Measurement, DRTM）机制启动，这使得它或者成为 TCB 的一部分，或者作为应用进程单独存在。最上层是用户虚拟机，是与用户应用密切相关的部分。</w:t>
      </w:r>
    </w:p>
    <w:p>
      <w:pPr>
        <w:pStyle w:val="9"/>
        <w:spacing w:line="360" w:lineRule="auto"/>
        <w:ind w:firstLine="420" w:firstLineChars="0"/>
        <w:jc w:val="center"/>
        <w:rPr>
          <w:rFonts w:hint="eastAsia"/>
          <w:sz w:val="24"/>
          <w:szCs w:val="24"/>
          <w:lang w:val="en-US" w:eastAsia="zh-CN"/>
        </w:rPr>
      </w:pPr>
      <w:r>
        <w:rPr>
          <w:rFonts w:hint="eastAsia"/>
          <w:sz w:val="24"/>
          <w:szCs w:val="24"/>
        </w:rPr>
        <w:object>
          <v:shape id="_x0000_i1030" o:spt="75" type="#_x0000_t75" style="height:76.4pt;width:267.1pt;" o:ole="t" filled="f" o:preferrelative="t" stroked="f" coordsize="21600,21600">
            <v:path/>
            <v:fill on="f" focussize="0,0"/>
            <v:stroke on="f"/>
            <v:imagedata r:id="rId8" o:title=""/>
            <o:lock v:ext="edit" aspectratio="t"/>
            <w10:wrap type="none"/>
            <w10:anchorlock/>
          </v:shape>
          <o:OLEObject Type="Embed" ProgID="Visio.Drawing.11" ShapeID="_x0000_i1030" DrawAspect="Content" ObjectID="_1468075725" r:id="rId7">
            <o:LockedField>false</o:LockedField>
          </o:OLEObject>
        </w:object>
      </w:r>
    </w:p>
    <w:p>
      <w:pPr>
        <w:pStyle w:val="9"/>
        <w:spacing w:line="360" w:lineRule="auto"/>
        <w:ind w:firstLine="420" w:firstLineChars="0"/>
        <w:rPr>
          <w:rFonts w:hint="eastAsia"/>
          <w:sz w:val="24"/>
          <w:szCs w:val="24"/>
          <w:lang w:val="en-US" w:eastAsia="zh-CN"/>
        </w:rPr>
      </w:pPr>
      <w:r>
        <w:rPr>
          <w:rFonts w:hint="eastAsia"/>
          <w:sz w:val="24"/>
          <w:szCs w:val="24"/>
          <w:lang w:val="en-US" w:eastAsia="zh-CN"/>
        </w:rPr>
        <w:t>图1TVP基本运行架构</w:t>
      </w:r>
    </w:p>
    <w:p>
      <w:pPr>
        <w:pStyle w:val="9"/>
        <w:spacing w:line="360" w:lineRule="auto"/>
        <w:ind w:firstLine="420" w:firstLineChars="0"/>
        <w:rPr>
          <w:rFonts w:hint="eastAsia"/>
          <w:sz w:val="24"/>
          <w:szCs w:val="24"/>
          <w:lang w:val="en-US" w:eastAsia="zh-CN"/>
        </w:rPr>
      </w:pPr>
      <w:r>
        <w:rPr>
          <w:rFonts w:hint="eastAsia"/>
          <w:sz w:val="24"/>
          <w:szCs w:val="24"/>
          <w:lang w:val="en-US" w:eastAsia="zh-CN"/>
        </w:rPr>
        <w:t>根据文献[12]的vRT等概念，HP、IBM等研究机构分别提出并构建了相应的TVP[13][14]，其TVP架构可根据不同应用需求建立用户可定制的TVP，在很大程度上推动了TVP的发展。随后，Krautheim[15]、王丽娜[16]等学者基于云计算环境建立了TVP，使其可以保护云计算环境下的虚拟机运行，以及保护虚拟机运行时上层服务软件的完整性、安全性。之后，常德显[19]等根据TVP的功能层次给出了包括虚拟机和虚拟可信根的TVP定义，并细分为VMM、Dom0、TPM、vRT等组件。Zhang Lei[20]等提出一种具有可信域层次的TVP，通过可信云平台和可信虚拟机进行分离的TVP构建机制，并实现了对可信云平台以及可信虚拟机的安全保障。文献[21-26]也建立了类似以上的可信虚拟平台。可以说TVP在保证云计算环境安全、构建可信云平台上起到了重要的作用。总结起来，目前针对TVP模型的研究尽管取得了很多成果并达成了基本共识，即TVP模型都包含基本组件vRT、vTPM等，但绝大多数已有的研究成果把TVP的VMM和管理域都作为TCB，一起作为虚拟机的vRT，这显然过粗且逻辑上不完全合理的，因为管理域包含OS及大量的应用程序，显然不能采用链式度量所有的应用程序并存储其PCR值。</w:t>
      </w:r>
    </w:p>
    <w:p>
      <w:pPr>
        <w:pStyle w:val="9"/>
        <w:spacing w:line="360" w:lineRule="auto"/>
        <w:ind w:firstLine="420" w:firstLineChars="0"/>
        <w:rPr>
          <w:rFonts w:hint="eastAsia"/>
          <w:sz w:val="24"/>
          <w:szCs w:val="24"/>
          <w:lang w:val="en-US" w:eastAsia="zh-CN"/>
        </w:rPr>
      </w:pPr>
      <w:r>
        <w:rPr>
          <w:rFonts w:hint="eastAsia"/>
          <w:sz w:val="24"/>
          <w:szCs w:val="24"/>
          <w:lang w:val="en-US" w:eastAsia="zh-CN"/>
        </w:rPr>
        <w:t>上述的TVP基本运行架构以及信任链传递模型存在过粗且逻辑上不完全合理的问题，与具体云环境中虚拟化平台也不完全相符合。如图1所示，为了便于叙述，本文将图1中从TPM到第三层的信任链称为可信虚拟平台信任链，将第四层的信任链称为虚拟机信任链。具体问题表现在：</w:t>
      </w:r>
    </w:p>
    <w:p>
      <w:pPr>
        <w:pStyle w:val="9"/>
        <w:spacing w:line="360" w:lineRule="auto"/>
        <w:ind w:firstLine="420" w:firstLineChars="0"/>
        <w:rPr>
          <w:rFonts w:hint="eastAsia"/>
          <w:sz w:val="24"/>
          <w:szCs w:val="24"/>
          <w:lang w:val="en-US" w:eastAsia="zh-CN"/>
        </w:rPr>
      </w:pPr>
      <w:r>
        <w:rPr>
          <w:rFonts w:hint="eastAsia"/>
          <w:sz w:val="24"/>
          <w:szCs w:val="24"/>
          <w:lang w:val="en-US" w:eastAsia="zh-CN"/>
        </w:rPr>
        <w:t>（1）现有的TVP模型把整个第三层都作为TVP的TCB并作为虚拟机的vRT，显然是不精细的且逻辑上也不完全合理的。第三层包括VMM以及DOM管理域，信任链为CRTM→BIOS→BootLoader→VMM→DOM OS→Apps，DOM管理域包含OS及大量的应用程序，显然不能采用链式度量所有的应用程序并存储其PCR（Platform Configuration Module）值。</w:t>
      </w:r>
    </w:p>
    <w:p>
      <w:pPr>
        <w:pStyle w:val="9"/>
        <w:spacing w:line="360" w:lineRule="auto"/>
        <w:ind w:firstLine="420" w:firstLineChars="0"/>
        <w:rPr>
          <w:rFonts w:hint="eastAsia"/>
          <w:sz w:val="24"/>
          <w:szCs w:val="24"/>
        </w:rPr>
      </w:pPr>
      <w:r>
        <w:rPr>
          <w:rFonts w:hint="eastAsia"/>
          <w:sz w:val="24"/>
          <w:szCs w:val="24"/>
          <w:lang w:val="en-US" w:eastAsia="zh-CN"/>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呢？显然，这两条信任链存在如何衔接的问题。</w:t>
      </w:r>
    </w:p>
    <w:p>
      <w:pPr>
        <w:pStyle w:val="9"/>
        <w:spacing w:line="360" w:lineRule="auto"/>
        <w:ind w:firstLine="0" w:firstLineChars="0"/>
        <w:rPr>
          <w:rFonts w:hint="eastAsia" w:ascii="黑体" w:eastAsia="黑体"/>
          <w:b/>
          <w:sz w:val="24"/>
          <w:szCs w:val="24"/>
          <w:lang w:val="en-US" w:eastAsia="zh-CN"/>
        </w:rPr>
      </w:pPr>
      <w:r>
        <w:rPr>
          <w:rFonts w:hint="eastAsia"/>
          <w:sz w:val="24"/>
          <w:szCs w:val="24"/>
        </w:rPr>
        <w:t xml:space="preserve">1.2.2  </w:t>
      </w:r>
      <w:r>
        <w:rPr>
          <w:rFonts w:hint="eastAsia" w:ascii="黑体" w:eastAsia="黑体"/>
          <w:b/>
          <w:sz w:val="24"/>
          <w:szCs w:val="24"/>
          <w:lang w:val="en-US" w:eastAsia="zh-CN"/>
        </w:rPr>
        <w:t>可信虚拟平台信任链模型</w:t>
      </w:r>
    </w:p>
    <w:p>
      <w:pPr>
        <w:pStyle w:val="9"/>
        <w:spacing w:line="360" w:lineRule="auto"/>
        <w:ind w:firstLine="420" w:firstLineChars="0"/>
        <w:rPr>
          <w:rFonts w:hint="eastAsia"/>
          <w:sz w:val="24"/>
          <w:szCs w:val="24"/>
          <w:lang w:val="en-US" w:eastAsia="zh-CN"/>
        </w:rPr>
      </w:pPr>
      <w:r>
        <w:rPr>
          <w:rFonts w:hint="eastAsia"/>
          <w:sz w:val="24"/>
          <w:szCs w:val="24"/>
          <w:lang w:val="en-US" w:eastAsia="zh-CN"/>
        </w:rPr>
        <w:t>对于TVP信任链模型的研究，主要包括三个方面。其一是通过对TCG链式信任链模型的扩展，实现TVP下可信度量以及信任传递。Scarlata[27]等提出在构建TVP时，通过可信测量构建从CRTM可信根到每个客户虚拟机的信任链，就可以证明每个客户虚拟机是可信的，显然这种信任链模型是不完善的，无法适应比较复杂的TVP环境。John[28]对信任链扩展上提出了“Transitive Trust Chain”信任链模型，并且简要的指出了信任链传递过程为TPM →VMM→TVEM manager →TVEM→VM OS(应用程序，但是此种信任链模型没有详细的描述特权域操作系统以及虚拟机操作系统的可信度量。Shen[29]等根据TCG动态度量方法提出了一种基于Xen的可信虚拟机在 DRTM下的信任链构建，其具体的构建过程为：CPU→可信代码→Xen VMM→Dom0（→vTPM Manager→Domain Builder）→Guest 0S →Guest Application，此种信任链模型也存在John[28]中的问题。等等。其二是通过研究可信云平台和可信虚拟机两部分的信任链，构建TVP下的信任链模型。常德显[19]等提出TVP信任链包括按照TVP的功能层次从硬件TPM层→TCB层→vRT层→用户虚拟机层的信任链模型，此信任链模型对vRT及层次间的连接定义比较模糊。Zhang Lei[20]等提出一种基于无干扰的可信域层次信任链模型，并且指出分别度量物理主机和VM的方式，即首先度量从物理的TPM到物理主机的应用程序，然后度量VM的vTPM和应用程序，显然此种信任链模型无法有效的对TVP下构建完整的链式信任链模型，不能向用户虚拟机呈现一条完整的信任链模型，文献[22][23]也存在此类问题。其三是树形或者星形的信任链模型。其三是树形或者星形的信任链模型。一部分学者认为TCG的链式信任链可信度量方式在虚拟化环境下是难以有效构建的。朱智强[30]提出了一种安全可扩展的星型信任度量结构，在信任度量时只需要信任根（RT）对管理域节点进行度量即可，但是此信任链模型的关键节点RT需要对所有的管理节点进行度量，RT的负担重，无法高效的完成TVP下的可信度量以及信任传递。曲文涛等[31]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9"/>
        <w:spacing w:line="360" w:lineRule="auto"/>
        <w:ind w:firstLine="0" w:firstLineChars="0"/>
        <w:rPr>
          <w:rFonts w:hint="eastAsia" w:ascii="黑体" w:eastAsia="黑体"/>
          <w:b/>
          <w:sz w:val="24"/>
          <w:szCs w:val="24"/>
          <w:lang w:val="en-US" w:eastAsia="zh-CN"/>
        </w:rPr>
      </w:pPr>
      <w:r>
        <w:rPr>
          <w:rFonts w:hint="eastAsia"/>
          <w:sz w:val="24"/>
          <w:szCs w:val="24"/>
        </w:rPr>
        <w:t>1.2.</w:t>
      </w:r>
      <w:r>
        <w:rPr>
          <w:rFonts w:hint="eastAsia"/>
          <w:sz w:val="24"/>
          <w:szCs w:val="24"/>
          <w:lang w:val="en-US" w:eastAsia="zh-CN"/>
        </w:rPr>
        <w:t>3</w:t>
      </w:r>
      <w:r>
        <w:rPr>
          <w:rFonts w:hint="eastAsia"/>
          <w:sz w:val="24"/>
          <w:szCs w:val="24"/>
        </w:rPr>
        <w:t xml:space="preserve">  </w:t>
      </w:r>
      <w:r>
        <w:rPr>
          <w:rFonts w:hint="eastAsia" w:ascii="黑体" w:eastAsia="黑体"/>
          <w:b/>
          <w:sz w:val="24"/>
          <w:szCs w:val="24"/>
          <w:lang w:val="en-US" w:eastAsia="zh-CN"/>
        </w:rPr>
        <w:t>无干扰理论</w:t>
      </w:r>
    </w:p>
    <w:p>
      <w:pPr>
        <w:pStyle w:val="9"/>
        <w:spacing w:line="360" w:lineRule="auto"/>
        <w:ind w:firstLine="420" w:firstLineChars="0"/>
        <w:rPr>
          <w:rFonts w:hint="eastAsia"/>
          <w:sz w:val="24"/>
          <w:szCs w:val="24"/>
          <w:lang w:val="en-US" w:eastAsia="zh-CN"/>
        </w:rPr>
      </w:pPr>
      <w:r>
        <w:rPr>
          <w:rFonts w:hint="eastAsia"/>
          <w:sz w:val="24"/>
          <w:szCs w:val="24"/>
          <w:lang w:val="en-US" w:eastAsia="zh-CN"/>
        </w:rPr>
        <w:t>针对于确保平台信任可验证的信任链形式化建模与分析的方法，目前的研究大部分是基于传统的可信计算平台。陈书义[21]等人利用一阶逻辑对可信计算平台启动过程进行建模以分析其信任传递过程，并提出长度受限的信任链模型。张兴[22]等人基于无干扰模型对信任链进行了建模分析，从系统信息流控制角度验证满足传递无干扰安全策略的信息流才能构建有效的信任链。上述方法主要针对普通可信计算平台，并不能直接适用于云计算环境下信任链形式化分析。虽然Zhang[30]等人利用无干扰理论对可信云计算环境信任链进行了形式化分析和验证，但是此种信任链分析方法是建立在不连续的可信云计算信任链模型上，不能够对可信云计算环境进行正确的形式化验证。常德显[29]等人基于扩展安全系统逻辑的分析方法也存在Zhang中的问题。</w:t>
      </w:r>
    </w:p>
    <w:p>
      <w:pPr>
        <w:pStyle w:val="9"/>
        <w:spacing w:line="360" w:lineRule="auto"/>
        <w:ind w:firstLine="420" w:firstLineChars="0"/>
        <w:rPr>
          <w:rFonts w:hint="eastAsia"/>
          <w:sz w:val="24"/>
          <w:szCs w:val="24"/>
          <w:lang w:val="en-US" w:eastAsia="zh-CN"/>
        </w:rPr>
      </w:pPr>
      <w:r>
        <w:rPr>
          <w:rFonts w:hint="eastAsia"/>
          <w:sz w:val="24"/>
          <w:szCs w:val="24"/>
          <w:lang w:val="en-US" w:eastAsia="zh-CN"/>
        </w:rPr>
        <w:t>针对于无干扰理论的研究，目前大部分的研究是基于信息流的无干扰模型从动作和运行结果的角度建立系统安全策略模型。张兴、赵佳[33,34]等在Rushby[35]的无干扰理论的基础上将系统安全域集实体化为进程集，给出了进程运行的可信条件，推导出系统运行可信定理，保证了终端的安全，但是其模型中的没有针对动作的详细定义，不适合验证可信云环境信任链。刘鹏威[36]等提出了基于非传递的无干扰理念的二元多级安全模型，在Rushby无干扰理论的基础上重新定义了清除函数，将传递的元干扰理论过渡到非传递的无干扰理论，并依据BLP和Biba模型保护了信息的机密性和完整性，然而同样存在赵佳中的问题。陈菊[37]等从进程数据和代码完整性检测出发，利用无干扰理论保证进程之间的操作合法，试图在不安全的操作系统中建立安全的应用支撑。徐甫[38]等扩展了非传递无干扰理论，并试图通过重新定义静态干扰和动态干扰，使其支持进程自身代码的修改，但是其静态干扰和动态干扰的定义过于抽象，难以和实际的终端系统相对应，因此并不能在实际上完成其所描述的支持自身代码修改的功能。秦晰[39]等提出了一种容忍非信任组件的可信终端模型，该模型利用可信组件对非信任组件的输出进行封装，保证了非信任组件在终端上的存在不会造成严重的安全威胁，实现了域间隔离和无干扰，保证了结果的可预测性和可控性，但是并没有针对安全域进行详细的描述。上述对无干扰理论的研究，均没有考虑到云计算运行中时的安全域、动作所属主体以及动作对安全域和系统状态的影响进行详细的说明，比如针对于安全域，在运行中各个安全域可能是独立也可能是通过组件绑定在一起。</w:t>
      </w:r>
    </w:p>
    <w:p>
      <w:pPr>
        <w:pStyle w:val="9"/>
        <w:ind w:firstLine="0" w:firstLineChars="0"/>
        <w:rPr>
          <w:rFonts w:hint="eastAsia" w:ascii="仿宋_GB2312" w:eastAsia="仿宋_GB2312"/>
          <w:b/>
          <w:sz w:val="28"/>
          <w:szCs w:val="28"/>
        </w:rPr>
      </w:pPr>
      <w:r>
        <w:rPr>
          <w:rFonts w:hint="eastAsia" w:ascii="仿宋_GB2312" w:eastAsia="仿宋_GB2312"/>
          <w:b/>
          <w:sz w:val="28"/>
          <w:szCs w:val="28"/>
          <w:lang w:val="en-US" w:eastAsia="zh-CN"/>
        </w:rPr>
        <w:t>1</w:t>
      </w:r>
      <w:r>
        <w:rPr>
          <w:rFonts w:hint="eastAsia" w:ascii="仿宋_GB2312" w:eastAsia="仿宋_GB2312"/>
          <w:b/>
          <w:sz w:val="28"/>
          <w:szCs w:val="28"/>
        </w:rPr>
        <w:t>.</w:t>
      </w:r>
      <w:r>
        <w:rPr>
          <w:rFonts w:hint="eastAsia" w:ascii="仿宋_GB2312" w:eastAsia="仿宋_GB2312"/>
          <w:b/>
          <w:sz w:val="28"/>
          <w:szCs w:val="28"/>
          <w:lang w:val="en-US" w:eastAsia="zh-CN"/>
        </w:rPr>
        <w:t>3</w:t>
      </w:r>
      <w:r>
        <w:rPr>
          <w:rFonts w:hint="eastAsia" w:ascii="仿宋_GB2312" w:eastAsia="仿宋_GB2312"/>
          <w:b/>
          <w:sz w:val="28"/>
          <w:szCs w:val="28"/>
        </w:rPr>
        <w:t xml:space="preserve"> </w:t>
      </w:r>
      <w:r>
        <w:rPr>
          <w:rFonts w:hint="eastAsia" w:ascii="黑体" w:eastAsia="黑体"/>
          <w:b/>
          <w:sz w:val="28"/>
          <w:szCs w:val="28"/>
        </w:rPr>
        <w:t>本文主要工作</w:t>
      </w:r>
    </w:p>
    <w:p>
      <w:pPr>
        <w:pStyle w:val="9"/>
        <w:numPr>
          <w:ilvl w:val="0"/>
          <w:numId w:val="3"/>
        </w:numPr>
        <w:spacing w:line="360" w:lineRule="auto"/>
        <w:ind w:left="0" w:leftChars="0" w:firstLine="420" w:firstLineChars="0"/>
        <w:rPr>
          <w:rFonts w:hint="eastAsia"/>
          <w:sz w:val="24"/>
          <w:szCs w:val="24"/>
          <w:lang w:val="en-US" w:eastAsia="zh-CN"/>
        </w:rPr>
      </w:pPr>
      <w:r>
        <w:rPr>
          <w:rFonts w:hint="eastAsia"/>
          <w:sz w:val="24"/>
          <w:szCs w:val="24"/>
          <w:lang w:val="en-US" w:eastAsia="zh-CN"/>
        </w:rPr>
        <w:t>具有瀑布特征的可信虚拟平台</w:t>
      </w:r>
    </w:p>
    <w:p>
      <w:pPr>
        <w:pStyle w:val="9"/>
        <w:spacing w:line="360" w:lineRule="auto"/>
        <w:ind w:left="0" w:leftChars="0" w:firstLine="420" w:firstLineChars="0"/>
        <w:rPr>
          <w:rFonts w:hint="eastAsia"/>
          <w:sz w:val="24"/>
          <w:szCs w:val="24"/>
        </w:rPr>
      </w:pPr>
      <w:r>
        <w:rPr>
          <w:rFonts w:hint="eastAsia"/>
          <w:sz w:val="24"/>
          <w:szCs w:val="24"/>
        </w:rPr>
        <w:t>由本</w:t>
      </w:r>
      <w:r>
        <w:rPr>
          <w:rFonts w:hint="eastAsia"/>
          <w:sz w:val="24"/>
          <w:szCs w:val="24"/>
          <w:lang w:eastAsia="zh-CN"/>
        </w:rPr>
        <w:t>文</w:t>
      </w:r>
      <w:r>
        <w:rPr>
          <w:rFonts w:hint="eastAsia"/>
          <w:sz w:val="24"/>
          <w:szCs w:val="24"/>
        </w:rPr>
        <w:t>对可信虚拟平台的研究综述来看，目前的可信虚拟平台存在一些需要改进的地方。本</w:t>
      </w:r>
      <w:r>
        <w:rPr>
          <w:rFonts w:hint="eastAsia"/>
          <w:sz w:val="24"/>
          <w:szCs w:val="24"/>
          <w:lang w:eastAsia="zh-CN"/>
        </w:rPr>
        <w:t>文</w:t>
      </w:r>
      <w:r>
        <w:rPr>
          <w:rFonts w:hint="eastAsia"/>
          <w:sz w:val="24"/>
          <w:szCs w:val="24"/>
        </w:rPr>
        <w:t>针对现有的可信虚拟平台，在可信虚拟平台和用户虚拟机之间加入可信衔接点，设计一种在逻辑上合理，vRT精细的可信虚拟平台。</w:t>
      </w:r>
    </w:p>
    <w:p>
      <w:pPr>
        <w:pStyle w:val="9"/>
        <w:spacing w:line="360" w:lineRule="auto"/>
        <w:ind w:left="0" w:leftChars="0" w:firstLine="420" w:firstLineChars="0"/>
        <w:rPr>
          <w:rFonts w:hint="eastAsia"/>
          <w:sz w:val="24"/>
          <w:szCs w:val="24"/>
        </w:rPr>
      </w:pPr>
      <w:r>
        <w:rPr>
          <w:rFonts w:hint="eastAsia"/>
          <w:sz w:val="24"/>
          <w:szCs w:val="24"/>
        </w:rPr>
        <w:t>此可信虚拟平台的主要架构如下图所示：</w:t>
      </w:r>
    </w:p>
    <w:p>
      <w:pPr>
        <w:pStyle w:val="9"/>
        <w:spacing w:line="360" w:lineRule="auto"/>
        <w:ind w:left="0" w:leftChars="0" w:firstLine="420" w:firstLineChars="0"/>
        <w:rPr>
          <w:rFonts w:hint="eastAsia"/>
          <w:sz w:val="24"/>
          <w:szCs w:val="24"/>
        </w:rPr>
      </w:pPr>
      <w:r>
        <w:rPr>
          <w:rFonts w:hint="eastAsia"/>
          <w:sz w:val="24"/>
          <w:szCs w:val="24"/>
        </w:rPr>
        <w:t>在原有的TVP中的第二层和第三层加入可信衔接点。可信连接点位于Dom0，是Dom0的一组应用程序，包括VM的创建组件VM Builder、 vTPM实例的创建模块vTPM Builder以及VM-vTPM映射组件VM-vTPM Binding，且作为vRT的一部分，在信任链上按照VM BuildervTPM Builder VM-vTPM Binding的顺序依次进行度量。可信衔接点可对TVP-QT的第一、第二层与第四、第五层进行有效衔接，保证TVP-QT信任链构建的连贯性，起到承上启下的作用，具有瀑布特征。</w:t>
      </w:r>
    </w:p>
    <w:p>
      <w:pPr>
        <w:pStyle w:val="9"/>
        <w:spacing w:line="360" w:lineRule="auto"/>
        <w:ind w:left="0" w:leftChars="0" w:firstLine="420" w:firstLineChars="0"/>
        <w:rPr>
          <w:rFonts w:hint="eastAsia"/>
          <w:sz w:val="24"/>
          <w:szCs w:val="24"/>
        </w:rPr>
      </w:pPr>
      <w:r>
        <w:rPr>
          <w:rFonts w:hint="eastAsia"/>
          <w:sz w:val="24"/>
          <w:szCs w:val="24"/>
        </w:rPr>
        <w:t>其中VM Builder表示与创建用户虚拟机相关的配置文件以及组件等，如创建vm组件以及vm配置文件等；vTPM Builder表示与创建和管理vTPM实例的相关组件，并负责提供给vm运行时的vTPM标识以及端口的提供。而VM-vTPM Binding则表示对vm和vTPM实例间的绑定关系，在TVP-QT涉及到的vTPM架构中，由vTPM Builder提供给vTPM实例的标识，每个vm必须与独一的vTPM实例绑定。</w:t>
      </w:r>
    </w:p>
    <w:p>
      <w:pPr>
        <w:pStyle w:val="9"/>
        <w:spacing w:line="360" w:lineRule="auto"/>
        <w:ind w:left="0" w:leftChars="0" w:firstLine="420" w:firstLineChars="0"/>
        <w:rPr>
          <w:rFonts w:hint="eastAsia"/>
          <w:sz w:val="24"/>
          <w:szCs w:val="24"/>
        </w:rPr>
      </w:pPr>
      <w:r>
        <w:rPr>
          <w:rFonts w:hint="eastAsia"/>
          <w:sz w:val="24"/>
          <w:szCs w:val="24"/>
        </w:rPr>
        <w:t>从此架构图可以看出，可信衔接点的存在可以有效的对用户虚拟机和可信虚拟平台进行衔接，并且具有承上启下的作用，使得整个可信虚拟平台在逻辑上都非常合理，并且加强了用户虚拟机和可信虚拟平台之间的联系。</w:t>
      </w:r>
    </w:p>
    <w:p>
      <w:pPr>
        <w:pStyle w:val="9"/>
        <w:numPr>
          <w:ilvl w:val="0"/>
          <w:numId w:val="3"/>
        </w:numPr>
        <w:spacing w:line="360" w:lineRule="auto"/>
        <w:ind w:left="0" w:leftChars="0" w:firstLine="420" w:firstLineChars="0"/>
        <w:rPr>
          <w:rFonts w:hint="eastAsia"/>
          <w:sz w:val="24"/>
          <w:szCs w:val="24"/>
          <w:lang w:val="en-US" w:eastAsia="zh-CN"/>
        </w:rPr>
      </w:pPr>
      <w:r>
        <w:rPr>
          <w:rFonts w:hint="eastAsia"/>
          <w:sz w:val="24"/>
          <w:szCs w:val="24"/>
          <w:lang w:val="en-US" w:eastAsia="zh-CN"/>
        </w:rPr>
        <w:t>具有瀑布特征的信任链模型</w:t>
      </w:r>
    </w:p>
    <w:p>
      <w:pPr>
        <w:pStyle w:val="9"/>
        <w:spacing w:line="360" w:lineRule="auto"/>
        <w:ind w:left="0" w:leftChars="0" w:firstLine="420" w:firstLineChars="0"/>
        <w:rPr>
          <w:rFonts w:hint="eastAsia"/>
          <w:sz w:val="24"/>
          <w:szCs w:val="24"/>
          <w:lang w:val="en-US" w:eastAsia="zh-CN"/>
        </w:rPr>
      </w:pPr>
      <w:r>
        <w:rPr>
          <w:rFonts w:hint="eastAsia"/>
          <w:sz w:val="24"/>
          <w:szCs w:val="24"/>
        </w:rPr>
        <w:t>由</w:t>
      </w:r>
      <w:r>
        <w:rPr>
          <w:rFonts w:hint="eastAsia"/>
          <w:sz w:val="24"/>
          <w:szCs w:val="24"/>
          <w:lang w:val="en-US" w:eastAsia="zh-CN"/>
        </w:rPr>
        <w:t>本课题针对可信虚拟平台之上的信任链模型，对本课题设计的带有可信衔接点的可信虚拟平台上进行构建，并对可信衔接点部分的组件进行细分，使得整个可信虚拟平台在启动过程中能够对虚拟平台TCB层度量之后能够有效的把控制权交给用户虚拟机的vRT，实现向用户展示一条完整的信任链模型的目标。</w:t>
      </w:r>
    </w:p>
    <w:p>
      <w:pPr>
        <w:pStyle w:val="9"/>
        <w:spacing w:line="360" w:lineRule="auto"/>
        <w:ind w:left="0" w:leftChars="0" w:firstLine="420" w:firstLineChars="0"/>
        <w:rPr>
          <w:rFonts w:hint="eastAsia"/>
          <w:sz w:val="24"/>
          <w:szCs w:val="24"/>
          <w:lang w:val="en-US" w:eastAsia="zh-CN"/>
        </w:rPr>
      </w:pPr>
      <w:r>
        <w:rPr>
          <w:rFonts w:hint="eastAsia"/>
          <w:sz w:val="24"/>
          <w:szCs w:val="24"/>
          <w:lang w:val="en-US" w:eastAsia="zh-CN"/>
        </w:rPr>
        <w:t>本课题构建的信任链模型大体架构如图：</w:t>
      </w:r>
    </w:p>
    <w:p>
      <w:pPr>
        <w:pStyle w:val="9"/>
        <w:spacing w:line="360" w:lineRule="auto"/>
        <w:ind w:left="0" w:leftChars="0" w:firstLine="420" w:firstLineChars="0"/>
        <w:rPr>
          <w:rFonts w:hint="eastAsia"/>
          <w:sz w:val="24"/>
          <w:szCs w:val="24"/>
          <w:lang w:val="en-US" w:eastAsia="zh-CN"/>
        </w:rPr>
      </w:pPr>
      <w:r>
        <w:rPr>
          <w:rFonts w:hint="eastAsia"/>
          <w:sz w:val="24"/>
          <w:szCs w:val="24"/>
          <w:lang w:val="en-US" w:eastAsia="zh-CN"/>
        </w:rPr>
        <w:t>具体的信任链度量过程描述如下：</w:t>
      </w:r>
    </w:p>
    <w:p>
      <w:pPr>
        <w:pStyle w:val="9"/>
        <w:spacing w:line="360" w:lineRule="auto"/>
        <w:ind w:left="0" w:leftChars="0" w:firstLine="420" w:firstLineChars="0"/>
        <w:rPr>
          <w:rFonts w:hint="eastAsia"/>
          <w:sz w:val="24"/>
          <w:szCs w:val="24"/>
          <w:lang w:val="en-US" w:eastAsia="zh-CN"/>
        </w:rPr>
      </w:pPr>
      <w:r>
        <w:rPr>
          <w:rFonts w:hint="eastAsia"/>
          <w:sz w:val="24"/>
          <w:szCs w:val="24"/>
          <w:lang w:val="en-US" w:eastAsia="zh-CN"/>
        </w:rPr>
        <w:t>针对可信虚拟平台构建的信任链模型总体过程如下：</w:t>
      </w:r>
    </w:p>
    <w:p>
      <w:pPr>
        <w:pStyle w:val="9"/>
        <w:spacing w:line="360" w:lineRule="auto"/>
        <w:ind w:left="0" w:leftChars="0" w:firstLine="420" w:firstLineChars="0"/>
        <w:rPr>
          <w:rFonts w:hint="eastAsia"/>
          <w:sz w:val="24"/>
          <w:szCs w:val="24"/>
          <w:lang w:val="en-US" w:eastAsia="zh-CN"/>
        </w:rPr>
      </w:pPr>
      <w:r>
        <w:rPr>
          <w:rFonts w:hint="eastAsia"/>
          <w:sz w:val="24"/>
          <w:szCs w:val="24"/>
          <w:lang w:val="en-US" w:eastAsia="zh-CN"/>
        </w:rPr>
        <w:t>第一层硬件TPM（CRTM）--&gt;第二层TCB（BIOSOSLoaderVMMDom0 Kernel）--&gt;第三层可信衔接点（VM BuildervTPM BuilderVM-vTPM Binding）--&gt;第四层vTPM（vTPM实例）--&gt;第五层可信虚拟机（VBIOSVOSLoaderVMOSAPP）;并利用通过TVP平台对信任链进行实例系统的分析和构建。本课题拟基于Xen VMM对信任链进行构建和实现。</w:t>
      </w:r>
    </w:p>
    <w:p>
      <w:pPr>
        <w:pStyle w:val="9"/>
        <w:numPr>
          <w:ilvl w:val="0"/>
          <w:numId w:val="3"/>
        </w:numPr>
        <w:spacing w:line="360" w:lineRule="auto"/>
        <w:ind w:left="0" w:leftChars="0" w:firstLine="420" w:firstLineChars="0"/>
        <w:rPr>
          <w:rFonts w:hint="eastAsia"/>
          <w:sz w:val="24"/>
          <w:szCs w:val="24"/>
          <w:lang w:val="en-US" w:eastAsia="zh-CN"/>
        </w:rPr>
      </w:pPr>
      <w:r>
        <w:rPr>
          <w:rFonts w:hint="eastAsia"/>
          <w:sz w:val="24"/>
          <w:szCs w:val="24"/>
          <w:lang w:val="en-US" w:eastAsia="zh-CN"/>
        </w:rPr>
        <w:t>基于扩展无干扰理论的可信虚拟平台信任链分析方法</w:t>
      </w:r>
    </w:p>
    <w:p>
      <w:pPr>
        <w:pStyle w:val="9"/>
        <w:spacing w:line="360" w:lineRule="auto"/>
        <w:ind w:left="0" w:leftChars="0" w:firstLine="420" w:firstLineChars="0"/>
        <w:rPr>
          <w:rFonts w:hint="eastAsia"/>
          <w:sz w:val="24"/>
          <w:szCs w:val="24"/>
          <w:lang w:val="en-US" w:eastAsia="zh-CN"/>
        </w:rPr>
      </w:pPr>
      <w:r>
        <w:rPr>
          <w:rFonts w:hint="eastAsia"/>
          <w:sz w:val="24"/>
          <w:szCs w:val="24"/>
          <w:lang w:val="en-US" w:eastAsia="zh-CN"/>
        </w:rPr>
        <w:t>目前大部分的研究是基于信息流的无干扰模型从动作和运行结果的角度建立系统安全策略模型，本课题按照云计算环境运行特征，拟对原有无干扰理论中的安全域、动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w:t>
      </w:r>
    </w:p>
    <w:p>
      <w:pPr>
        <w:pStyle w:val="9"/>
        <w:spacing w:line="360" w:lineRule="auto"/>
        <w:ind w:left="0" w:leftChars="0" w:firstLine="420" w:firstLineChars="0"/>
        <w:rPr>
          <w:rFonts w:hint="eastAsia"/>
          <w:sz w:val="24"/>
          <w:szCs w:val="24"/>
          <w:lang w:val="en-US" w:eastAsia="zh-CN"/>
        </w:rPr>
      </w:pPr>
      <w:r>
        <w:rPr>
          <w:rFonts w:hint="eastAsia"/>
          <w:sz w:val="24"/>
          <w:szCs w:val="24"/>
          <w:lang w:val="en-US" w:eastAsia="zh-CN"/>
        </w:rPr>
        <w:t>图4  扩展无干扰理论</w:t>
      </w:r>
    </w:p>
    <w:p>
      <w:pPr>
        <w:pStyle w:val="9"/>
        <w:spacing w:line="360" w:lineRule="auto"/>
        <w:ind w:left="0" w:leftChars="0" w:firstLine="0" w:firstLineChars="0"/>
        <w:rPr>
          <w:rFonts w:hint="eastAsia" w:ascii="黑体" w:eastAsia="黑体"/>
          <w:b/>
          <w:sz w:val="28"/>
          <w:szCs w:val="28"/>
        </w:rPr>
      </w:pPr>
      <w:r>
        <w:rPr>
          <w:rFonts w:hint="eastAsia" w:ascii="仿宋_GB2312" w:eastAsia="仿宋_GB2312"/>
          <w:b/>
          <w:sz w:val="28"/>
          <w:szCs w:val="28"/>
          <w:lang w:val="en-US" w:eastAsia="zh-CN"/>
        </w:rPr>
        <w:t>1</w:t>
      </w:r>
      <w:r>
        <w:rPr>
          <w:rFonts w:hint="eastAsia" w:ascii="仿宋_GB2312" w:eastAsia="仿宋_GB2312"/>
          <w:b/>
          <w:sz w:val="28"/>
          <w:szCs w:val="28"/>
        </w:rPr>
        <w:t>.</w:t>
      </w:r>
      <w:r>
        <w:rPr>
          <w:rFonts w:hint="eastAsia" w:ascii="仿宋_GB2312" w:eastAsia="仿宋_GB2312"/>
          <w:b/>
          <w:sz w:val="28"/>
          <w:szCs w:val="28"/>
          <w:lang w:val="en-US" w:eastAsia="zh-CN"/>
        </w:rPr>
        <w:t>4</w:t>
      </w:r>
      <w:r>
        <w:rPr>
          <w:rFonts w:hint="eastAsia" w:ascii="仿宋_GB2312" w:eastAsia="仿宋_GB2312"/>
          <w:b/>
          <w:sz w:val="28"/>
          <w:szCs w:val="28"/>
        </w:rPr>
        <w:t xml:space="preserve"> </w:t>
      </w:r>
      <w:r>
        <w:rPr>
          <w:rFonts w:hint="eastAsia" w:ascii="黑体" w:eastAsia="黑体"/>
          <w:b/>
          <w:sz w:val="28"/>
          <w:szCs w:val="28"/>
        </w:rPr>
        <w:t>论文组织结构</w:t>
      </w:r>
    </w:p>
    <w:p>
      <w:pPr>
        <w:pStyle w:val="9"/>
        <w:spacing w:line="360" w:lineRule="auto"/>
        <w:ind w:left="0" w:leftChars="0" w:firstLine="420" w:firstLineChars="0"/>
        <w:rPr>
          <w:rFonts w:hint="eastAsia" w:ascii="黑体" w:eastAsia="黑体"/>
          <w:b/>
          <w:sz w:val="28"/>
          <w:szCs w:val="28"/>
          <w:lang w:val="en-US" w:eastAsia="zh-CN"/>
        </w:rPr>
      </w:pPr>
      <w:r>
        <w:rPr>
          <w:rFonts w:hint="eastAsia"/>
          <w:sz w:val="24"/>
          <w:szCs w:val="24"/>
          <w:lang w:val="en-US" w:eastAsia="zh-CN"/>
        </w:rPr>
        <w:t>目</w:t>
      </w:r>
    </w:p>
    <w:p>
      <w:pPr>
        <w:pStyle w:val="9"/>
        <w:ind w:firstLine="0" w:firstLineChars="0"/>
        <w:rPr>
          <w:rFonts w:hint="eastAsia" w:ascii="仿宋_GB2312" w:eastAsia="仿宋_GB2312"/>
          <w:b/>
          <w:sz w:val="30"/>
          <w:szCs w:val="30"/>
        </w:rPr>
      </w:pPr>
      <w:r>
        <w:rPr>
          <w:rFonts w:hint="eastAsia" w:ascii="仿宋_GB2312" w:eastAsia="仿宋_GB2312"/>
          <w:b/>
          <w:sz w:val="30"/>
          <w:szCs w:val="30"/>
        </w:rPr>
        <w:t xml:space="preserve">2 </w:t>
      </w:r>
      <w:r>
        <w:rPr>
          <w:rFonts w:hint="eastAsia" w:ascii="黑体" w:eastAsia="黑体"/>
          <w:sz w:val="32"/>
          <w:szCs w:val="32"/>
        </w:rPr>
        <w:t>(章的标题----三号黑体)</w:t>
      </w:r>
      <w:r>
        <w:rPr>
          <w:rFonts w:hint="eastAsia" w:ascii="仿宋_GB2312" w:eastAsia="仿宋_GB2312"/>
          <w:b/>
          <w:sz w:val="30"/>
          <w:szCs w:val="30"/>
        </w:rPr>
        <w:t>）</w:t>
      </w:r>
    </w:p>
    <w:p>
      <w:pPr>
        <w:pStyle w:val="9"/>
        <w:ind w:firstLine="0" w:firstLineChars="0"/>
        <w:rPr>
          <w:rFonts w:hint="eastAsia" w:ascii="仿宋_GB2312" w:eastAsia="仿宋_GB2312"/>
          <w:b/>
          <w:sz w:val="28"/>
          <w:szCs w:val="28"/>
        </w:rPr>
      </w:pPr>
      <w:r>
        <w:rPr>
          <w:rFonts w:hint="eastAsia" w:ascii="仿宋_GB2312" w:eastAsia="仿宋_GB2312"/>
          <w:b/>
          <w:sz w:val="28"/>
          <w:szCs w:val="28"/>
        </w:rPr>
        <w:t xml:space="preserve">2.1 </w:t>
      </w:r>
      <w:r>
        <w:rPr>
          <w:rFonts w:hint="eastAsia" w:ascii="黑体" w:eastAsia="黑体"/>
          <w:b/>
          <w:sz w:val="28"/>
          <w:szCs w:val="28"/>
        </w:rPr>
        <w:t>（节的标题----四号</w:t>
      </w:r>
      <w:bookmarkStart w:id="2" w:name="_GoBack"/>
      <w:bookmarkEnd w:id="2"/>
      <w:r>
        <w:rPr>
          <w:rFonts w:hint="eastAsia" w:ascii="黑体" w:eastAsia="黑体"/>
          <w:b/>
          <w:sz w:val="28"/>
          <w:szCs w:val="28"/>
        </w:rPr>
        <w:t>黑体）</w:t>
      </w:r>
    </w:p>
    <w:p>
      <w:pPr>
        <w:pStyle w:val="9"/>
        <w:spacing w:line="360" w:lineRule="auto"/>
        <w:ind w:firstLine="0" w:firstLineChars="0"/>
        <w:rPr>
          <w:rFonts w:hint="eastAsia"/>
          <w:sz w:val="24"/>
          <w:szCs w:val="24"/>
        </w:rPr>
      </w:pPr>
      <w:r>
        <w:rPr>
          <w:rFonts w:hint="eastAsia"/>
          <w:sz w:val="24"/>
          <w:szCs w:val="24"/>
        </w:rPr>
        <w:t xml:space="preserve">2.1.1 </w:t>
      </w:r>
      <w:r>
        <w:rPr>
          <w:rFonts w:hint="eastAsia" w:ascii="黑体" w:eastAsia="黑体"/>
          <w:b/>
          <w:sz w:val="24"/>
          <w:szCs w:val="24"/>
        </w:rPr>
        <w:t>（三级标题----小四号黑体）</w:t>
      </w:r>
      <w:r>
        <w:rPr>
          <w:rFonts w:hint="eastAsia"/>
          <w:sz w:val="24"/>
          <w:szCs w:val="24"/>
        </w:rPr>
        <w:t>××××××××××××××××××××××××××××××××××××××××××××××××××××××××××××××××××××××××</w:t>
      </w:r>
    </w:p>
    <w:p>
      <w:pPr>
        <w:pStyle w:val="9"/>
        <w:spacing w:line="360" w:lineRule="auto"/>
        <w:ind w:firstLine="539" w:firstLineChars="257"/>
        <w:rPr>
          <w:rFonts w:hint="eastAsia"/>
          <w:sz w:val="24"/>
          <w:szCs w:val="24"/>
        </w:rPr>
      </w:pPr>
      <w:r>
        <w:rPr>
          <w:rFonts w:hint="eastAsia"/>
        </w:rPr>
        <w:t>×××××××××××××××××××××××××××××××××××××××××××××××××××××××××××××××××</w:t>
      </w:r>
      <w:r>
        <w:rPr>
          <w:rFonts w:hint="eastAsia"/>
          <w:sz w:val="24"/>
          <w:szCs w:val="24"/>
        </w:rPr>
        <w:t>(</w:t>
      </w:r>
      <w:r>
        <w:rPr>
          <w:rFonts w:hint="eastAsia" w:ascii="仿宋_GB2312" w:eastAsia="仿宋_GB2312"/>
          <w:sz w:val="24"/>
        </w:rPr>
        <w:t>小四号宋体，行间距为20磅，下同</w:t>
      </w:r>
      <w:r>
        <w:rPr>
          <w:rFonts w:hint="eastAsia"/>
          <w:sz w:val="24"/>
          <w:szCs w:val="24"/>
        </w:rPr>
        <w:t>)</w:t>
      </w:r>
    </w:p>
    <w:p>
      <w:pPr>
        <w:pStyle w:val="9"/>
        <w:spacing w:line="360" w:lineRule="auto"/>
        <w:ind w:firstLine="0" w:firstLineChars="0"/>
        <w:rPr>
          <w:rFonts w:hint="eastAsia"/>
        </w:rPr>
      </w:pPr>
      <w:r>
        <w:rPr>
          <w:rFonts w:hint="eastAsia"/>
        </w:rPr>
        <w:t>…………</w:t>
      </w:r>
    </w:p>
    <w:p>
      <w:pPr>
        <w:widowControl/>
        <w:spacing w:line="360" w:lineRule="auto"/>
        <w:rPr>
          <w:rFonts w:hint="eastAsia" w:ascii="宋体" w:hAnsi="宋体" w:cs="宋体"/>
          <w:kern w:val="0"/>
          <w:szCs w:val="21"/>
        </w:rPr>
      </w:pPr>
      <w:r>
        <w:rPr>
          <w:rFonts w:hint="eastAsia" w:ascii="宋体" w:hAnsi="宋体" w:cs="宋体"/>
          <w:kern w:val="0"/>
          <w:szCs w:val="21"/>
        </w:rPr>
        <w:t>附件6：参考文献表格式</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楷体">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楷体">
    <w:panose1 w:val="02010609060101010101"/>
    <w:charset w:val="86"/>
    <w:family w:val="auto"/>
    <w:pitch w:val="default"/>
    <w:sig w:usb0="800002BF" w:usb1="38CF7CFA" w:usb2="00000016" w:usb3="00000000" w:csb0="00040001" w:csb1="0000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monospace">
    <w:altName w:val="微软雅黑"/>
    <w:panose1 w:val="00000000000000000000"/>
    <w:charset w:val="00"/>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7ADF9"/>
    <w:multiLevelType w:val="singleLevel"/>
    <w:tmpl w:val="5A97ADF9"/>
    <w:lvl w:ilvl="0" w:tentative="0">
      <w:start w:val="1"/>
      <w:numFmt w:val="decimal"/>
      <w:suff w:val="nothing"/>
      <w:lvlText w:val="（%1）"/>
      <w:lvlJc w:val="left"/>
    </w:lvl>
  </w:abstractNum>
  <w:abstractNum w:abstractNumId="1">
    <w:nsid w:val="657D3FBC"/>
    <w:multiLevelType w:val="multilevel"/>
    <w:tmpl w:val="657D3FBC"/>
    <w:lvl w:ilvl="0" w:tentative="0">
      <w:start w:val="1"/>
      <w:numFmt w:val="upperLetter"/>
      <w:pStyle w:val="7"/>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abstractNum w:abstractNumId="2">
    <w:nsid w:val="6CEA2025"/>
    <w:multiLevelType w:val="multilevel"/>
    <w:tmpl w:val="6CEA2025"/>
    <w:lvl w:ilvl="0" w:tentative="0">
      <w:start w:val="1"/>
      <w:numFmt w:val="none"/>
      <w:pStyle w:val="8"/>
      <w:suff w:val="nothing"/>
      <w:lvlText w:val="%1"/>
      <w:lvlJc w:val="left"/>
      <w:pPr>
        <w:ind w:left="0" w:firstLine="0"/>
      </w:pPr>
      <w:rPr>
        <w:rFonts w:hint="default" w:ascii="Times New Roman" w:hAnsi="Times New Roman"/>
        <w:b/>
        <w:i w:val="0"/>
        <w:sz w:val="21"/>
      </w:rPr>
    </w:lvl>
    <w:lvl w:ilvl="1" w:tentative="0">
      <w:start w:val="1"/>
      <w:numFmt w:val="decimal"/>
      <w:suff w:val="nothing"/>
      <w:lvlText w:val="%1%2　"/>
      <w:lvlJc w:val="left"/>
      <w:pPr>
        <w:ind w:left="0" w:firstLine="0"/>
      </w:pPr>
      <w:rPr>
        <w:rFonts w:hint="eastAsia" w:ascii="黑体" w:hAnsi="Times New Roman" w:eastAsia="黑体"/>
        <w:b w:val="0"/>
        <w:i w:val="0"/>
        <w:sz w:val="21"/>
      </w:rPr>
    </w:lvl>
    <w:lvl w:ilvl="2" w:tentative="0">
      <w:start w:val="1"/>
      <w:numFmt w:val="decimal"/>
      <w:suff w:val="nothing"/>
      <w:lvlText w:val="%1%2.%3　"/>
      <w:lvlJc w:val="left"/>
      <w:pPr>
        <w:ind w:left="0"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suff w:val="nothing"/>
      <w:lvlText w:val="%1%2.%3.%4.%5　"/>
      <w:lvlJc w:val="left"/>
      <w:pPr>
        <w:ind w:left="0"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2C04D5"/>
    <w:rsid w:val="3D2C0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toc 1"/>
    <w:next w:val="1"/>
    <w:uiPriority w:val="0"/>
    <w:pPr>
      <w:jc w:val="both"/>
    </w:pPr>
    <w:rPr>
      <w:rFonts w:ascii="宋体"/>
      <w:sz w:val="21"/>
      <w:szCs w:val="22"/>
      <w:lang w:val="en-US" w:eastAsia="zh-CN" w:bidi="ar-SA"/>
    </w:rPr>
  </w:style>
  <w:style w:type="paragraph" w:customStyle="1" w:styleId="6">
    <w:name w:val="列项——"/>
    <w:uiPriority w:val="0"/>
    <w:pPr>
      <w:widowControl w:val="0"/>
      <w:numPr>
        <w:ilvl w:val="0"/>
        <w:numId w:val="1"/>
      </w:numPr>
      <w:tabs>
        <w:tab w:val="left" w:pos="854"/>
      </w:tabs>
      <w:ind w:leftChars="200" w:hangingChars="200"/>
      <w:jc w:val="both"/>
    </w:pPr>
    <w:rPr>
      <w:rFonts w:ascii="宋体"/>
      <w:sz w:val="21"/>
      <w:szCs w:val="22"/>
      <w:lang w:val="en-US" w:eastAsia="zh-CN" w:bidi="ar-SA"/>
    </w:rPr>
  </w:style>
  <w:style w:type="paragraph" w:customStyle="1" w:styleId="7">
    <w:name w:val="附录标识"/>
    <w:basedOn w:val="8"/>
    <w:qFormat/>
    <w:uiPriority w:val="0"/>
    <w:pPr>
      <w:numPr>
        <w:ilvl w:val="0"/>
        <w:numId w:val="1"/>
      </w:numPr>
      <w:tabs>
        <w:tab w:val="left" w:pos="6405"/>
      </w:tabs>
      <w:spacing w:after="200"/>
    </w:pPr>
    <w:rPr>
      <w:sz w:val="21"/>
    </w:rPr>
  </w:style>
  <w:style w:type="paragraph" w:customStyle="1" w:styleId="8">
    <w:name w:val="前言、引言标题"/>
    <w:next w:val="1"/>
    <w:uiPriority w:val="0"/>
    <w:pPr>
      <w:numPr>
        <w:ilvl w:val="0"/>
        <w:numId w:val="2"/>
      </w:numPr>
      <w:shd w:val="clear" w:color="FFFFFF" w:fill="FFFFFF"/>
      <w:spacing w:before="640" w:after="560"/>
      <w:jc w:val="center"/>
      <w:outlineLvl w:val="0"/>
    </w:pPr>
    <w:rPr>
      <w:rFonts w:ascii="黑体" w:eastAsia="黑体"/>
      <w:sz w:val="32"/>
      <w:szCs w:val="22"/>
      <w:lang w:val="en-US" w:eastAsia="zh-CN" w:bidi="ar-SA"/>
    </w:rPr>
  </w:style>
  <w:style w:type="paragraph" w:customStyle="1" w:styleId="9">
    <w:name w:val="段"/>
    <w:uiPriority w:val="0"/>
    <w:pPr>
      <w:autoSpaceDE w:val="0"/>
      <w:autoSpaceDN w:val="0"/>
      <w:ind w:firstLine="200" w:firstLineChars="200"/>
      <w:jc w:val="both"/>
    </w:pPr>
    <w:rPr>
      <w:rFonts w:ascii="宋体"/>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emf"/><Relationship Id="rId7" Type="http://schemas.openxmlformats.org/officeDocument/2006/relationships/oleObject" Target="embeddings/oleObject1.bin"/><Relationship Id="rId6" Type="http://schemas.openxmlformats.org/officeDocument/2006/relationships/image" Target="http://web.sicnu.edu.cn/img2/ck4d0af8e356660.gif" TargetMode="Externa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2018-03-01T07:30:56Z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