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Plan gotowości RODO</w:t>
      </w:r>
    </w:p>
    <w:p>
      <w:pPr>
        <w:spacing w:after="40"/>
      </w:pPr>
      <w:r>
        <w:rPr>
          <w:color w:val="555555"/>
          <w:sz w:val="26"/>
          <w:szCs w:val="26"/>
        </w:rPr>
        <w:t xml:space="preserve">Aplikacja repertuarowa teatru (theater-scheduler)</w:t>
      </w:r>
    </w:p>
    <w:p>
      <w:pPr>
        <w:spacing w:after="200"/>
      </w:pPr>
      <w:r>
        <w:rPr>
          <w:color w:val="888888"/>
          <w:sz w:val="18"/>
          <w:szCs w:val="18"/>
        </w:rPr>
        <w:t xml:space="preserve">Dokument roboczy dla przeglądu prawnika / IOD · wersja 2026-07-05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A800" w:sz="4"/>
              <w:left w:val="single" w:color="E0A800" w:sz="4"/>
              <w:bottom w:val="single" w:color="E0A800" w:sz="4"/>
              <w:right w:val="single" w:color="E0A800" w:sz="4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Uwaga: to nie jest opinia prawna. Dokument porządkuje techniczne i organizacyjne aspekty przetwarzania danych, aby przegląd prawnika/IOD przebiegł sprawnie. Ostateczną ocenę zgodności wydaje prawnik/IOD. Pola w [nawiasach] uzupełnia administrator (teatr).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Status wdrożenia (na 2026-07-05)</w:t>
      </w:r>
    </w:p>
    <w:p>
      <w:pPr>
        <w:spacing w:after="120"/>
      </w:pPr>
      <w:r>
        <w:rPr>
          <w:b/>
          <w:bCs/>
        </w:rPr>
        <w:t xml:space="preserve">Już wdrożone w aplikacji: </w:t>
      </w:r>
      <w:r>
        <w:t xml:space="preserve">(1) usunięcie danych o zdrowiu — status „Choroba" scalony do „Niedostępny" wraz z migracją istniejących danych; (2) hashowanie haseł organizacji (bcrypt); (3) klauzula informacyjna i rejestr czynności dostępne w aplikacji (stopka).</w:t>
      </w:r>
    </w:p>
    <w:p>
      <w:pPr>
        <w:spacing w:after="120"/>
      </w:pPr>
      <w:r>
        <w:rPr>
          <w:b/>
          <w:bCs/>
        </w:rPr>
        <w:t xml:space="preserve">Do domknięcia (organizacyjne/prawne): </w:t>
      </w:r>
      <w:r>
        <w:t xml:space="preserve">umowa powierzenia (art. 28), lista subprocesorów + ich zabezpieczenia transferu, region bazy = UE, rotacja klucza serwisowego, polityka retencji i obsługa praw podmiotów.</w:t>
      </w:r>
    </w:p>
    <w:p>
      <w:pPr>
        <w:spacing w:after="120"/>
      </w:pPr>
    </w:p>
    <w:p>
      <w:pPr>
        <w:pStyle w:val="Heading1"/>
      </w:pPr>
      <w:r>
        <w:t xml:space="preserve">0. Role i model przetwarzania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Administrator (controller): </w:t>
      </w:r>
      <w:r>
        <w:t xml:space="preserve">teatr / organizacja — decyduje o celach i środkach przetwarzania danych aktorów/pracowników.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Podmiot przetwarzający (processor): </w:t>
      </w:r>
      <w:r>
        <w:t xml:space="preserve">dostawca aplikacji — przetwarza dane w imieniu teatru.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Konsekwencja: </w:t>
      </w:r>
      <w:r>
        <w:t xml:space="preserve">wymagana umowa powierzenia przetwarzania (art. 28 RODO) teatr ↔ dostawca. To najważniejszy dokument dla prawnika; reszta planu dostarcza do niej materiał.</w:t>
      </w:r>
    </w:p>
    <w:p>
      <w:pPr>
        <w:spacing w:after="120"/>
      </w:pPr>
    </w:p>
    <w:p>
      <w:pPr>
        <w:pStyle w:val="Heading1"/>
      </w:pPr>
      <w:r>
        <w:t xml:space="preserve">1. Mapa danych osobowych (RoPA — art. 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Kategoria danych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Gdzie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Wrażliwość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Uwaga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Imię i nazwisko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artists.name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zwykłe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artists.email, app_settings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zwykłe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umowa / uzasadniony interes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Telefon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artists.phone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zwykłe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 SMS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urodzenia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artists.birth_date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zwykłe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minimalizacja: rok vs pełna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Wizerunek (zdjęcie)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artists.avatar_url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zwykłe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prawa autorskie + źródło (§7)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Dostępność w dniu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actor_day_status.status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zwykłe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BEZ przyczyny — tylko „Niedostępny"/„Urlop"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Notatka do dnia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actor_day_status.note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potencjalnie szczególna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pole swobodne — ostrzec „bez danych o zdrowiu"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Obsada / zaangażowanie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artist_productions, event_artists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zwykłe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dane kontraktowe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Treść komunikacji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actor_messages, notification_deliveries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zwykłe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Hasła organizacji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organizations.*_password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poufne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zahashowane (bcrypt)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Tokeny Google OAuth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google_accounts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poufne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dostęp do konta Google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Dane o zdrowiu (art. 9) — status „Choroba"</w:t>
      </w:r>
    </w:p>
    <w:p>
      <w:pPr>
        <w:spacing w:after="120"/>
      </w:pPr>
      <w:r>
        <w:t xml:space="preserve">Najczęstszy powód wstrzymania projektu. Rozwiązanie wdrożone: aplikacja nie rozróżnia przyczyny nieobecności — jeden status „Niedostępny" zamiast „Choroba". Istniejące dane zostały zmigrowane, a pola wyboru „Choroba" usunięte z interfejsu.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Pozostaje: </w:t>
      </w:r>
      <w:r>
        <w:t xml:space="preserve">pole swobodne „notatka" może zawierać dane szczególne — zalecane ostrzeżenie w UI („nie wpisuj danych o zdrowiu") lub ograniczenie pola.</w:t>
      </w:r>
    </w:p>
    <w:p>
      <w:pPr>
        <w:spacing w:after="120"/>
      </w:pPr>
    </w:p>
    <w:p>
      <w:pPr>
        <w:pStyle w:val="Heading1"/>
      </w:pPr>
      <w:r>
        <w:t xml:space="preserve">3. Bezpieczeństwo dostępu (art. 32)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Hasła: </w:t>
      </w:r>
      <w:r>
        <w:t xml:space="preserve">przechowywane jako skróty bcrypt (wdrożone). Docelowo warto rozważyć konta imienne (rozliczalność).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Klucz serwisowy: </w:t>
      </w:r>
      <w:r>
        <w:t xml:space="preserve">zalecana rotacja (był udostępniany w trakcie prac).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Izolacja danych: </w:t>
      </w:r>
      <w:r>
        <w:t xml:space="preserve">RLS „deny-by-default" + serwerowy proxy z izolacją per organizacja (privacy by design — mocny argument).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Przed produkcją: </w:t>
      </w:r>
      <w:r>
        <w:t xml:space="preserve">wyłączyć tryb testowy komunikacji i wyczyścić dane demonstracyjne.</w:t>
      </w:r>
    </w:p>
    <w:p>
      <w:pPr>
        <w:spacing w:after="120"/>
      </w:pPr>
    </w:p>
    <w:p>
      <w:pPr>
        <w:pStyle w:val="Heading1"/>
      </w:pPr>
      <w:r>
        <w:t xml:space="preserve">4. Subprocesorzy i transfery poza EOG</w:t>
      </w:r>
    </w:p>
    <w:p>
      <w:pPr>
        <w:spacing w:after="120"/>
      </w:pPr>
      <w:r>
        <w:t xml:space="preserve">Każdy zewnętrzny dostawca = subprocesor (zgoda administratora + umowa powierzenia + zabezpieczenia transferu).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Usługa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Lokalizacja / transfer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Hosting bazy + pliki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Przechowywanie danych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sprawdzić region — zalecane 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Hosting aplikacji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Uruchamianie aplikacji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UE / SCC / DPF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Dostawca e-mail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Wysyłka powiadomień e-mail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SCC / DPF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Dostawca SMS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Wysyłka powiadomień SMS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 (EOG) — plus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Dostawca 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Propozycje układu repertuaru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SCC / DPF / zero-retention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Kalendarz (opcjonalnie)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Eksport wydarzeń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DPF</w:t>
            </w:r>
          </w:p>
        </w:tc>
      </w:tr>
    </w:tbl>
    <w:p>
      <w:pPr>
        <w:spacing w:after="120"/>
      </w:pPr>
      <w:r>
        <w:rPr>
          <w:b/>
          <w:bCs/>
        </w:rPr>
        <w:t xml:space="preserve">Do zrobienia: </w:t>
      </w:r>
      <w:r>
        <w:t xml:space="preserve">potwierdzić region bazy = UE; zebrać DPA/SCC każdego dostawcy; sporządzić listę subprocesorów jako załącznik do umowy powierzenia; dla dostawcy AI potwierdzić brak retencji/treningu.</w:t>
      </w:r>
    </w:p>
    <w:p>
      <w:pPr>
        <w:spacing w:after="120"/>
      </w:pPr>
    </w:p>
    <w:p>
      <w:pPr>
        <w:pStyle w:val="Heading1"/>
      </w:pPr>
      <w:r>
        <w:t xml:space="preserve">5. Minimalizacja, retencja, prawa podmiotów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Minimalizacja: </w:t>
      </w:r>
      <w:r>
        <w:t xml:space="preserve">data urodzenia (rok vs pełna), telefon/e-mail tylko gdy potrzebne, notatki swobodne.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Retencja: </w:t>
      </w:r>
      <w:r>
        <w:t xml:space="preserve">zdefiniować okresy + mechanizm usuwania (dziś dane rosną bez limitu).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Prawa podmiotów (art. 15–20): </w:t>
      </w:r>
      <w:r>
        <w:t xml:space="preserve">dostęp, sprostowanie, usunięcie, przenoszenie — proces + funkcje eksportu i anonimizacji.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Klauzula informacyjna (art. 13): </w:t>
      </w:r>
      <w:r>
        <w:t xml:space="preserve">dostępna w aplikacji — do uzupełnienia danymi administratora/IOD.</w:t>
      </w:r>
    </w:p>
    <w:p>
      <w:pPr>
        <w:spacing w:after="120"/>
      </w:pPr>
    </w:p>
    <w:p>
      <w:pPr>
        <w:pStyle w:val="Heading1"/>
      </w:pPr>
      <w:r>
        <w:t xml:space="preserve">6. DPIA i naruszenia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DPIA (art. 35): </w:t>
      </w:r>
      <w:r>
        <w:t xml:space="preserve">po usunięciu danych o zdrowiu ryzyko maleje; lekka ocena skutków zalecana przy systematycznym monitorowaniu dostępności.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Naruszenia (art. 33/34): </w:t>
      </w:r>
      <w:r>
        <w:t xml:space="preserve">procedura zgłaszania (processor informuje administratora niezwłocznie) — do opisania w umowie powierzenia.</w:t>
      </w:r>
    </w:p>
    <w:p>
      <w:pPr>
        <w:spacing w:after="120"/>
      </w:pPr>
    </w:p>
    <w:p>
      <w:pPr>
        <w:pStyle w:val="Heading1"/>
      </w:pPr>
      <w:r>
        <w:t xml:space="preserve">7. Dane demonstracyjne i źródło danych</w:t>
      </w:r>
    </w:p>
    <w:p>
      <w:pPr>
        <w:spacing w:after="120"/>
      </w:pPr>
      <w:r>
        <w:t xml:space="preserve">Dane aktorów w wersji demonstracyjnej pochodzą z publicznej strony teatru (nazwiska, zdjęcia, roczniki) na potrzeby prezentacji dla dyrekcji. Przed produkcją: potwierdzić podstawę z administratorem, uregulować prawa do zdjęć (lub je usunąć), wyczyścić przykładowe kontakty, wyłączyć tryb testowy.</w:t>
      </w:r>
    </w:p>
    <w:p>
      <w:pPr>
        <w:spacing w:after="120"/>
      </w:pPr>
    </w:p>
    <w:p>
      <w:pPr>
        <w:pStyle w:val="Heading1"/>
      </w:pPr>
      <w:r>
        <w:t xml:space="preserve">8. Cookies i komunikacja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Cookie: </w:t>
      </w:r>
      <w:r>
        <w:t xml:space="preserve">wyłącznie techniczny (sesja, httpOnly) — niezbędny; wspomnieć w klauzuli. Brak trackerów third-party.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Komunikacja: </w:t>
      </w:r>
      <w:r>
        <w:t xml:space="preserve">powiadomienia służbowe — umowa/uzasadniony interes; treści marketingowe wymagałyby zgody.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9. Pakiet do przekazania prawnikowi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Mapa danych / RoPA (§1) — dostępna w aplikacji + w tym dokumencie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Lista subprocesorów + ich DPA/SCC/DPF (§4)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Opis zabezpieczeń (izolacja org, szyfrowanie, hasła bcrypt)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Klauzula informacyjna (art. 13) — do uzupełnienia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Umowa powierzenia (art. 28) — do sporządzenia przez prawnika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Polityka retencji + procedura praw podmiotów (§5)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Decyzja ws. pola „notatka" + ewentualne DPIA (§2, §6)</w:t>
      </w:r>
    </w:p>
    <w:p>
      <w:pPr>
        <w:spacing w:after="120"/>
      </w:pPr>
    </w:p>
    <w:p>
      <w:pPr>
        <w:pStyle w:val="Heading1"/>
      </w:pPr>
      <w:r>
        <w:t xml:space="preserve">10. Działania techniczne (status / do zrobienia)</w:t>
      </w:r>
    </w:p>
    <w:p>
      <w:pPr>
        <w:spacing w:after="120"/>
      </w:pPr>
      <w:r>
        <w:rPr>
          <w:b/>
          <w:bCs/>
        </w:rPr>
        <w:t xml:space="preserve">Zrobione: </w:t>
      </w:r>
      <w:r>
        <w:t xml:space="preserve">scalenie „Choroba"→„Niedostępny" + migracja danych; hashowanie haseł (bcrypt); strony klauzuli i rejestru czynności w aplikacji.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Rotacja klucza serwisowego (Supabase) + potwierdzenie regionu UE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Eksport danych aktora (JSON) i anonimizacja/usunięcie (prawa podmiotów)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Czyszczenie retencyjne (zadanie cykliczne) po ustaleniu okresów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Ostrzeżenie w UI przy polu „notatka" („bez danych o zdrowiu")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Pre-prod checklist: tryb testowy off, dane demo wyczyszczone</w:t>
      </w:r>
    </w:p>
    <w:p>
      <w:pPr>
        <w:spacing w:after="120"/>
      </w:pP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Rekomendowana kolejność: dane o zdrowiu → hasła/rotacja → subprocesorzy/region → dokumenty dla prawnika → retencja/prawa.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A141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2026-07-05T21:53:18.901Z</dcterms:created>
  <dcterms:modified xsi:type="dcterms:W3CDTF">2026-07-05T21:53:18.901Z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