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44"/>
          <w:szCs w:val="44"/>
        </w:rPr>
        <w:t xml:space="preserve">Plan gotowości RODO</w:t>
      </w:r>
    </w:p>
    <w:p>
      <w:pPr>
        <w:spacing w:after="40"/>
      </w:pPr>
      <w:r>
        <w:rPr>
          <w:color w:val="555555"/>
          <w:sz w:val="26"/>
          <w:szCs w:val="26"/>
        </w:rPr>
        <w:t xml:space="preserve">Aplikacja repertuarowa teatru (theater-scheduler)</w:t>
      </w:r>
    </w:p>
    <w:p>
      <w:pPr>
        <w:spacing w:after="200"/>
      </w:pPr>
      <w:r>
        <w:rPr>
          <w:color w:val="888888"/>
          <w:sz w:val="18"/>
          <w:szCs w:val="18"/>
        </w:rPr>
        <w:t xml:space="preserve">Dokument roboczy dla przeglądu prawnika / IOD · wersja 2026-07-06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0A800" w:sz="4"/>
              <w:left w:val="single" w:color="E0A800" w:sz="4"/>
              <w:bottom w:val="single" w:color="E0A800" w:sz="4"/>
              <w:right w:val="single" w:color="E0A800" w:sz="4"/>
            </w:tcBorders>
            <w:shd w:fill="FFF8E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8"/>
                <w:szCs w:val="18"/>
              </w:rPr>
              <w:t xml:space="preserve">Uwaga: to nie jest opinia prawna. Dokument porządkuje techniczne i organizacyjne aspekty przetwarzania danych, aby przegląd prawnika/IOD przebiegł sprawnie. Ostateczną ocenę zgodności wydaje prawnik/IOD. Pola w [nawiasach] uzupełnia administrator (teatr).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Administrator danych (Teatr Dramatyczny)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Administrator: </w:t>
      </w:r>
      <w:r>
        <w:t xml:space="preserve">Teatr Dramatyczny im. Gustawa Holoubka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Siedziba: </w:t>
      </w:r>
      <w:r>
        <w:t xml:space="preserve">Pałac Kultury i Nauki, pl. Defilad 1, 00-901 Warszawa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NIP: </w:t>
      </w:r>
      <w:r>
        <w:t xml:space="preserve">525-25-44-475</w:t>
      </w:r>
      <w:r>
        <w:t xml:space="preserve">   ·   </w:t>
      </w:r>
      <w:r>
        <w:rPr>
          <w:b/>
          <w:bCs/>
        </w:rPr>
        <w:t xml:space="preserve">REGON: </w:t>
      </w:r>
      <w:r>
        <w:t xml:space="preserve">146463327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Rejestr: </w:t>
      </w:r>
      <w:r>
        <w:t xml:space="preserve">RIA/1/2013 — Rejestr Instytucji Kultury m.st. Warszawy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Kontakt: </w:t>
      </w:r>
      <w:r>
        <w:t xml:space="preserve">kontakt@teatrdramatyczny.pl · tel. 721 223 372 (Biuro Obsługi Widzów)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Inspektor Ochrony Danych (IOD): </w:t>
      </w:r>
      <w:r>
        <w:t xml:space="preserve">iod@teatrdramatyczny.pl</w:t>
      </w:r>
    </w:p>
    <w:p>
      <w:pPr>
        <w:spacing w:after="120"/>
      </w:pPr>
      <w:r>
        <w:rPr>
          <w:i/>
          <w:iCs/>
          <w:color w:val="777777"/>
          <w:sz w:val="17"/>
          <w:szCs w:val="17"/>
        </w:rPr>
        <w:t xml:space="preserve">Źródło: teatrdramatyczny.pl/kontakt oraz /rodo (stan 2026-07-06). Administrator w swojej polityce deklaruje brak przekazywania danych poza EOG — patrz §4.</w:t>
      </w:r>
    </w:p>
    <w:p>
      <w:pPr>
        <w:spacing w:after="120"/>
      </w:pPr>
    </w:p>
    <w:p>
      <w:pPr>
        <w:pStyle w:val="Heading2"/>
      </w:pPr>
      <w:r>
        <w:t xml:space="preserve">Status wdrożenia (na 2026-07-05)</w:t>
      </w:r>
    </w:p>
    <w:p>
      <w:pPr>
        <w:spacing w:after="120"/>
      </w:pPr>
      <w:r>
        <w:rPr>
          <w:b/>
          <w:bCs/>
        </w:rPr>
        <w:t xml:space="preserve">Już wdrożone w aplikacji: </w:t>
      </w:r>
      <w:r>
        <w:t xml:space="preserve">(1) usunięcie danych o zdrowiu — status „Choroba" scalony do „Niedostępny" wraz z migracją istniejących danych; (2) hashowanie haseł organizacji (bcrypt); (3) klauzula informacyjna i rejestr czynności dostępne w aplikacji (stopka).</w:t>
      </w:r>
    </w:p>
    <w:p>
      <w:pPr>
        <w:spacing w:after="120"/>
      </w:pPr>
      <w:r>
        <w:rPr>
          <w:b/>
          <w:bCs/>
        </w:rPr>
        <w:t xml:space="preserve">Do domknięcia (organizacyjne/prawne): </w:t>
      </w:r>
      <w:r>
        <w:t xml:space="preserve">umowa powierzenia (art. 28), lista subprocesorów + ich zabezpieczenia transferu, region bazy = UE, rotacja klucza serwisowego, polityka retencji i obsługa praw podmiotów.</w:t>
      </w:r>
    </w:p>
    <w:p>
      <w:pPr>
        <w:spacing w:after="120"/>
      </w:pPr>
    </w:p>
    <w:p>
      <w:pPr>
        <w:pStyle w:val="Heading1"/>
      </w:pPr>
      <w:r>
        <w:t xml:space="preserve">0. Role i model przetwarzania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Administrator (controller): </w:t>
      </w:r>
      <w:r>
        <w:t xml:space="preserve">teatr / organizacja — decyduje o celach i środkach przetwarzania danych aktorów/pracowników.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Podmiot przetwarzający (processor): </w:t>
      </w:r>
      <w:r>
        <w:t xml:space="preserve">dostawca aplikacji — przetwarza dane w imieniu teatru.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Konsekwencja: </w:t>
      </w:r>
      <w:r>
        <w:t xml:space="preserve">wymagana umowa powierzenia przetwarzania (art. 28 RODO) teatr ↔ dostawca. To najważniejszy dokument dla prawnika; reszta planu dostarcza do niej materiał.</w:t>
      </w:r>
    </w:p>
    <w:p>
      <w:pPr>
        <w:spacing w:after="120"/>
      </w:pPr>
    </w:p>
    <w:p>
      <w:pPr>
        <w:pStyle w:val="Heading1"/>
      </w:pPr>
      <w:r>
        <w:t xml:space="preserve">1. Mapa danych osobowych (RoPA — art. 30)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1800"/>
        <w:gridCol w:w="24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Kategoria danych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Gdzie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Wrażliwość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Uwaga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Imię i nazwisko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artists.name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zwykłe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E-mail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artists.email, app_settings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zwykłe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umowa / uzasadniony interes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Telefon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artists.phone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zwykłe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 SMS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Data urodzenia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artists.birth_date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zwykłe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minimalizacja: rok vs pełna data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Wizerunek (zdjęcie)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artists.avatar_url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zwykłe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prawa autorskie + źródło (§7)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Dostępność w dniu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actor_day_status.status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zwykłe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BEZ przyczyny — tylko „Niedostępny"/„Urlop"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Notatka do dnia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actor_day_status.note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potencjalnie szczególna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pole swobodne — ostrzec „bez danych o zdrowiu"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Obsada / zaangażowanie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artist_productions, event_artists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zwykłe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dane kontraktowe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Treść komunikacji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actor_messages, notification_deliveries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zwykłe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Hasła organizacji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organizations.*_password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poufne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zahashowane (bcrypt)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Tokeny Google OAuth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google_accounts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poufne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dostęp do konta Google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Dane o zdrowiu (art. 9) — status „Choroba"</w:t>
      </w:r>
    </w:p>
    <w:p>
      <w:pPr>
        <w:spacing w:after="120"/>
      </w:pPr>
      <w:r>
        <w:t xml:space="preserve">Najczęstszy powód wstrzymania projektu. Rozwiązanie wdrożone: aplikacja nie rozróżnia przyczyny nieobecności — jeden status „Niedostępny" zamiast „Choroba". Istniejące dane zostały zmigrowane, a pola wyboru „Choroba" usunięte z interfejsu.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Pozostaje: </w:t>
      </w:r>
      <w:r>
        <w:t xml:space="preserve">pole swobodne „notatka" może zawierać dane szczególne — zalecane ostrzeżenie w UI („nie wpisuj danych o zdrowiu") lub ograniczenie pola.</w:t>
      </w:r>
    </w:p>
    <w:p>
      <w:pPr>
        <w:spacing w:after="120"/>
      </w:pPr>
    </w:p>
    <w:p>
      <w:pPr>
        <w:pStyle w:val="Heading1"/>
      </w:pPr>
      <w:r>
        <w:t xml:space="preserve">3. Bezpieczeństwo dostępu (art. 32)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Hasła: </w:t>
      </w:r>
      <w:r>
        <w:t xml:space="preserve">przechowywane jako skróty bcrypt (wdrożone). Docelowo warto rozważyć konta imienne (rozliczalność).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Klucz serwisowy: </w:t>
      </w:r>
      <w:r>
        <w:t xml:space="preserve">zalecana rotacja (był udostępniany w trakcie prac).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Izolacja danych: </w:t>
      </w:r>
      <w:r>
        <w:t xml:space="preserve">RLS „deny-by-default" + serwerowy proxy z izolacją per organizacja (privacy by design — mocny argument).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Przed produkcją: </w:t>
      </w:r>
      <w:r>
        <w:t xml:space="preserve">wyłączyć tryb testowy komunikacji i wyczyścić dane demonstracyjne.</w:t>
      </w:r>
    </w:p>
    <w:p>
      <w:pPr>
        <w:spacing w:after="120"/>
      </w:pPr>
    </w:p>
    <w:p>
      <w:pPr>
        <w:pStyle w:val="Heading1"/>
      </w:pPr>
      <w:r>
        <w:t xml:space="preserve">4. Subprocesorzy i transfery poza EOG</w:t>
      </w:r>
    </w:p>
    <w:p>
      <w:pPr>
        <w:spacing w:after="120"/>
      </w:pPr>
      <w:r>
        <w:t xml:space="preserve">Każdy zewnętrzny dostawca = subprocesor (zgoda administratora + umowa powierzenia + zabezpieczenia transferu).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Usługa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Rola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Lokalizacja / transfer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Hosting bazy + pliki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Przechowywanie danych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sprawdzić region — zalecane UE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Hosting aplikacji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Uruchamianie aplikacji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UE / SCC / DPF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Dostawca e-mail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Wysyłka powiadomień e-mail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SCC / DPF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Dostawca SMS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Wysyłka powiadomień SMS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 (EOG) — plus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Dostawca AI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Propozycje układu repertuaru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SCC / DPF / zero-retention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Kalendarz (opcjonalnie)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Eksport wydarzeń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DPF</w:t>
            </w:r>
          </w:p>
        </w:tc>
      </w:tr>
    </w:tbl>
    <w:p>
      <w:pPr>
        <w:spacing w:after="120"/>
      </w:pPr>
      <w:r>
        <w:rPr>
          <w:b/>
          <w:bCs/>
        </w:rPr>
        <w:t xml:space="preserve">Do zrobienia: </w:t>
      </w:r>
      <w:r>
        <w:t xml:space="preserve">potwierdzić region bazy = UE; zebrać DPA/SCC każdego dostawcy; sporządzić listę subprocesorów jako załącznik do umowy powierzenia; dla dostawcy AI potwierdzić brak retencji/treningu.</w:t>
      </w:r>
    </w:p>
    <w:p>
      <w:pPr>
        <w:spacing w:after="120"/>
      </w:pPr>
      <w:r>
        <w:rPr>
          <w:b/>
          <w:bCs/>
        </w:rPr>
        <w:t xml:space="preserve">Uwaga (Teatr Dramatyczny): </w:t>
      </w:r>
      <w:r>
        <w:t xml:space="preserve">administrator w swojej polityce prywatności deklaruje brak przekazywania danych poza EOG. Dobór dostawców usług dla tej aplikacji musi to zapewniać (regiony UE) albo klauzula informacyjna/umowa muszą tę kwestię jawnie uregulować.</w:t>
      </w:r>
    </w:p>
    <w:p>
      <w:pPr>
        <w:spacing w:after="120"/>
      </w:pPr>
    </w:p>
    <w:p>
      <w:pPr>
        <w:pStyle w:val="Heading1"/>
      </w:pPr>
      <w:r>
        <w:t xml:space="preserve">5. Minimalizacja, retencja, prawa podmiotów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Minimalizacja: </w:t>
      </w:r>
      <w:r>
        <w:t xml:space="preserve">data urodzenia (rok vs pełna), telefon/e-mail tylko gdy potrzebne, notatki swobodne.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Retencja: </w:t>
      </w:r>
      <w:r>
        <w:t xml:space="preserve">zdefiniować okresy + mechanizm usuwania (dziś dane rosną bez limitu).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Prawa podmiotów (art. 15–20): </w:t>
      </w:r>
      <w:r>
        <w:t xml:space="preserve">dostęp, sprostowanie, usunięcie, przenoszenie — proces + funkcje eksportu i anonimizacji.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Klauzula informacyjna (art. 13): </w:t>
      </w:r>
      <w:r>
        <w:t xml:space="preserve">dostępna w aplikacji — do uzupełnienia danymi administratora/IOD.</w:t>
      </w:r>
    </w:p>
    <w:p>
      <w:pPr>
        <w:spacing w:after="120"/>
      </w:pPr>
    </w:p>
    <w:p>
      <w:pPr>
        <w:pStyle w:val="Heading1"/>
      </w:pPr>
      <w:r>
        <w:t xml:space="preserve">6. DPIA i naruszenia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DPIA (art. 35): </w:t>
      </w:r>
      <w:r>
        <w:t xml:space="preserve">po usunięciu danych o zdrowiu ryzyko maleje; lekka ocena skutków zalecana przy systematycznym monitorowaniu dostępności.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Naruszenia (art. 33/34): </w:t>
      </w:r>
      <w:r>
        <w:t xml:space="preserve">procedura zgłaszania (processor informuje administratora niezwłocznie) — do opisania w umowie powierzenia.</w:t>
      </w:r>
    </w:p>
    <w:p>
      <w:pPr>
        <w:spacing w:after="120"/>
      </w:pPr>
    </w:p>
    <w:p>
      <w:pPr>
        <w:pStyle w:val="Heading1"/>
      </w:pPr>
      <w:r>
        <w:t xml:space="preserve">7. Dane demonstracyjne i źródło danych</w:t>
      </w:r>
    </w:p>
    <w:p>
      <w:pPr>
        <w:spacing w:after="120"/>
      </w:pPr>
      <w:r>
        <w:t xml:space="preserve">Dane aktorów w wersji demonstracyjnej pochodzą z publicznej strony teatru (nazwiska, zdjęcia, roczniki) na potrzeby prezentacji dla dyrekcji. Przed produkcją: potwierdzić podstawę z administratorem, uregulować prawa do zdjęć (lub je usunąć), wyczyścić przykładowe kontakty, wyłączyć tryb testowy.</w:t>
      </w:r>
    </w:p>
    <w:p>
      <w:pPr>
        <w:spacing w:after="120"/>
      </w:pPr>
    </w:p>
    <w:p>
      <w:pPr>
        <w:pStyle w:val="Heading1"/>
      </w:pPr>
      <w:r>
        <w:t xml:space="preserve">8. Cookies i komunikacja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Cookie: </w:t>
      </w:r>
      <w:r>
        <w:t xml:space="preserve">wyłącznie techniczny (sesja, httpOnly) — niezbędny; wspomnieć w klauzuli. Brak trackerów third-party.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Komunikacja: </w:t>
      </w:r>
      <w:r>
        <w:t xml:space="preserve">powiadomienia służbowe — umowa/uzasadniony interes; treści marketingowe wymagałyby zgody.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9. Pakiet do przekazania prawnikowi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Mapa danych / RoPA (§1) — dostępna w aplikacji + w tym dokumencie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Lista subprocesorów + ich DPA/SCC/DPF (§4)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Opis zabezpieczeń (izolacja org, szyfrowanie, hasła bcrypt)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Klauzula informacyjna (art. 13) — do uzupełnienia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Umowa powierzenia (art. 28) — do sporządzenia przez prawnika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Polityka retencji + procedura praw podmiotów (§5)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Decyzja ws. pola „notatka" + ewentualne DPIA (§2, §6)</w:t>
      </w:r>
    </w:p>
    <w:p>
      <w:pPr>
        <w:spacing w:after="120"/>
      </w:pPr>
    </w:p>
    <w:p>
      <w:pPr>
        <w:pStyle w:val="Heading1"/>
      </w:pPr>
      <w:r>
        <w:t xml:space="preserve">10. Działania techniczne (status / do zrobienia)</w:t>
      </w:r>
    </w:p>
    <w:p>
      <w:pPr>
        <w:spacing w:after="120"/>
      </w:pPr>
      <w:r>
        <w:rPr>
          <w:b/>
          <w:bCs/>
        </w:rPr>
        <w:t xml:space="preserve">Zrobione: </w:t>
      </w:r>
      <w:r>
        <w:t xml:space="preserve">scalenie „Choroba"→„Niedostępny" + migracja danych; hashowanie haseł (bcrypt); strony klauzuli i rejestru czynności w aplikacji.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Rotacja klucza serwisowego (Supabase) + potwierdzenie regionu UE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Eksport danych aktora (JSON) i anonimizacja/usunięcie (prawa podmiotów)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Czyszczenie retencyjne (zadanie cykliczne) po ustaleniu okresów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Ostrzeżenie w UI przy polu „notatka" („bez danych o zdrowiu")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Pre-prod checklist: tryb testowy off, dane demo wyczyszczone</w:t>
      </w:r>
    </w:p>
    <w:p>
      <w:pPr>
        <w:spacing w:after="120"/>
      </w:pPr>
    </w:p>
    <w:p>
      <w:pPr>
        <w:spacing w:after="120"/>
      </w:pPr>
      <w:r>
        <w:rPr>
          <w:i/>
          <w:iCs/>
          <w:color w:val="555555"/>
          <w:sz w:val="18"/>
          <w:szCs w:val="18"/>
        </w:rPr>
        <w:t xml:space="preserve">Rekomendowana kolejność: dane o zdrowiu → hasła/rotacja → subprocesorzy/region → dokumenty dla prawnika → retencja/prawa.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Arial" w:cs="Arial" w:eastAsia="Arial" w:hAnsi="Arial"/>
      <w:b/>
      <w:bCs/>
      <w:color w:val="1A141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2026-07-05T22:21:26.553Z</dcterms:created>
  <dcterms:modified xsi:type="dcterms:W3CDTF">2026-07-05T22:21:26.554Z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