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030A2" w14:textId="77777777" w:rsidR="00BA306A" w:rsidRDefault="00D546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0"/>
          <w:sz w:val="48"/>
          <w:szCs w:val="48"/>
          <w14:ligatures w14:val="none"/>
        </w:rPr>
      </w:pPr>
      <w:r>
        <w:rPr>
          <w:rFonts w:eastAsia="Times New Roman" w:cs="Times New Roman"/>
          <w:b/>
          <w:bCs/>
          <w:kern w:val="0"/>
          <w:sz w:val="48"/>
          <w:szCs w:val="48"/>
          <w14:ligatures w14:val="none"/>
        </w:rPr>
        <w:t>Zadání: MDT Copilot – Asistovaná interpretace pro multidisciplinární onkologické konzilium</w:t>
      </w:r>
    </w:p>
    <w:p w14:paraId="2D067EB6" w14:textId="77777777" w:rsidR="00BA306A" w:rsidRDefault="00D546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Kontext a výzva</w:t>
      </w:r>
    </w:p>
    <w:p w14:paraId="6D37C702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Multidisciplinární onkologický tým (MDT / indikační onkologická komise) se skládá z několika specialistů: klinického onkologa, chirurga, radiačního onkologa, radiologa a patologa. Na projednání jednoho pacienta mají často jen </w:t>
      </w:r>
      <w:r>
        <w:rPr>
          <w:rFonts w:eastAsia="Times New Roman" w:cs="Times New Roman"/>
          <w:b/>
          <w:bCs/>
          <w:kern w:val="0"/>
          <w14:ligatures w14:val="none"/>
        </w:rPr>
        <w:t>3 až 5 minut</w:t>
      </w:r>
      <w:r>
        <w:rPr>
          <w:rFonts w:eastAsia="Times New Roman" w:cs="Times New Roman"/>
          <w:kern w:val="0"/>
          <w14:ligatures w14:val="none"/>
        </w:rPr>
        <w:t>.</w:t>
      </w:r>
    </w:p>
    <w:p w14:paraId="0FDA8F17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V současnosti lékaři ztrácejí čas ručním dohledáváním informací v nestrukturovaných nálezech v eZdraví a často nemají propojená data o tom, jak se pacient skutečně cítí (data z dotazníku).</w:t>
      </w:r>
    </w:p>
    <w:p w14:paraId="4EB02678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Cíl hackathonu:</w:t>
      </w:r>
      <w:r>
        <w:rPr>
          <w:rFonts w:eastAsia="Times New Roman" w:cs="Times New Roman"/>
          <w:kern w:val="0"/>
          <w14:ligatures w14:val="none"/>
        </w:rPr>
        <w:t xml:space="preserve"> Vytvořit funkční prototyp webové aplikace, která s pomocí AI zkonsoliduje data pacienta a vygeneruje </w:t>
      </w:r>
      <w:r>
        <w:rPr>
          <w:rFonts w:eastAsia="Times New Roman" w:cs="Times New Roman"/>
          <w:b/>
          <w:bCs/>
          <w:kern w:val="0"/>
          <w14:ligatures w14:val="none"/>
        </w:rPr>
        <w:t>modulární, konfigurovatelný podklad pro zasedání MDT</w:t>
      </w:r>
      <w:r>
        <w:rPr>
          <w:rFonts w:eastAsia="Times New Roman" w:cs="Times New Roman"/>
          <w:kern w:val="0"/>
          <w14:ligatures w14:val="none"/>
        </w:rPr>
        <w:t>, který zároveň slouží jako oficiální záznam se zapsaným konečným verdiktem komise.</w:t>
      </w:r>
    </w:p>
    <w:p w14:paraId="56C09D83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Princip MDT, ze kterého musí řešení vycházet:</w:t>
      </w:r>
      <w:r>
        <w:rPr>
          <w:rFonts w:eastAsia="Times New Roman" w:cs="Times New Roman"/>
          <w:kern w:val="0"/>
          <w14:ligatures w14:val="none"/>
        </w:rPr>
        <w:t xml:space="preserve"> MDT není jen samotné zasedání, ale uzavřený proces ve třech fázích. MDT Copilot má podpořit všechny tři, nejen přípravu podkladu:</w:t>
      </w:r>
    </w:p>
    <w:p w14:paraId="36679537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Před zasedáním (příprava):</w:t>
      </w:r>
      <w:r>
        <w:rPr>
          <w:rFonts w:eastAsia="Times New Roman" w:cs="Times New Roman"/>
          <w:kern w:val="0"/>
          <w14:ligatures w14:val="none"/>
        </w:rPr>
        <w:t xml:space="preserve"> nominace pacienta ošetřujícím lékařem s </w:t>
      </w:r>
      <w:r>
        <w:rPr>
          <w:rFonts w:eastAsia="Times New Roman" w:cs="Times New Roman"/>
          <w:b/>
          <w:bCs/>
          <w:kern w:val="0"/>
          <w14:ligatures w14:val="none"/>
        </w:rPr>
        <w:t>konkrétní otázkou pro komisi</w:t>
      </w:r>
      <w:r>
        <w:rPr>
          <w:rFonts w:eastAsia="Times New Roman" w:cs="Times New Roman"/>
          <w:kern w:val="0"/>
          <w14:ligatures w14:val="none"/>
        </w:rPr>
        <w:t>, kontrola úplnosti podkladů (histologie, aktuální staging, biomarkery, PROMs), sestavení programu zasedání.</w:t>
      </w:r>
    </w:p>
    <w:p w14:paraId="3ED424AA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Během zasedání (diskuse a rozhodnutí):</w:t>
      </w:r>
      <w:r>
        <w:rPr>
          <w:rFonts w:eastAsia="Times New Roman" w:cs="Times New Roman"/>
          <w:kern w:val="0"/>
          <w14:ligatures w14:val="none"/>
        </w:rPr>
        <w:t xml:space="preserve"> rychlá společná orientace, pohledy jednotlivých odborností, zvážení možností léčby ve vztahu k doporučeným postupům (guidelines), dostupným klinickým studiím a </w:t>
      </w:r>
      <w:r>
        <w:rPr>
          <w:rFonts w:eastAsia="Times New Roman" w:cs="Times New Roman"/>
          <w:b/>
          <w:bCs/>
          <w:kern w:val="0"/>
          <w14:ligatures w14:val="none"/>
        </w:rPr>
        <w:t>preferencím pacienta</w:t>
      </w:r>
      <w:r>
        <w:rPr>
          <w:rFonts w:eastAsia="Times New Roman" w:cs="Times New Roman"/>
          <w:kern w:val="0"/>
          <w14:ligatures w14:val="none"/>
        </w:rPr>
        <w:t>, zápis rozhodnutí se zdůvodněním.</w:t>
      </w:r>
    </w:p>
    <w:p w14:paraId="6B8F64BF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Po zasedání (realizace a sledování):</w:t>
      </w:r>
      <w:r>
        <w:rPr>
          <w:rFonts w:eastAsia="Times New Roman" w:cs="Times New Roman"/>
          <w:kern w:val="0"/>
          <w14:ligatures w14:val="none"/>
        </w:rPr>
        <w:t xml:space="preserve"> komunikace závěru pacientovi a ošetřujícím lékařům, přidělení úkolů s odpovědností a termínem, kontrola realizace a plánovaná re-evaluace.</w:t>
      </w:r>
    </w:p>
    <w:p w14:paraId="7718EF2A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Základní pravidlo pro AI:</w:t>
      </w:r>
      <w:r>
        <w:rPr>
          <w:rFonts w:eastAsia="Times New Roman" w:cs="Times New Roman"/>
          <w:kern w:val="0"/>
          <w14:ligatures w14:val="none"/>
        </w:rPr>
        <w:t xml:space="preserve"> AI připravuje, sumarizuje, upozorňuje a navrhuje – </w:t>
      </w:r>
      <w:r>
        <w:rPr>
          <w:rFonts w:eastAsia="Times New Roman" w:cs="Times New Roman"/>
          <w:b/>
          <w:bCs/>
          <w:kern w:val="0"/>
          <w14:ligatures w14:val="none"/>
        </w:rPr>
        <w:t>rozhodnutí vždy přijímá komise</w:t>
      </w:r>
      <w:r>
        <w:rPr>
          <w:rFonts w:eastAsia="Times New Roman" w:cs="Times New Roman"/>
          <w:kern w:val="0"/>
          <w14:ligatures w14:val="none"/>
        </w:rPr>
        <w:t xml:space="preserve"> (princip </w:t>
      </w:r>
      <w:r>
        <w:rPr>
          <w:rFonts w:eastAsia="Times New Roman" w:cs="Times New Roman"/>
          <w:i/>
          <w:iCs/>
          <w:kern w:val="0"/>
          <w14:ligatures w14:val="none"/>
        </w:rPr>
        <w:t>human-in-the-loop</w:t>
      </w:r>
      <w:r>
        <w:rPr>
          <w:rFonts w:eastAsia="Times New Roman" w:cs="Times New Roman"/>
          <w:kern w:val="0"/>
          <w14:ligatures w14:val="none"/>
        </w:rPr>
        <w:t>). Každý výstup AI musí být vizuálně odlišen od obsahu potvrzeného lékařem.</w:t>
      </w:r>
    </w:p>
    <w:p w14:paraId="129C2129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Rozsah zadání:</w:t>
      </w:r>
      <w:r>
        <w:rPr>
          <w:rFonts w:eastAsia="Times New Roman" w:cs="Times New Roman"/>
          <w:kern w:val="0"/>
          <w14:ligatures w14:val="none"/>
        </w:rPr>
        <w:t xml:space="preserve"> Všechny položky bez označení tvoří </w:t>
      </w:r>
      <w:r>
        <w:rPr>
          <w:rFonts w:eastAsia="Times New Roman" w:cs="Times New Roman"/>
          <w:b/>
          <w:bCs/>
          <w:kern w:val="0"/>
          <w14:ligatures w14:val="none"/>
        </w:rPr>
        <w:t>povinné minimum</w:t>
      </w:r>
      <w:r>
        <w:rPr>
          <w:rFonts w:eastAsia="Times New Roman" w:cs="Times New Roman"/>
          <w:kern w:val="0"/>
          <w14:ligatures w14:val="none"/>
        </w:rPr>
        <w:t xml:space="preserve">. Položky označené </w:t>
      </w: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kern w:val="0"/>
          <w14:ligatures w14:val="none"/>
        </w:rPr>
        <w:t>jsou nepovinná rozšíření – přinášejí body navíc, ale jejich absence není chybou.</w:t>
      </w:r>
    </w:p>
    <w:p w14:paraId="0AB0E1F6" w14:textId="77777777" w:rsidR="00BA306A" w:rsidRDefault="00D546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Architektura výstupního reportu</w:t>
      </w:r>
    </w:p>
    <w:p w14:paraId="3ED95975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Výstupní dokument vygenerovaný AI musí respektovat následující logickou strukturu (předpokládá se, že návrh výstupu připomínkují onkologové zapojení do hackathonu):</w:t>
      </w:r>
    </w:p>
    <w:p w14:paraId="3349B519" w14:textId="77777777" w:rsidR="00BA306A" w:rsidRDefault="00D546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A. Společný úvod (MDT Executive Summary)</w:t>
      </w:r>
    </w:p>
    <w:p w14:paraId="2DB54086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Pro koho:</w:t>
      </w:r>
      <w:r>
        <w:rPr>
          <w:rFonts w:eastAsia="Times New Roman" w:cs="Times New Roman"/>
          <w:kern w:val="0"/>
          <w14:ligatures w14:val="none"/>
        </w:rPr>
        <w:t xml:space="preserve"> Pro všechny členy komise k rychlé orientaci během 30 sekund.</w:t>
      </w:r>
    </w:p>
    <w:p w14:paraId="1D791040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Obsah:</w:t>
      </w:r>
      <w:r>
        <w:rPr>
          <w:rFonts w:eastAsia="Times New Roman" w:cs="Times New Roman"/>
          <w:kern w:val="0"/>
          <w14:ligatures w14:val="none"/>
        </w:rPr>
        <w:t xml:space="preserve"> Identifikace případu, hlavní onkologická diagnóza, aktuální klinický stav (ECOG / performance status – hodnocený lékařem a souběžně uváděný pacientem; výrazný rozdíl je automaticky red flag), hlavní důvod zařazení na MDT (např. </w:t>
      </w:r>
      <w:r>
        <w:rPr>
          <w:rFonts w:eastAsia="Times New Roman" w:cs="Times New Roman"/>
          <w:i/>
          <w:iCs/>
          <w:kern w:val="0"/>
          <w14:ligatures w14:val="none"/>
        </w:rPr>
        <w:t>„Progrese po 1. linii léčby – otázka resekability versus změna systémové terapie“</w:t>
      </w:r>
      <w:r>
        <w:rPr>
          <w:rFonts w:eastAsia="Times New Roman" w:cs="Times New Roman"/>
          <w:kern w:val="0"/>
          <w14:ligatures w14:val="none"/>
        </w:rPr>
        <w:t>).</w:t>
      </w:r>
    </w:p>
    <w:p w14:paraId="48712A3C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Otázka pro MDT:</w:t>
      </w:r>
      <w:r>
        <w:rPr>
          <w:rFonts w:eastAsia="Times New Roman" w:cs="Times New Roman"/>
          <w:kern w:val="0"/>
          <w14:ligatures w14:val="none"/>
        </w:rPr>
        <w:t xml:space="preserve"> strukturovaná otázka zadaná navrhujícím lékařem při nominaci. AI ji může zpřesnit, nesmí si ji však domýšlet – pokud otázka chybí, případ se označí jako neúplný.</w:t>
      </w:r>
    </w:p>
    <w:p w14:paraId="386E2879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Časová osa onemocnění (Clinical Timeline):</w:t>
      </w:r>
      <w:r>
        <w:rPr>
          <w:rFonts w:eastAsia="Times New Roman" w:cs="Times New Roman"/>
          <w:kern w:val="0"/>
          <w14:ligatures w14:val="none"/>
        </w:rPr>
        <w:t xml:space="preserve"> AI generovaná kompaktní osa – datum diagnózy, staging, operace, linie systémové léčby a radioterapie, klíčová zobrazovací vyšetření, progrese, předchozí závěry MDT.</w:t>
      </w:r>
    </w:p>
    <w:p w14:paraId="75137A47" w14:textId="77777777" w:rsidR="00BA306A" w:rsidRDefault="00D546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Stav připravenosti případu (Case Readiness):</w:t>
      </w:r>
      <w:r>
        <w:rPr>
          <w:rFonts w:eastAsia="Times New Roman" w:cs="Times New Roman"/>
          <w:kern w:val="0"/>
          <w14:ligatures w14:val="none"/>
        </w:rPr>
        <w:t xml:space="preserve"> semafor úplnosti podkladů podle šablony pro daný typ nádoru (např. chybí histologie, staging starší než 6 týdnů, nevyšetřené povinné biomarkery). Neúplný případ AI doporučí vrátit k doplnění nebo přesunout.</w:t>
      </w:r>
    </w:p>
    <w:p w14:paraId="0746EB36" w14:textId="77777777" w:rsidR="00BA306A" w:rsidRDefault="00D546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B. Specializované sekce podle odborností (pohledy podle rolí)</w:t>
      </w:r>
    </w:p>
    <w:p w14:paraId="46BA1C02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Každá sekce filtruje a interpretuje data podle potřeb daného specialisty. Povinně musí být zpracovány </w:t>
      </w:r>
      <w:r>
        <w:rPr>
          <w:rFonts w:eastAsia="Times New Roman" w:cs="Times New Roman"/>
          <w:b/>
          <w:bCs/>
          <w:kern w:val="0"/>
          <w14:ligatures w14:val="none"/>
        </w:rPr>
        <w:t>alespoň 3 role</w:t>
      </w:r>
      <w:r>
        <w:rPr>
          <w:rFonts w:eastAsia="Times New Roman" w:cs="Times New Roman"/>
          <w:kern w:val="0"/>
          <w14:ligatures w14:val="none"/>
        </w:rPr>
        <w:t>; další jsou volitelné podle konfigurace.</w:t>
      </w:r>
    </w:p>
    <w:p w14:paraId="6CD144B4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Chirurgický pohled:</w:t>
      </w:r>
      <w:r>
        <w:rPr>
          <w:rFonts w:eastAsia="Times New Roman" w:cs="Times New Roman"/>
          <w:kern w:val="0"/>
          <w14:ligatures w14:val="none"/>
        </w:rPr>
        <w:t xml:space="preserve"> resekabilita, TNM staging, komorbidity pacienta ovlivňující operabilitu, předchozí chirurgické výkony, subjektivní kardiorespirační zdatnost z dotazníku.</w:t>
      </w:r>
    </w:p>
    <w:p w14:paraId="33458E46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Klinická onkologie &amp; farmakoterapie:</w:t>
      </w:r>
      <w:r>
        <w:rPr>
          <w:rFonts w:eastAsia="Times New Roman" w:cs="Times New Roman"/>
          <w:kern w:val="0"/>
          <w14:ligatures w14:val="none"/>
        </w:rPr>
        <w:t xml:space="preserve"> histologie a molekulární patologie (HER2, MSI, KRAS, PD-L1…), dosavadní linie chemoterapie/imunoterapie, toxicita a subjektivní nežádoucí účinky hlášené pacientem (PROMs).</w:t>
      </w:r>
    </w:p>
    <w:p w14:paraId="0E6FE807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Radiologie &amp; zobrazovací metody:</w:t>
      </w:r>
      <w:r>
        <w:rPr>
          <w:rFonts w:eastAsia="Times New Roman" w:cs="Times New Roman"/>
          <w:kern w:val="0"/>
          <w14:ligatures w14:val="none"/>
        </w:rPr>
        <w:t xml:space="preserve"> časová osa a porovnání CT/MRI/PET-CT vyšetření (kritéria RECIST – zmenšení vs. zvětšení lézí, přítomnost nových metastáz).</w:t>
      </w:r>
    </w:p>
    <w:p w14:paraId="76250ACA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kern w:val="0"/>
          <w14:ligatures w14:val="none"/>
        </w:rPr>
        <w:t>AI předvýpočet odpovědi podle RECIST 1.1 z textových popisů (součty cílových lézí) – výrazně označený jako orientační, k potvrzení radiologem.</w:t>
      </w:r>
    </w:p>
    <w:p w14:paraId="061BD4B5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Patologie:</w:t>
      </w:r>
      <w:r>
        <w:rPr>
          <w:rFonts w:eastAsia="Times New Roman" w:cs="Times New Roman"/>
          <w:kern w:val="0"/>
          <w14:ligatures w14:val="none"/>
        </w:rPr>
        <w:t xml:space="preserve"> klíčové bioptické nálezy, grading, histologický typ, případná potřeba dovyšetření dalších biomarkerů.</w:t>
      </w:r>
    </w:p>
    <w:p w14:paraId="74BBD7D4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lastRenderedPageBreak/>
        <w:t xml:space="preserve">BONUS </w:t>
      </w:r>
      <w:r>
        <w:rPr>
          <w:rFonts w:eastAsia="Times New Roman" w:cs="Times New Roman"/>
          <w:kern w:val="0"/>
          <w14:ligatures w14:val="none"/>
        </w:rPr>
        <w:t>AI návrh chybějících biomarkerů podle diagnózy a doporučených postupů (např. MSI/MMR u kolorektálního karcinomu, pokud není v dokumentaci).</w:t>
      </w:r>
    </w:p>
    <w:p w14:paraId="6553C312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Pacientský rozměr (PROMs / kvalita života):</w:t>
      </w:r>
      <w:r>
        <w:rPr>
          <w:rFonts w:eastAsia="Times New Roman" w:cs="Times New Roman"/>
          <w:kern w:val="0"/>
          <w14:ligatures w14:val="none"/>
        </w:rPr>
        <w:t xml:space="preserve"> shrnutí subjektivních obtíží z dotazníku (bolest, úbytek hmotnosti, psychický stav, socioekonomická podpora), </w:t>
      </w:r>
      <w:r>
        <w:rPr>
          <w:rFonts w:eastAsia="Times New Roman" w:cs="Times New Roman"/>
          <w:b/>
          <w:bCs/>
          <w:kern w:val="0"/>
          <w14:ligatures w14:val="none"/>
        </w:rPr>
        <w:t>cíle a preference pacienta</w:t>
      </w:r>
      <w:r>
        <w:rPr>
          <w:rFonts w:eastAsia="Times New Roman" w:cs="Times New Roman"/>
          <w:kern w:val="0"/>
          <w14:ligatures w14:val="none"/>
        </w:rPr>
        <w:t xml:space="preserve"> (např. upřednostnění kvality života před agresivní léčbou, postoj k operaci) a trend PROMs v čase.</w:t>
      </w:r>
    </w:p>
    <w:p w14:paraId="596F6879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Další role:</w:t>
      </w:r>
    </w:p>
    <w:p w14:paraId="2207C91E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Nukleární medicína:</w:t>
      </w:r>
      <w:r>
        <w:rPr>
          <w:rFonts w:eastAsia="Times New Roman" w:cs="Times New Roman"/>
          <w:kern w:val="0"/>
          <w14:ligatures w14:val="none"/>
        </w:rPr>
        <w:t xml:space="preserve"> výsledky PET-CT a scintigrafií (SUVmax, nová ložiska) – samostatně nebo jako součást radiologické sekce.</w:t>
      </w:r>
    </w:p>
    <w:p w14:paraId="1FBB519A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Paliativní a podpůrná péče:</w:t>
      </w:r>
      <w:r>
        <w:rPr>
          <w:rFonts w:eastAsia="Times New Roman" w:cs="Times New Roman"/>
          <w:kern w:val="0"/>
          <w14:ligatures w14:val="none"/>
        </w:rPr>
        <w:t xml:space="preserve"> kontrola symptomů (bolest, dušnost, nutriční stav), potřeba včasného zapojení paliativního týmu; AI upozorní na kombinaci zhoršeného PS, vysoké symptomové zátěže a progrese.</w:t>
      </w:r>
    </w:p>
    <w:p w14:paraId="70364248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Geriatrická onkologie / křehkost:</w:t>
      </w:r>
      <w:r>
        <w:rPr>
          <w:rFonts w:eastAsia="Times New Roman" w:cs="Times New Roman"/>
          <w:kern w:val="0"/>
          <w14:ligatures w14:val="none"/>
        </w:rPr>
        <w:t xml:space="preserve"> u starších pacientů výsledek screeningu křehkosti (např. G8), polypragmazie, sociální zázemí – vstup pro rozhodnutí o intenzitě léčby.</w:t>
      </w:r>
    </w:p>
    <w:p w14:paraId="6C99ACFB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Klinická genetika:</w:t>
      </w:r>
      <w:r>
        <w:rPr>
          <w:rFonts w:eastAsia="Times New Roman" w:cs="Times New Roman"/>
          <w:kern w:val="0"/>
          <w14:ligatures w14:val="none"/>
        </w:rPr>
        <w:t xml:space="preserve"> indikace genetického poradenství a testování zárodečných mutací (např. BRCA1/2, Lynchův syndrom) podle diagnózy, věku a rodinné anamnézy.</w:t>
      </w:r>
    </w:p>
    <w:p w14:paraId="5E8DF784" w14:textId="77777777" w:rsidR="00BA306A" w:rsidRDefault="00D546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Koordinátor / onkologická sestra (case manager):</w:t>
      </w:r>
      <w:r>
        <w:rPr>
          <w:rFonts w:eastAsia="Times New Roman" w:cs="Times New Roman"/>
          <w:kern w:val="0"/>
          <w14:ligatures w14:val="none"/>
        </w:rPr>
        <w:t xml:space="preserve"> logistika, termíny vyšetření, kontaktní osoba pro pacienta, stav realizace předchozích závěrů MDT.</w:t>
      </w:r>
    </w:p>
    <w:p w14:paraId="075D772C" w14:textId="77777777" w:rsidR="00BA306A" w:rsidRDefault="00D546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B2. AI podpora rozhodování (Decision Support Panel)</w:t>
      </w:r>
    </w:p>
    <w:p w14:paraId="27B17BE6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Samostatný panel, který je </w:t>
      </w:r>
      <w:r>
        <w:rPr>
          <w:rFonts w:eastAsia="Times New Roman" w:cs="Times New Roman"/>
          <w:b/>
          <w:bCs/>
          <w:kern w:val="0"/>
          <w14:ligatures w14:val="none"/>
        </w:rPr>
        <w:t>součástí povinného minima</w:t>
      </w:r>
      <w:r>
        <w:rPr>
          <w:rFonts w:eastAsia="Times New Roman" w:cs="Times New Roman"/>
          <w:kern w:val="0"/>
          <w14:ligatures w14:val="none"/>
        </w:rPr>
        <w:t xml:space="preserve">. AI </w:t>
      </w:r>
      <w:r>
        <w:rPr>
          <w:rFonts w:eastAsia="Times New Roman" w:cs="Times New Roman"/>
          <w:b/>
          <w:bCs/>
          <w:kern w:val="0"/>
          <w14:ligatures w14:val="none"/>
        </w:rPr>
        <w:t>nevybírá</w:t>
      </w:r>
      <w:r>
        <w:rPr>
          <w:rFonts w:eastAsia="Times New Roman" w:cs="Times New Roman"/>
          <w:kern w:val="0"/>
          <w14:ligatures w14:val="none"/>
        </w:rPr>
        <w:t xml:space="preserve"> léčbu – pouze strukturovaně předkládá podklady k diskusi, vždy s citací zdroje:</w:t>
      </w:r>
    </w:p>
    <w:p w14:paraId="5EEAE0C6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Možnosti léčby podle doporučených postupů:</w:t>
      </w:r>
      <w:r>
        <w:rPr>
          <w:rFonts w:eastAsia="Times New Roman" w:cs="Times New Roman"/>
          <w:kern w:val="0"/>
          <w14:ligatures w14:val="none"/>
        </w:rPr>
        <w:t xml:space="preserve"> AI na základě diagnózy, stadia, biomarkerů a předchozí léčby vyjmenuje relevantní možnosti z dodaných guidelines (např. ESMO / národní standardy) s odkazem na konkrétní pasáž (RAG nad dodanými dokumenty, nikoli znalosti modelu).</w:t>
      </w:r>
    </w:p>
    <w:p w14:paraId="73BDEAF0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Předběžný screening klinických studií:</w:t>
      </w:r>
      <w:r>
        <w:rPr>
          <w:rFonts w:eastAsia="Times New Roman" w:cs="Times New Roman"/>
          <w:kern w:val="0"/>
          <w14:ligatures w14:val="none"/>
        </w:rPr>
        <w:t xml:space="preserve"> porovnání profilu pacienta s kritérii zařazení/vyřazení otevřených studií; výstupem je seznam „potenciálně vhodný / nevhodný / chybí údaj“ s důvodem u každého kritéria.</w:t>
      </w:r>
    </w:p>
    <w:p w14:paraId="57EADF50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Klíčové otázky k diskusi:</w:t>
      </w:r>
      <w:r>
        <w:rPr>
          <w:rFonts w:eastAsia="Times New Roman" w:cs="Times New Roman"/>
          <w:kern w:val="0"/>
          <w14:ligatures w14:val="none"/>
        </w:rPr>
        <w:t xml:space="preserve"> AI navrhne 2–3 otázky, které je třeba na zasedání vyřešit (např. </w:t>
      </w:r>
      <w:r>
        <w:rPr>
          <w:rFonts w:eastAsia="Times New Roman" w:cs="Times New Roman"/>
          <w:i/>
          <w:iCs/>
          <w:kern w:val="0"/>
          <w14:ligatures w14:val="none"/>
        </w:rPr>
        <w:t>„Je před změnou linie nutná histologická verifikace nového ložiska v játrech?“</w:t>
      </w:r>
      <w:r>
        <w:rPr>
          <w:rFonts w:eastAsia="Times New Roman" w:cs="Times New Roman"/>
          <w:kern w:val="0"/>
          <w14:ligatures w14:val="none"/>
        </w:rPr>
        <w:t>).</w:t>
      </w:r>
    </w:p>
    <w:p w14:paraId="6885F014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Kontrola souladu s guidelines při zápisu závěru:</w:t>
      </w:r>
      <w:r>
        <w:rPr>
          <w:rFonts w:eastAsia="Times New Roman" w:cs="Times New Roman"/>
          <w:kern w:val="0"/>
          <w14:ligatures w14:val="none"/>
        </w:rPr>
        <w:t xml:space="preserve"> pokud se zapsaný závěr odchyluje od doporučených postupů, AI na to upozorní a vyžádá si krátké zdůvodnění (nejde o blokaci).</w:t>
      </w:r>
    </w:p>
    <w:p w14:paraId="75581E4E" w14:textId="77777777" w:rsidR="00BA306A" w:rsidRDefault="00D546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Podobné případy:</w:t>
      </w:r>
      <w:r>
        <w:rPr>
          <w:rFonts w:eastAsia="Times New Roman" w:cs="Times New Roman"/>
          <w:kern w:val="0"/>
          <w14:ligatures w14:val="none"/>
        </w:rPr>
        <w:t xml:space="preserve"> vyhledání anonymizovaných předchozích závěrů MDT s obdobnou konstelací – jako inspirace, nikoli jako doporučení.</w:t>
      </w:r>
    </w:p>
    <w:p w14:paraId="508F9DE1" w14:textId="77777777" w:rsidR="00BA306A" w:rsidRDefault="00D546C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C. Zápis a závěr ze zasedání MDT (MDT Resolution &amp; Action Plan)</w:t>
      </w:r>
    </w:p>
    <w:p w14:paraId="30A8B135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Možnost přímo během zasedání nebo na jeho konci </w:t>
      </w:r>
      <w:r>
        <w:rPr>
          <w:rFonts w:eastAsia="Times New Roman" w:cs="Times New Roman"/>
          <w:b/>
          <w:bCs/>
          <w:kern w:val="0"/>
          <w14:ligatures w14:val="none"/>
        </w:rPr>
        <w:t>zapsat a upravit konečné rozhodnutí komise</w:t>
      </w:r>
      <w:r>
        <w:rPr>
          <w:rFonts w:eastAsia="Times New Roman" w:cs="Times New Roman"/>
          <w:kern w:val="0"/>
          <w14:ligatures w14:val="none"/>
        </w:rPr>
        <w:t>.</w:t>
      </w:r>
    </w:p>
    <w:p w14:paraId="52A30A61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Doporučení dalšího postupu:</w:t>
      </w:r>
      <w:r>
        <w:rPr>
          <w:rFonts w:eastAsia="Times New Roman" w:cs="Times New Roman"/>
          <w:kern w:val="0"/>
          <w14:ligatures w14:val="none"/>
        </w:rPr>
        <w:t xml:space="preserve"> (např. </w:t>
      </w:r>
      <w:r>
        <w:rPr>
          <w:rFonts w:eastAsia="Times New Roman" w:cs="Times New Roman"/>
          <w:i/>
          <w:iCs/>
          <w:kern w:val="0"/>
          <w14:ligatures w14:val="none"/>
        </w:rPr>
        <w:t>„Indikována neoadjuvantní chemoterapie 4 cykly, následně kontrolní CT za 3 měsíce a re-evaluace na MDT“</w:t>
      </w:r>
      <w:r>
        <w:rPr>
          <w:rFonts w:eastAsia="Times New Roman" w:cs="Times New Roman"/>
          <w:kern w:val="0"/>
          <w14:ligatures w14:val="none"/>
        </w:rPr>
        <w:t>), včetně termínu re-evaluace.</w:t>
      </w:r>
    </w:p>
    <w:p w14:paraId="53D21A0E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Strukturovaný záznam rozhodnutí</w:t>
      </w:r>
      <w:r>
        <w:rPr>
          <w:rFonts w:eastAsia="Times New Roman" w:cs="Times New Roman"/>
          <w:kern w:val="0"/>
          <w14:ligatures w14:val="none"/>
        </w:rPr>
        <w:t xml:space="preserve"> (nejen volný text): přítomní členové a odbornosti (kvórum), zvažované možnosti, zvolený postup, </w:t>
      </w:r>
      <w:r>
        <w:rPr>
          <w:rFonts w:eastAsia="Times New Roman" w:cs="Times New Roman"/>
          <w:b/>
          <w:bCs/>
          <w:kern w:val="0"/>
          <w14:ligatures w14:val="none"/>
        </w:rPr>
        <w:t>zdůvodnění</w:t>
      </w:r>
      <w:r>
        <w:rPr>
          <w:rFonts w:eastAsia="Times New Roman" w:cs="Times New Roman"/>
          <w:kern w:val="0"/>
          <w14:ligatures w14:val="none"/>
        </w:rPr>
        <w:t>, soulad s doporučenými postupy (ano / ne + důvod odchylky), odlišná stanoviska členů, zařazení do klinické studie.</w:t>
      </w:r>
    </w:p>
    <w:p w14:paraId="3E3E7DBA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Export konečného podkladu spolu se závěrem (např. do PDF / zprávy HL7 FHIR) do zdravotní dokumentace.</w:t>
      </w:r>
    </w:p>
    <w:p w14:paraId="7E6A1EF6" w14:textId="77777777" w:rsidR="00BA306A" w:rsidRDefault="00D546C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Mapování exportu na FHIR R4 / mCODE:</w:t>
      </w:r>
      <w:r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i/>
          <w:iCs/>
          <w:kern w:val="0"/>
          <w14:ligatures w14:val="none"/>
        </w:rPr>
        <w:t>Condition</w:t>
      </w:r>
      <w:r>
        <w:rPr>
          <w:rFonts w:eastAsia="Times New Roman" w:cs="Times New Roman"/>
          <w:kern w:val="0"/>
          <w14:ligatures w14:val="none"/>
        </w:rPr>
        <w:t xml:space="preserve"> (diagnóza, TNM), </w:t>
      </w:r>
      <w:r>
        <w:rPr>
          <w:rFonts w:eastAsia="Times New Roman" w:cs="Times New Roman"/>
          <w:i/>
          <w:iCs/>
          <w:kern w:val="0"/>
          <w14:ligatures w14:val="none"/>
        </w:rPr>
        <w:t>Observation</w:t>
      </w:r>
      <w:r>
        <w:rPr>
          <w:rFonts w:eastAsia="Times New Roman" w:cs="Times New Roman"/>
          <w:kern w:val="0"/>
          <w14:ligatures w14:val="none"/>
        </w:rPr>
        <w:t xml:space="preserve"> (biomarkery, PS, PROMs), </w:t>
      </w:r>
      <w:r>
        <w:rPr>
          <w:rFonts w:eastAsia="Times New Roman" w:cs="Times New Roman"/>
          <w:i/>
          <w:iCs/>
          <w:kern w:val="0"/>
          <w14:ligatures w14:val="none"/>
        </w:rPr>
        <w:t>QuestionnaireResponse</w:t>
      </w:r>
      <w:r>
        <w:rPr>
          <w:rFonts w:eastAsia="Times New Roman" w:cs="Times New Roman"/>
          <w:kern w:val="0"/>
          <w14:ligatures w14:val="none"/>
        </w:rPr>
        <w:t xml:space="preserve">, </w:t>
      </w:r>
      <w:r>
        <w:rPr>
          <w:rFonts w:eastAsia="Times New Roman" w:cs="Times New Roman"/>
          <w:i/>
          <w:iCs/>
          <w:kern w:val="0"/>
          <w14:ligatures w14:val="none"/>
        </w:rPr>
        <w:t>CarePlan</w:t>
      </w:r>
      <w:r>
        <w:rPr>
          <w:rFonts w:eastAsia="Times New Roman" w:cs="Times New Roman"/>
          <w:kern w:val="0"/>
          <w14:ligatures w14:val="none"/>
        </w:rPr>
        <w:t xml:space="preserve"> + </w:t>
      </w:r>
      <w:r>
        <w:rPr>
          <w:rFonts w:eastAsia="Times New Roman" w:cs="Times New Roman"/>
          <w:i/>
          <w:iCs/>
          <w:kern w:val="0"/>
          <w14:ligatures w14:val="none"/>
        </w:rPr>
        <w:t>Task</w:t>
      </w:r>
      <w:r>
        <w:rPr>
          <w:rFonts w:eastAsia="Times New Roman" w:cs="Times New Roman"/>
          <w:kern w:val="0"/>
          <w14:ligatures w14:val="none"/>
        </w:rPr>
        <w:t xml:space="preserve"> (závěr a akční plán), </w:t>
      </w:r>
      <w:r>
        <w:rPr>
          <w:rFonts w:eastAsia="Times New Roman" w:cs="Times New Roman"/>
          <w:i/>
          <w:iCs/>
          <w:kern w:val="0"/>
          <w14:ligatures w14:val="none"/>
        </w:rPr>
        <w:t>Provenance</w:t>
      </w:r>
      <w:r>
        <w:rPr>
          <w:rFonts w:eastAsia="Times New Roman" w:cs="Times New Roman"/>
          <w:kern w:val="0"/>
          <w14:ligatures w14:val="none"/>
        </w:rPr>
        <w:t xml:space="preserve"> (původ tvrzení AI a kdo je potvrdil).</w:t>
      </w:r>
    </w:p>
    <w:p w14:paraId="4832ADC4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AI zapisovatel (Ambient Scribe):</w:t>
      </w:r>
      <w:r>
        <w:rPr>
          <w:rFonts w:eastAsia="Times New Roman" w:cs="Times New Roman"/>
          <w:kern w:val="0"/>
          <w14:ligatures w14:val="none"/>
        </w:rPr>
        <w:t xml:space="preserve"> z přepisu diskuse (text, příp. audio) AI navrhne znění závěru a akční kroky; předseda je upraví a potvrdí. Návrh AI a potvrzený text musí být odlišeny.</w:t>
      </w:r>
    </w:p>
    <w:p w14:paraId="5B410F58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Akční plán s úkoly a sledování realizace:</w:t>
      </w:r>
      <w:r>
        <w:rPr>
          <w:rFonts w:eastAsia="Times New Roman" w:cs="Times New Roman"/>
          <w:kern w:val="0"/>
          <w14:ligatures w14:val="none"/>
        </w:rPr>
        <w:t xml:space="preserve"> každý úkol má odpovědnou osobu, termín a stav (např. „objednat PET-CT – koordinátor – do 14 dnů“); kontrola, zda byl závěr po MDT skutečně realizován.</w:t>
      </w:r>
    </w:p>
    <w:p w14:paraId="69F68652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Shrnutí pro pacienta a pro praktického lékaře:</w:t>
      </w:r>
      <w:r>
        <w:rPr>
          <w:rFonts w:eastAsia="Times New Roman" w:cs="Times New Roman"/>
          <w:kern w:val="0"/>
          <w14:ligatures w14:val="none"/>
        </w:rPr>
        <w:t xml:space="preserve"> AI vygeneruje srozumitelné shrnutí závěru v laickém jazyce a stručnou zprávu pro praktického / odesílajícího lékaře – vždy po schválení lékařem.</w:t>
      </w:r>
    </w:p>
    <w:p w14:paraId="318BF273" w14:textId="77777777" w:rsidR="00BA306A" w:rsidRDefault="00D546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Uzamčení a verzování záznamu:</w:t>
      </w:r>
      <w:r>
        <w:rPr>
          <w:rFonts w:eastAsia="Times New Roman" w:cs="Times New Roman"/>
          <w:kern w:val="0"/>
          <w14:ligatures w14:val="none"/>
        </w:rPr>
        <w:t xml:space="preserve"> po schválení předsedou se záznam uzamkne (elektronický podpis / potvrzení), každá pozdější změna vytváří novou verzi s auditní stopou.</w:t>
      </w:r>
    </w:p>
    <w:p w14:paraId="60E0E684" w14:textId="77777777" w:rsidR="00BA306A" w:rsidRDefault="00D546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3. Klíčové požadavky na funkcionalitu</w:t>
      </w:r>
    </w:p>
    <w:p w14:paraId="2EF82D65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Konfigurovatelnost struktury a sekcí:</w:t>
      </w:r>
    </w:p>
    <w:p w14:paraId="01F2548F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Uživatel (administrátor nebo předseda komise) si může předem naklikat:</w:t>
      </w:r>
    </w:p>
    <w:p w14:paraId="48A2B5C2" w14:textId="77777777" w:rsidR="00BA306A" w:rsidRDefault="00D546C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Jaké sekce a v jakém pořadí se mají vygenerovat a zobrazit.</w:t>
      </w:r>
    </w:p>
    <w:p w14:paraId="2523BC15" w14:textId="77777777" w:rsidR="00BA306A" w:rsidRDefault="00D546C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Které odbornosti jsou na daném konziliu přítomné (např. pokud chybí patolog, lze sekci skrýt nebo přesunout na konec).</w:t>
      </w:r>
    </w:p>
    <w:p w14:paraId="66F32B9F" w14:textId="77777777" w:rsidR="00BA306A" w:rsidRDefault="00D546C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Míru detailu (odrážkový seznam vs. narativní text).</w:t>
      </w:r>
    </w:p>
    <w:p w14:paraId="19DD633B" w14:textId="77777777" w:rsidR="00BA306A" w:rsidRDefault="00D546C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kern w:val="0"/>
          <w14:ligatures w14:val="none"/>
        </w:rPr>
        <w:t>Šablony podle typu nádoru / komise (např. kolorektální, prs, plíce, GIT, uroonkologie) včetně seznamu povinných datových prvků pro kontrolu úplnosti.</w:t>
      </w:r>
    </w:p>
    <w:p w14:paraId="5D349A8F" w14:textId="77777777" w:rsidR="00BA306A" w:rsidRDefault="00D546C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kern w:val="0"/>
          <w14:ligatures w14:val="none"/>
        </w:rPr>
        <w:t>Pravidla pro red flags (aktivace, prahové hodnoty) a výběr dokumentů guidelines/studií, se kterými má AI pracovat.</w:t>
      </w:r>
    </w:p>
    <w:p w14:paraId="461A4EC5" w14:textId="77777777" w:rsidR="00BA306A" w:rsidRDefault="00D546C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lastRenderedPageBreak/>
        <w:t xml:space="preserve">BONUS </w:t>
      </w:r>
      <w:r>
        <w:rPr>
          <w:rFonts w:eastAsia="Times New Roman" w:cs="Times New Roman"/>
          <w:kern w:val="0"/>
          <w14:ligatures w14:val="none"/>
        </w:rPr>
        <w:t>Výchozí pohled pro každou roli (např. chirurg vidí svou sekci hned za souhrnem).</w:t>
      </w:r>
    </w:p>
    <w:p w14:paraId="7A4CA7D7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AI interpretace a propojení dat:</w:t>
      </w:r>
    </w:p>
    <w:p w14:paraId="69CFDFDC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Syntéza dvou odlišných zdrojů: nestrukturované lékařské zprávy + strukturovaný pacientský dotazník.</w:t>
      </w:r>
    </w:p>
    <w:p w14:paraId="66CBE565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AI upozornění (tzv. </w:t>
      </w:r>
      <w:r>
        <w:rPr>
          <w:rFonts w:eastAsia="Times New Roman" w:cs="Times New Roman"/>
          <w:i/>
          <w:iCs/>
          <w:kern w:val="0"/>
          <w14:ligatures w14:val="none"/>
        </w:rPr>
        <w:t>Red Flags</w:t>
      </w:r>
      <w:r>
        <w:rPr>
          <w:rFonts w:eastAsia="Times New Roman" w:cs="Times New Roman"/>
          <w:kern w:val="0"/>
          <w14:ligatures w14:val="none"/>
        </w:rPr>
        <w:t>): upozornění na nesrovnalosti (např. laboratorní pokles hemoglobinu provázený hlášenou extrémní únavou v dotazníku). Každý red flag musí mít závažnost a citaci obou zdrojů.</w:t>
      </w:r>
    </w:p>
    <w:p w14:paraId="372C31CD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Rozšířené typy red flags:</w:t>
      </w:r>
      <w:r>
        <w:rPr>
          <w:rFonts w:eastAsia="Times New Roman" w:cs="Times New Roman"/>
          <w:kern w:val="0"/>
          <w14:ligatures w14:val="none"/>
        </w:rPr>
        <w:t xml:space="preserve"> rozpor mezi zdroji (různé TNM ve dvou zprávách), zastaralé podklady, nový symptom v dotazníku bez odpovídajícího vyšetření (např. bolest kostí → zvážit scintigrafii), rostoucí trend onkomarkerů při „stabilním“ nálezu, významné lékové interakce, zhoršující se trend PROMs.</w:t>
      </w:r>
    </w:p>
    <w:p w14:paraId="357F64B5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Dohledatelnost dat (Explainability / Traceability):</w:t>
      </w:r>
    </w:p>
    <w:p w14:paraId="7347486C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U každého tvrzení AI musí lékař po kliknutí vidět přesný zdrojový záznam (konkrétní nález z eZdraví nebo konkrétní odpověď z dotazníku pacienta), aby nedocházelo k halucinacím.</w:t>
      </w:r>
    </w:p>
    <w:p w14:paraId="10B23AD1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Pokud údaj v dostupných datech není, AI to musí výslovně uvést („v dostupné dokumentaci se nenachází“) místo odhadu.</w:t>
      </w:r>
    </w:p>
    <w:p w14:paraId="208726D7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kern w:val="0"/>
          <w14:ligatures w14:val="none"/>
        </w:rPr>
        <w:t xml:space="preserve">Citace na úrovni věty se </w:t>
      </w:r>
      <w:r>
        <w:rPr>
          <w:rFonts w:eastAsia="Times New Roman" w:cs="Times New Roman"/>
          <w:b/>
          <w:bCs/>
          <w:kern w:val="0"/>
          <w14:ligatures w14:val="none"/>
        </w:rPr>
        <w:t>zvýrazněnou konkrétní pasáží</w:t>
      </w:r>
      <w:r>
        <w:rPr>
          <w:rFonts w:eastAsia="Times New Roman" w:cs="Times New Roman"/>
          <w:kern w:val="0"/>
          <w14:ligatures w14:val="none"/>
        </w:rPr>
        <w:t xml:space="preserve"> zdrojového dokumentu, datem a autorem záznamu; u odvozených údajů zobrazení míry jistoty.</w:t>
      </w:r>
    </w:p>
    <w:p w14:paraId="7BE9C172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Zodpovědná AI (minimum):</w:t>
      </w:r>
      <w:r>
        <w:rPr>
          <w:rFonts w:eastAsia="Times New Roman" w:cs="Times New Roman"/>
          <w:kern w:val="0"/>
          <w14:ligatures w14:val="none"/>
        </w:rPr>
        <w:t xml:space="preserve"> žádný výstup AI se nestane součástí oficiálního záznamu bez potvrzení lékařem; obsah generovaný AI je vizuálně označen.</w:t>
      </w:r>
    </w:p>
    <w:p w14:paraId="51AF2D39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Strukturovaná extrakce (NLP):</w:t>
      </w:r>
      <w:r>
        <w:rPr>
          <w:rFonts w:eastAsia="Times New Roman" w:cs="Times New Roman"/>
          <w:kern w:val="0"/>
          <w14:ligatures w14:val="none"/>
        </w:rPr>
        <w:t xml:space="preserve"> AI převede nestrukturované zprávy na strukturované prvky (TNM, histologie, biomarkery, linie léčby, dávky, RECIST) s vazbou na zdroj. Lékař je může jedním klikem potvrdit nebo opravit. Ze stejných prvků se skládají všechny sekce – tentýž údaj tak nemůže být ve dvou sekcích uveden rozdílně.</w:t>
      </w:r>
    </w:p>
    <w:p w14:paraId="4866B275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Konverzační asistent nad případem (Q&amp;A):</w:t>
      </w:r>
      <w:r>
        <w:rPr>
          <w:rFonts w:eastAsia="Times New Roman" w:cs="Times New Roman"/>
          <w:kern w:val="0"/>
          <w14:ligatures w14:val="none"/>
        </w:rPr>
        <w:t xml:space="preserve"> během zasedání může člen komise položit otázku v přirozeném jazyce (např. </w:t>
      </w:r>
      <w:r>
        <w:rPr>
          <w:rFonts w:eastAsia="Times New Roman" w:cs="Times New Roman"/>
          <w:i/>
          <w:iCs/>
          <w:kern w:val="0"/>
          <w14:ligatures w14:val="none"/>
        </w:rPr>
        <w:t>„Kdy byla poslední dávka oxaliplatiny a s jakou toxicitou?“</w:t>
      </w:r>
      <w:r>
        <w:rPr>
          <w:rFonts w:eastAsia="Times New Roman" w:cs="Times New Roman"/>
          <w:kern w:val="0"/>
          <w14:ligatures w14:val="none"/>
        </w:rPr>
        <w:t>). Odpověď výhradně z dat pacienta a s citací.</w:t>
      </w:r>
    </w:p>
    <w:p w14:paraId="26D908AC" w14:textId="77777777" w:rsidR="00BA306A" w:rsidRDefault="00D546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Rozšířená bezpečnost a spolehlivost AI:</w:t>
      </w:r>
    </w:p>
    <w:p w14:paraId="6F2E83FA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Auditní stopa: u každého výstupu se uchovává verze modelu, promptu, použité zdroje a kdo výstup potvrdil/upravil.</w:t>
      </w:r>
    </w:p>
    <w:p w14:paraId="6689F153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Ochrana údajů: pseudonymizace dat posílaných do modelu, zpracování v EU / on-premise, minimalizace dat (GDPR); popis, jak by řešení zapadlo do požadavků AI Act a MDR (v produkci jde pravděpodobně o vysoce rizikový systém / zdravotnický prostředek).</w:t>
      </w:r>
    </w:p>
    <w:p w14:paraId="54FBDF62" w14:textId="77777777" w:rsidR="00BA306A" w:rsidRDefault="00D546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Evaluace: prokázání spolehlivosti na kontrolní sadě (např. 20 ověřitelných faktů a záměrně vložených nesrovnalostí) – přesnost citací, podíl halucinací, záchyt red flags.</w:t>
      </w:r>
    </w:p>
    <w:p w14:paraId="5DB59176" w14:textId="77777777" w:rsidR="00BA306A" w:rsidRDefault="00D546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Dodaná data (dataset pro soutěžící)</w:t>
      </w:r>
    </w:p>
    <w:p w14:paraId="199A340F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Mock data eZdraví (JSON / FHIR formát):</w:t>
      </w:r>
      <w:r>
        <w:rPr>
          <w:rFonts w:eastAsia="Times New Roman" w:cs="Times New Roman"/>
          <w:kern w:val="0"/>
          <w14:ligatures w14:val="none"/>
        </w:rPr>
        <w:t xml:space="preserve"> propouštěcí zprávy, laboratorní výsledky (trendy onkomarkerů v čase), popisy CT/MRI vyšetření, seznam předepsaných léků.</w:t>
      </w:r>
    </w:p>
    <w:p w14:paraId="4BCBF545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Pacientský dotazník (PROMs / JSON):</w:t>
      </w:r>
      <w:r>
        <w:rPr>
          <w:rFonts w:eastAsia="Times New Roman" w:cs="Times New Roman"/>
          <w:kern w:val="0"/>
          <w14:ligatures w14:val="none"/>
        </w:rPr>
        <w:t xml:space="preserve"> odpovědi na škálované otázky (bolest 0–10, skóre únavy, ECOG status, alergie, nové obtíže). Doporučuje se vycházet ze standardizovaných nástrojů (např. EORTC QLQ-C30, PRO-CTCAE, Distress Thermometer) a dodat </w:t>
      </w:r>
      <w:r>
        <w:rPr>
          <w:rFonts w:eastAsia="Times New Roman" w:cs="Times New Roman"/>
          <w:b/>
          <w:bCs/>
          <w:kern w:val="0"/>
          <w14:ligatures w14:val="none"/>
        </w:rPr>
        <w:t>alespoň dvě vyplnění v čase</w:t>
      </w:r>
      <w:r>
        <w:rPr>
          <w:rFonts w:eastAsia="Times New Roman" w:cs="Times New Roman"/>
          <w:kern w:val="0"/>
          <w14:ligatures w14:val="none"/>
        </w:rPr>
        <w:t>, aby bylo možné sledovat trend.</w:t>
      </w:r>
    </w:p>
    <w:p w14:paraId="6A8D3F64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Nominace případu na MDT:</w:t>
      </w:r>
      <w:r>
        <w:rPr>
          <w:rFonts w:eastAsia="Times New Roman" w:cs="Times New Roman"/>
          <w:kern w:val="0"/>
          <w14:ligatures w14:val="none"/>
        </w:rPr>
        <w:t xml:space="preserve"> odesílající lékař, konkrétní otázka pro komisi, důvod zařazení, předchozí závěry MDT.</w:t>
      </w:r>
    </w:p>
    <w:p w14:paraId="47C5CBAD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Výtah z doporučených postupů</w:t>
      </w:r>
      <w:r>
        <w:rPr>
          <w:rFonts w:eastAsia="Times New Roman" w:cs="Times New Roman"/>
          <w:kern w:val="0"/>
          <w14:ligatures w14:val="none"/>
        </w:rPr>
        <w:t xml:space="preserve"> pro daný typ nádoru (text/PDF s číslovanými pasážemi) a </w:t>
      </w:r>
      <w:r>
        <w:rPr>
          <w:rFonts w:eastAsia="Times New Roman" w:cs="Times New Roman"/>
          <w:b/>
          <w:bCs/>
          <w:kern w:val="0"/>
          <w14:ligatures w14:val="none"/>
        </w:rPr>
        <w:t>seznam 3–5 fiktivních otevřených klinických studií</w:t>
      </w:r>
      <w:r>
        <w:rPr>
          <w:rFonts w:eastAsia="Times New Roman" w:cs="Times New Roman"/>
          <w:kern w:val="0"/>
          <w14:ligatures w14:val="none"/>
        </w:rPr>
        <w:t xml:space="preserve"> s kritérii zařazení a vyřazení – pro Decision Support Panel.</w:t>
      </w:r>
    </w:p>
    <w:p w14:paraId="0A23785A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kern w:val="0"/>
          <w14:ligatures w14:val="none"/>
        </w:rPr>
        <w:t>Více scénářů (3–5 pacientů)</w:t>
      </w:r>
      <w:r>
        <w:rPr>
          <w:rFonts w:eastAsia="Times New Roman" w:cs="Times New Roman"/>
          <w:kern w:val="0"/>
          <w14:ligatures w14:val="none"/>
        </w:rPr>
        <w:t xml:space="preserve"> s různými typy nádorů a otázkami, včetně záměrně vložených nesrovnalostí a chybějících údajů, a k nim </w:t>
      </w:r>
      <w:r>
        <w:rPr>
          <w:rFonts w:eastAsia="Times New Roman" w:cs="Times New Roman"/>
          <w:b/>
          <w:bCs/>
          <w:kern w:val="0"/>
          <w14:ligatures w14:val="none"/>
        </w:rPr>
        <w:t>referenční řešení (ground truth)</w:t>
      </w:r>
      <w:r>
        <w:rPr>
          <w:rFonts w:eastAsia="Times New Roman" w:cs="Times New Roman"/>
          <w:kern w:val="0"/>
          <w14:ligatures w14:val="none"/>
        </w:rPr>
        <w:t xml:space="preserve"> pro hodnocení – očekávané red flags a klíčová fakta.</w:t>
      </w:r>
    </w:p>
    <w:p w14:paraId="0DCCD9A2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Kódování podle standardů, kde je to možné: MKN-10 / ICD-O-3 (diagnóza, morfologie), LOINC (laboratoř), SNOMED CT, profily mCODE / IPS.</w:t>
      </w:r>
    </w:p>
    <w:p w14:paraId="06C5D387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b/>
          <w:bCs/>
          <w:kern w:val="0"/>
          <w14:ligatures w14:val="none"/>
        </w:rPr>
        <w:t>Mock přepis diskuse MDT</w:t>
      </w:r>
      <w:r>
        <w:rPr>
          <w:rFonts w:eastAsia="Times New Roman" w:cs="Times New Roman"/>
          <w:kern w:val="0"/>
          <w14:ligatures w14:val="none"/>
        </w:rPr>
        <w:t xml:space="preserve"> (text, příp. krátké audio) pro testování AI zapisovatele.</w:t>
      </w:r>
    </w:p>
    <w:p w14:paraId="6E5093F1" w14:textId="77777777" w:rsidR="00BA306A" w:rsidRDefault="00D546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 Hodnoticí kritéria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927"/>
        <w:gridCol w:w="5596"/>
      </w:tblGrid>
      <w:tr w:rsidR="00BA306A" w14:paraId="6A7BA26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4883B5" w14:textId="77777777" w:rsidR="00BA306A" w:rsidRDefault="00D546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Kritérium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F173AD" w14:textId="77777777" w:rsidR="00BA306A" w:rsidRDefault="00D546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Váha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EF5AD0" w14:textId="77777777" w:rsidR="00BA306A" w:rsidRDefault="00D546C2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Popis</w:t>
            </w:r>
          </w:p>
        </w:tc>
      </w:tr>
      <w:tr w:rsidR="00BA306A" w14:paraId="5E93EB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12E04E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Klinická hodnota &amp; UX pro MDT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33C65D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30 %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4D8FD6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Přehlednost společného souhrnu, srozumitelnost sekcí podle rolí, intuitivní zápis konečného doporučení.</w:t>
            </w:r>
          </w:p>
        </w:tc>
      </w:tr>
      <w:tr w:rsidR="00BA306A" w14:paraId="534FDB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BD4C8F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Konfigurovatelnost systému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2EEE5A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20 %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7ADBD2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Flexibilita nastavení šablon, přidávání/odebírání sekcí a změna jejich pořadí pro různé typy onkologických týmů.</w:t>
            </w:r>
          </w:p>
        </w:tc>
      </w:tr>
      <w:tr w:rsidR="00BA306A" w14:paraId="7BDB3C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93AB23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Technické řešení AI &amp; spolehlivost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192BA3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20 %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C08D1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Přesnost promptingu (minimalizace halucinací), interaktivní ověření zdrojů (citace), dodržení struktury výstupu.</w:t>
            </w:r>
          </w:p>
        </w:tc>
      </w:tr>
      <w:tr w:rsidR="00BA306A" w14:paraId="3F830E2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B95115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Datová integrace a standardy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6851CA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15 %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16B74E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Schopnost logicky propojit subjektivní data z dotazníku s objektivními nálezy z eZdraví, export výsledku, využití FHIR a standardních terminologií.</w:t>
            </w:r>
          </w:p>
        </w:tc>
      </w:tr>
      <w:tr w:rsidR="00BA306A" w14:paraId="40E597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C35181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Podpora MDT procesu &amp; zodpovědná AI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1A7916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15 %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A415CF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 xml:space="preserve">Kvalita Decision Support Panelu (možnosti léčby s citací guidelines, screening studií), strukturovaný </w:t>
            </w:r>
            <w:r>
              <w:rPr>
                <w:rFonts w:eastAsia="Times New Roman" w:cs="Times New Roman"/>
                <w:kern w:val="0"/>
                <w14:ligatures w14:val="none"/>
              </w:rPr>
              <w:lastRenderedPageBreak/>
              <w:t>záznam rozhodnutí se zdůvodněním, human-in-the-loop a označení obsahu AI.</w:t>
            </w:r>
          </w:p>
        </w:tc>
      </w:tr>
      <w:tr w:rsidR="00BA306A" w14:paraId="16FFB57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FA2870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Bonusové funkce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EE2C2E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14:ligatures w14:val="none"/>
              </w:rPr>
              <w:t>až +10 %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218BDE" w14:textId="77777777" w:rsidR="00BA306A" w:rsidRDefault="00D546C2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Body navíc za kvalitně implementované položky označené BONUS (hodnotí se kvalita, ne počet).</w:t>
            </w:r>
          </w:p>
        </w:tc>
      </w:tr>
    </w:tbl>
    <w:p w14:paraId="6AE16CC5" w14:textId="77777777" w:rsidR="00BA306A" w:rsidRDefault="00D546C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6. Očekávaná prezentace výsledku (demo)</w:t>
      </w:r>
    </w:p>
    <w:p w14:paraId="6516B9E6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Každý tým během max. 5 minut předvede celý cyklus MDT na jednom z dodaných pacientů:</w:t>
      </w:r>
    </w:p>
    <w:p w14:paraId="33E6A1F8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vygenerování podkladu podle zvolené konfigurace → orientace v souhrnu do 30 sekund → ověření alespoň jednoho tvrzení AI a jednoho red flagu kliknutím na zdroj → Decision Support Panel (možnosti léčby s citací guidelines, screening studií) → zápis a potvrzení závěru → export.</w:t>
      </w:r>
    </w:p>
    <w:p w14:paraId="31E072C6" w14:textId="77777777" w:rsidR="00BA306A" w:rsidRDefault="00D546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b/>
          <w:bCs/>
          <w:color w:val="C55A11"/>
          <w:kern w:val="0"/>
          <w14:ligatures w14:val="none"/>
        </w:rPr>
        <w:t xml:space="preserve">BONUS </w:t>
      </w:r>
      <w:r>
        <w:rPr>
          <w:rFonts w:eastAsia="Times New Roman" w:cs="Times New Roman"/>
          <w:kern w:val="0"/>
          <w14:ligatures w14:val="none"/>
        </w:rPr>
        <w:t>Předvedení implementovaných bonusových funkcí (např. kontrola připravenosti, AI zapisovatel, shrnutí pro pacienta).</w:t>
      </w:r>
    </w:p>
    <w:p w14:paraId="0A9FDAF1" w14:textId="77777777" w:rsidR="00BA306A" w:rsidRDefault="00D546C2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Součástí prezentace je krátký popis architektury AI (model, způsob groundingu/RAG, prevence halucinací, ochrana údajů).</w:t>
      </w:r>
    </w:p>
    <w:p w14:paraId="319F0E31" w14:textId="77777777" w:rsidR="00BA306A" w:rsidRDefault="00BA306A"/>
    <w:sectPr w:rsidR="00BA306A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19BF6" w14:textId="77777777" w:rsidR="00D546C2" w:rsidRDefault="00D546C2" w:rsidP="008656BA">
      <w:pPr>
        <w:spacing w:after="0" w:line="240" w:lineRule="auto"/>
      </w:pPr>
      <w:r>
        <w:separator/>
      </w:r>
    </w:p>
  </w:endnote>
  <w:endnote w:type="continuationSeparator" w:id="0">
    <w:p w14:paraId="1B67D3D9" w14:textId="77777777" w:rsidR="00D546C2" w:rsidRDefault="00D546C2" w:rsidP="00865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EFD8" w14:textId="77777777" w:rsidR="00D546C2" w:rsidRDefault="00D546C2" w:rsidP="008656BA">
      <w:pPr>
        <w:spacing w:after="0" w:line="240" w:lineRule="auto"/>
      </w:pPr>
      <w:r>
        <w:separator/>
      </w:r>
    </w:p>
  </w:footnote>
  <w:footnote w:type="continuationSeparator" w:id="0">
    <w:p w14:paraId="2727DD49" w14:textId="77777777" w:rsidR="00D546C2" w:rsidRDefault="00D546C2" w:rsidP="00865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E1200" w14:textId="56BD97AE" w:rsidR="008656BA" w:rsidRDefault="008656BA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70CD98" wp14:editId="5D6ED64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19555" cy="352425"/>
              <wp:effectExtent l="0" t="0" r="4445" b="9525"/>
              <wp:wrapNone/>
              <wp:docPr id="1437442177" name="Textové pole 2" descr="CONFIDENTIAL (by Asseco C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717AEF" w14:textId="6985FD7C" w:rsidR="008656BA" w:rsidRPr="008656BA" w:rsidRDefault="008656BA" w:rsidP="008656B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656B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(by Asseco CE)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0CD98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(by Asseco CE)" style="position:absolute;margin-left:0;margin-top:0;width:119.65pt;height:27.7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j/nCgIAABYEAAAOAAAAZHJzL2Uyb0RvYy54bWysU8Fu2zAMvQ/YPwi6L3ayeViNOEXWIsOA&#10;oC2QDj0rshQbkERBUmJnXz9KtpOu22nYRaZJ6pF8fFre9lqRk3C+BVPR+SynRBgOdWsOFf3xvPnw&#10;hRIfmKmZAiMqehae3q7ev1t2thQLaEDVwhEEMb7sbEWbEGyZZZ43QjM/AysMBiU4zQL+ukNWO9Yh&#10;ulbZIs8/Zx242jrgwnv03g9Bukr4UgoeHqX0IhBVUewtpNOlcx/PbLVk5cEx27R8bIP9QxeatQaL&#10;XqDuWWDk6No/oHTLHXiQYcZBZyBly0WaAaeZ52+m2TXMijQLkuPthSb//2D5w2lnnxwJ/VfocYGR&#10;kM760qMzztNLp+MXOyUYRwrPF9pEHwiPl4r5TVEUlHCMfSwWnxZFhMmut63z4ZsATaJRUYdrSWyx&#10;09aHIXVKicUMbFql0mqU+c2BmNGTXVuMVuj3/dj3HuozjuNg2LS3fNNizS3z4Yk5XC1OgHINj3hI&#10;BV1FYbQoacD9/Js/5iPjGKWkQ6lU1KCWKVHfDW4iqioZ85u8yPHPTe79ZJijvgMU4BzfguXJjHlB&#10;TaZ0oF9QyOtYCEPMcCxX0TCZd2HQLD4ELtbrlIQCsixszc7yCB15iiQ+9y/M2ZHpgDt6gElHrHxD&#10;+JAbb3q7PgakPW0jcjoQOVKN4kv7HB9KVPfr/5R1fc6rXwAAAP//AwBQSwMEFAAGAAgAAAAhABzj&#10;PuzaAAAABAEAAA8AAABkcnMvZG93bnJldi54bWxMj81OwzAQhO9IvIO1SNyok1ZGELKpKqQeeivl&#10;5+zGSxKI11G8bUOfHsMFLiuNZjTzbbmcfK+ONMYuMEI+y0AR18F13CC8PK9v7kBFsexsH5gQvijC&#10;srq8KG3hwomf6LiTRqUSjoVFaEWGQutYt+RtnIWBOHnvYfRWkhwb7UZ7SuW+1/Msu9XedpwWWjvQ&#10;Y0v15+7gETqzCpLT62b98ebzkJ+3G3PeIl5fTasHUEKT/IXhBz+hQ5WY9uHALqoeIT0ivzd588X9&#10;AtQewRgDuir1f/jqGwAA//8DAFBLAQItABQABgAIAAAAIQC2gziS/gAAAOEBAAATAAAAAAAAAAAA&#10;AAAAAAAAAABbQ29udGVudF9UeXBlc10ueG1sUEsBAi0AFAAGAAgAAAAhADj9If/WAAAAlAEAAAsA&#10;AAAAAAAAAAAAAAAALwEAAF9yZWxzLy5yZWxzUEsBAi0AFAAGAAgAAAAhAMqSP+cKAgAAFgQAAA4A&#10;AAAAAAAAAAAAAAAALgIAAGRycy9lMm9Eb2MueG1sUEsBAi0AFAAGAAgAAAAhABzjPuz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31717AEF" w14:textId="6985FD7C" w:rsidR="008656BA" w:rsidRPr="008656BA" w:rsidRDefault="008656BA" w:rsidP="008656B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8656BA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CONFIDENTIAL (by Asseco CE)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4407" w14:textId="58345B43" w:rsidR="008656BA" w:rsidRDefault="008656BA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9DEF6E" wp14:editId="38CEAE5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19555" cy="352425"/>
              <wp:effectExtent l="0" t="0" r="4445" b="9525"/>
              <wp:wrapNone/>
              <wp:docPr id="76677248" name="Textové pole 3" descr="CONFIDENTIAL (by Asseco C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10AC5D" w14:textId="03B16FBD" w:rsidR="008656BA" w:rsidRPr="008656BA" w:rsidRDefault="008656BA" w:rsidP="008656B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656B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(by Asseco CE)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9DEF6E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(by Asseco CE)" style="position:absolute;margin-left:0;margin-top:0;width:119.65pt;height:27.7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GigDAIAAB0EAAAOAAAAZHJzL2Uyb0RvYy54bWysU8Fu2zAMvQ/YPwi6L3ayeViNOEXWIsOA&#10;oC2QDj0rshQbkERBUmJnXz9KtpOu22nYRaZJ6pF8fFre9lqRk3C+BVPR+SynRBgOdWsOFf3xvPnw&#10;hRIfmKmZAiMqehae3q7ev1t2thQLaEDVwhEEMb7sbEWbEGyZZZ43QjM/AysMBiU4zQL+ukNWO9Yh&#10;ulbZIs8/Zx242jrgwnv03g9Bukr4UgoeHqX0IhBVUewtpNOlcx/PbLVk5cEx27R8bIP9QxeatQaL&#10;XqDuWWDk6No/oHTLHXiQYcZBZyBly0WaAaeZ52+m2TXMijQLkuPthSb//2D5w2lnnxwJ/VfocYGR&#10;kM760qMzztNLp+MXOyUYRwrPF9pEHwiPl4r5TVEUlHCMfSwWnxZFhMmut63z4ZsATaJRUYdrSWyx&#10;09aHIXVKicUMbFql0mqU+c2BmNGTXVuMVuj3PWnrV+3voT7jVA6GhXvLNy2W3jIfnpjDDeMgqNrw&#10;iIdU0FUURouSBtzPv/ljPhKPUUo6VExFDUqaEvXd4EKiuJIxv8mLHP/c5N5PhjnqO0AdzvFJWJ7M&#10;mBfUZEoH+gX1vI6FMMQMx3IVDZN5Fwbp4nvgYr1OSagjy8LW7CyP0JGuyOVz/8KcHQkPuKoHmOTE&#10;yje8D7nxprfrY0D201IitQORI+OowbTW8b1Ekb/+T1nXV736BQAA//8DAFBLAwQUAAYACAAAACEA&#10;HOM+7NoAAAAEAQAADwAAAGRycy9kb3ducmV2LnhtbEyPzU7DMBCE70i8g7VI3KiTVkYQsqkqpB56&#10;K+Xn7MZLEojXUbxtQ58ewwUuK41mNPNtuZx8r440xi4wQj7LQBHXwXXcILw8r2/uQEWx7GwfmBC+&#10;KMKyurwobeHCiZ/ouJNGpRKOhUVoRYZC61i35G2chYE4ee9h9FaSHBvtRntK5b7X8yy71d52nBZa&#10;O9BjS/Xn7uAROrMKktPrZv3x5vOQn7cbc94iXl9NqwdQQpP8heEHP6FDlZj24cAuqh4hPSK/N3nz&#10;xf0C1B7BGAO6KvV/+OobAAD//wMAUEsBAi0AFAAGAAgAAAAhALaDOJL+AAAA4QEAABMAAAAAAAAA&#10;AAAAAAAAAAAAAFtDb250ZW50X1R5cGVzXS54bWxQSwECLQAUAAYACAAAACEAOP0h/9YAAACUAQAA&#10;CwAAAAAAAAAAAAAAAAAvAQAAX3JlbHMvLnJlbHNQSwECLQAUAAYACAAAACEAsWBooAwCAAAdBAAA&#10;DgAAAAAAAAAAAAAAAAAuAgAAZHJzL2Uyb0RvYy54bWxQSwECLQAUAAYACAAAACEAHOM+7N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D10AC5D" w14:textId="03B16FBD" w:rsidR="008656BA" w:rsidRPr="008656BA" w:rsidRDefault="008656BA" w:rsidP="008656B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8656BA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CONFIDENTIAL (by Asseco CE)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CCBF5" w14:textId="384CE630" w:rsidR="008656BA" w:rsidRDefault="008656BA">
    <w:pPr>
      <w:pStyle w:val="Zhlav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279514" wp14:editId="50158E2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519555" cy="352425"/>
              <wp:effectExtent l="0" t="0" r="4445" b="9525"/>
              <wp:wrapNone/>
              <wp:docPr id="529301706" name="Textové pole 1" descr="CONFIDENTIAL (by Asseco CE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955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8BE674" w14:textId="561499A6" w:rsidR="008656BA" w:rsidRPr="008656BA" w:rsidRDefault="008656BA" w:rsidP="008656B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656B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(by Asseco CE)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279514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(by Asseco CE)" style="position:absolute;margin-left:0;margin-top:0;width:119.65pt;height:27.7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b/mDgIAAB0EAAAOAAAAZHJzL2Uyb0RvYy54bWysU8Fu2zAMvQ/YPwi6L3a8eViNOEXWIsOA&#10;oC2QDj0rshQbkERBUmJnXz9KjpOu22nYRaZJ6pF8fFrcDlqRo3C+A1PT+SynRBgOTWf2Nf3xvP7w&#10;hRIfmGmYAiNqehKe3i7fv1v0thIFtKAa4QiCGF/1tqZtCLbKMs9boZmfgRUGgxKcZgF/3T5rHOsR&#10;XausyPPPWQ+usQ648B6992OQLhO+lIKHRym9CETVFHsL6XTp3MUzWy5YtXfMth0/t8H+oQvNOoNF&#10;L1D3LDBycN0fULrjDjzIMOOgM5Cy4yLNgNPM8zfTbFtmRZoFyfH2QpP/f7D84bi1T46E4SsMuMBI&#10;SG995dEZ5xmk0/GLnRKMI4WnC21iCITHS+X8pixLSjjGPpbFp6KMMNn1tnU+fBOgSTRq6nAtiS12&#10;3Pgwpk4psZiBdadUWo0yvzkQM3qya4vRCsNuIF1T02JqfwfNCadyMC7cW77usPSG+fDEHG4YB0HV&#10;hkc8pIK+pnC2KGnB/fybP+Yj8RilpEfF1NSgpClR3w0uJIorGfObvMzxz03u3WSYg74D1OEcn4Tl&#10;yYx5QU2mdKBfUM+rWAhDzHAsV9MwmXdhlC6+By5Wq5SEOrIsbMzW8ggd6YpcPg8vzNkz4QFX9QCT&#10;nFj1hvcxN970dnUIyH5aSqR2JPLMOGowrfX8XqLIX/+nrOurXv4CAAD//wMAUEsDBBQABgAIAAAA&#10;IQAc4z7s2gAAAAQBAAAPAAAAZHJzL2Rvd25yZXYueG1sTI/NTsMwEITvSLyDtUjcqJNWRhCyqSqk&#10;Hnor5efsxksSiNdRvG1Dnx7DBS4rjWY08225nHyvjjTGLjBCPstAEdfBddwgvDyvb+5ARbHsbB+Y&#10;EL4owrK6vCht4cKJn+i4k0alEo6FRWhFhkLrWLfkbZyFgTh572H0VpIcG+1Ge0rlvtfzLLvV3nac&#10;Flo70GNL9efu4BE6swqS0+tm/fHm85Cftxtz3iJeX02rB1BCk/yF4Qc/oUOVmPbhwC6qHiE9Ir83&#10;efPF/QLUHsEYA7oq9X/46hsAAP//AwBQSwECLQAUAAYACAAAACEAtoM4kv4AAADhAQAAEwAAAAAA&#10;AAAAAAAAAAAAAAAAW0NvbnRlbnRfVHlwZXNdLnhtbFBLAQItABQABgAIAAAAIQA4/SH/1gAAAJQB&#10;AAALAAAAAAAAAAAAAAAAAC8BAABfcmVscy8ucmVsc1BLAQItABQABgAIAAAAIQAGob/mDgIAAB0E&#10;AAAOAAAAAAAAAAAAAAAAAC4CAABkcnMvZTJvRG9jLnhtbFBLAQItABQABgAIAAAAIQAc4z7s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148BE674" w14:textId="561499A6" w:rsidR="008656BA" w:rsidRPr="008656BA" w:rsidRDefault="008656BA" w:rsidP="008656B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8656BA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CONFIDENTIAL (by Asseco CE)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554"/>
    <w:multiLevelType w:val="multilevel"/>
    <w:tmpl w:val="39BE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52FE"/>
    <w:multiLevelType w:val="multilevel"/>
    <w:tmpl w:val="4F7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A18AA"/>
    <w:multiLevelType w:val="multilevel"/>
    <w:tmpl w:val="CC4C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C2644"/>
    <w:multiLevelType w:val="multilevel"/>
    <w:tmpl w:val="1090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B34AB"/>
    <w:multiLevelType w:val="multilevel"/>
    <w:tmpl w:val="91921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87199">
    <w:abstractNumId w:val="3"/>
  </w:num>
  <w:num w:numId="2" w16cid:durableId="154608445">
    <w:abstractNumId w:val="0"/>
  </w:num>
  <w:num w:numId="3" w16cid:durableId="1251039050">
    <w:abstractNumId w:val="1"/>
  </w:num>
  <w:num w:numId="4" w16cid:durableId="1582105944">
    <w:abstractNumId w:val="4"/>
  </w:num>
  <w:num w:numId="5" w16cid:durableId="1946502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6D7"/>
    <w:rsid w:val="00054096"/>
    <w:rsid w:val="008536D7"/>
    <w:rsid w:val="008656BA"/>
    <w:rsid w:val="00895A60"/>
    <w:rsid w:val="00A9459F"/>
    <w:rsid w:val="00BA306A"/>
    <w:rsid w:val="00C361FE"/>
    <w:rsid w:val="00D5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6DAF3"/>
  <w15:chartTrackingRefBased/>
  <w15:docId w15:val="{2A09A92E-944E-3C49-95ED-AB9A9D8DD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5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5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5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5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5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5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5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5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5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5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5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5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536D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536D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536D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536D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536D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536D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5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5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5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5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5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536D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536D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536D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5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536D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536D7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semiHidden/>
    <w:unhideWhenUsed/>
    <w:rsid w:val="0085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iln">
    <w:name w:val="Strong"/>
    <w:basedOn w:val="Standardnpsmoodstavce"/>
    <w:uiPriority w:val="22"/>
    <w:qFormat/>
    <w:rsid w:val="008536D7"/>
    <w:rPr>
      <w:b/>
      <w:bCs/>
    </w:rPr>
  </w:style>
  <w:style w:type="character" w:styleId="Zdraznn">
    <w:name w:val="Emphasis"/>
    <w:basedOn w:val="Standardnpsmoodstavce"/>
    <w:uiPriority w:val="20"/>
    <w:qFormat/>
    <w:rsid w:val="008536D7"/>
    <w:rPr>
      <w:i/>
      <w:iCs/>
    </w:rPr>
  </w:style>
  <w:style w:type="paragraph" w:styleId="Zhlav">
    <w:name w:val="header"/>
    <w:basedOn w:val="Normln"/>
    <w:link w:val="ZhlavChar"/>
    <w:uiPriority w:val="99"/>
    <w:unhideWhenUsed/>
    <w:rsid w:val="00865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656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6de58f8-cc0d-49df-992b-9d125b744fc2}" enabled="1" method="Standard" siteId="{6573a299-ce07-4046-aaa3-db180daff1a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2148</Words>
  <Characters>12249</Characters>
  <Application>Microsoft Office Word</Application>
  <DocSecurity>0</DocSecurity>
  <Lines>102</Lines>
  <Paragraphs>28</Paragraphs>
  <ScaleCrop>false</ScaleCrop>
  <Company/>
  <LinksUpToDate>false</LinksUpToDate>
  <CharactersWithSpaces>14369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 Gasinec</dc:creator>
  <cp:keywords/>
  <dc:description/>
  <cp:lastModifiedBy>BUŠEK Michal</cp:lastModifiedBy>
  <cp:revision>2</cp:revision>
  <dcterms:created xsi:type="dcterms:W3CDTF">2026-09-29T16:46:00Z</dcterms:created>
  <dcterms:modified xsi:type="dcterms:W3CDTF">2026-09-29T16:46:00Z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1f8c80ca,55ada081,4920080</vt:lpwstr>
  </property>
  <property fmtid="{D5CDD505-2E9C-101B-9397-08002B2CF9AE}" pid="3" name="ClassificationContentMarkingHeaderFontProps">
    <vt:lpwstr>#000000,9,Aptos</vt:lpwstr>
  </property>
  <property fmtid="{D5CDD505-2E9C-101B-9397-08002B2CF9AE}" pid="4" name="ClassificationContentMarkingHeaderText">
    <vt:lpwstr>CONFIDENTIAL (by Asseco CE)</vt:lpwstr>
  </property>
</Properties>
</file>