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E4A0" w14:textId="791E88E6" w:rsidR="00BC0769" w:rsidRDefault="00000000">
      <w:pPr>
        <w:spacing w:before="240" w:after="240"/>
        <w:rPr>
          <w:b/>
          <w:bCs/>
        </w:rPr>
      </w:pPr>
      <w:r>
        <w:rPr>
          <w:b/>
          <w:bCs/>
        </w:rPr>
        <w:t>Výzva: "</w:t>
      </w:r>
      <w:r w:rsidR="00824B6B">
        <w:rPr>
          <w:b/>
          <w:bCs/>
        </w:rPr>
        <w:t>Když</w:t>
      </w:r>
      <w:r>
        <w:rPr>
          <w:b/>
          <w:bCs/>
        </w:rPr>
        <w:t xml:space="preserve"> realita </w:t>
      </w:r>
      <w:r w:rsidR="00824B6B">
        <w:rPr>
          <w:b/>
          <w:bCs/>
        </w:rPr>
        <w:t>překoná</w:t>
      </w:r>
      <w:r>
        <w:rPr>
          <w:b/>
          <w:bCs/>
        </w:rPr>
        <w:t xml:space="preserve"> prognóz</w:t>
      </w:r>
      <w:r w:rsidR="00824B6B">
        <w:rPr>
          <w:b/>
          <w:bCs/>
        </w:rPr>
        <w:t>u</w:t>
      </w:r>
      <w:r>
        <w:rPr>
          <w:b/>
          <w:bCs/>
        </w:rPr>
        <w:t>" – interpretovatelná detekce klinických outlierů</w:t>
      </w:r>
    </w:p>
    <w:p w14:paraId="47E7B740" w14:textId="77777777" w:rsidR="00BC0769" w:rsidRDefault="00000000">
      <w:pPr>
        <w:spacing w:before="240" w:after="240"/>
      </w:pPr>
      <w:r>
        <w:rPr>
          <w:b/>
          <w:bCs/>
        </w:rPr>
        <w:t xml:space="preserve">Téma: </w:t>
      </w:r>
      <w:r>
        <w:t>Hledání a vysvětlení pacientů s neočekávaným průběhem onemocnění</w:t>
      </w:r>
    </w:p>
    <w:p w14:paraId="1F6DE606" w14:textId="77777777" w:rsidR="00BC0769" w:rsidRDefault="00000000">
      <w:pPr>
        <w:spacing w:before="240" w:after="240"/>
      </w:pPr>
      <w:r>
        <w:rPr>
          <w:b/>
          <w:bCs/>
        </w:rPr>
        <w:t>Problém:</w:t>
      </w:r>
      <w:r>
        <w:t xml:space="preserve"> Lékaři mají poměrně dobrou představu o tom, jak vypadá "typický" pacient s danou diagnózou a jaký průběh lze očekávat na základě známých rizikových faktorů. Skutečně zajímaví jsou ale ti, kteří se z tohoto očekávání vymkli – například prošli léčbou s mnohem menší (nebo naopak větší) zátěží hospitalizací a komplikací, než odpovídá jejich diagnóze a věku. Tito pacienti nejsou "šum" v datech, ale potenciální zdroj nového klinického poznání. Cílem je takové pacienty systematicky najít, kvantifikovat míru jejich "neočekávanosti" a hlavně vysvětlit, případně navrhnout k posouzení odborníkem, co je od zbytku kohorty odlišuje.</w:t>
      </w:r>
    </w:p>
    <w:p w14:paraId="561E2A80" w14:textId="77777777" w:rsidR="00BC0769" w:rsidRDefault="00000000">
      <w:pPr>
        <w:spacing w:before="240" w:after="240"/>
      </w:pPr>
      <w:r>
        <w:rPr>
          <w:b/>
          <w:bCs/>
        </w:rPr>
        <w:t>Vstup:</w:t>
      </w:r>
      <w:r>
        <w:t xml:space="preserve"> pseudonymizovaný dataset 157 pacientů dětské onkologie FN Brno (pohlaví, věková skupina, diagnóza a popis nádoru, epizody péče s diagnózami, laboratoř u části pacientů). Sledovaný výsledek si tým definuje sám z průběhu péče – např. počet a délka hospitalizací, výskyt neutropenie (D70) nebo infekcí, opakované příjmy. Očekávání se odvozuje z diagnózy, věku a pohlaví, případně z baseline modelu natrénovaného na těchto datech.</w:t>
      </w:r>
    </w:p>
    <w:p w14:paraId="5E5164CA" w14:textId="77777777" w:rsidR="00BC0769" w:rsidRDefault="00000000">
      <w:pPr>
        <w:spacing w:before="240" w:after="240"/>
        <w:rPr>
          <w:b/>
          <w:bCs/>
        </w:rPr>
      </w:pPr>
      <w:r>
        <w:rPr>
          <w:b/>
          <w:bCs/>
        </w:rPr>
        <w:t>Výstup, který tým musí odevzdat:</w:t>
      </w:r>
    </w:p>
    <w:p w14:paraId="73946F9F" w14:textId="77777777" w:rsidR="00BC0769" w:rsidRDefault="00000000">
      <w:pPr>
        <w:numPr>
          <w:ilvl w:val="0"/>
          <w:numId w:val="4"/>
        </w:numPr>
        <w:spacing w:before="240"/>
      </w:pPr>
      <w:r>
        <w:t>Model, který pro každého pacienta odhadne očekávaný výsledek na základě známých rizikových faktorů a kvantifikuje odchylku skutečného výsledku od očekávání.</w:t>
      </w:r>
    </w:p>
    <w:p w14:paraId="208B2997" w14:textId="77777777" w:rsidR="00BC0769" w:rsidRDefault="00000000">
      <w:pPr>
        <w:numPr>
          <w:ilvl w:val="0"/>
          <w:numId w:val="4"/>
        </w:numPr>
      </w:pPr>
      <w:r>
        <w:t xml:space="preserve">Vysvětlení na úrovni jednotlivce – které konkrétní charakteristiky pacienta přispěly k tomu, že se odchýlil od očekávání (feature-level vysvětlení, </w:t>
      </w:r>
      <w:proofErr w:type="gramStart"/>
      <w:r>
        <w:t>ne jen</w:t>
      </w:r>
      <w:proofErr w:type="gramEnd"/>
      <w:r>
        <w:t xml:space="preserve"> skóre).</w:t>
      </w:r>
    </w:p>
    <w:p w14:paraId="15C73F07" w14:textId="77777777" w:rsidR="00BC0769" w:rsidRDefault="00000000">
      <w:pPr>
        <w:numPr>
          <w:ilvl w:val="0"/>
          <w:numId w:val="4"/>
        </w:numPr>
      </w:pPr>
      <w:r>
        <w:t>Vysvětlení na úrovni skupiny – charakterizace podskupin outlierů (např. "neočekávaní přeživatelé sdílí hodnotu markeru X a typ terapie Y") – tedy shlukování v rámci samotných outlierů, ne v rámci celé populace.</w:t>
      </w:r>
    </w:p>
    <w:p w14:paraId="17C9B9BA" w14:textId="77777777" w:rsidR="00BC0769" w:rsidRDefault="00000000">
      <w:pPr>
        <w:numPr>
          <w:ilvl w:val="0"/>
          <w:numId w:val="4"/>
        </w:numPr>
        <w:spacing w:after="240"/>
      </w:pPr>
      <w:r>
        <w:t>Jednoduché rozhraní/dashboard, kde lékař prochází outliery seřazené podle míry překvapivosti, vidí vysvětlení a může je komentovat/potvrzovat jako klinicky relevantní (human-in-the-loop), s exportem do csv.</w:t>
      </w:r>
    </w:p>
    <w:p w14:paraId="30E6C14E" w14:textId="77777777" w:rsidR="00BC0769" w:rsidRDefault="00000000">
      <w:pPr>
        <w:spacing w:before="240" w:after="240"/>
        <w:rPr>
          <w:b/>
          <w:bCs/>
        </w:rPr>
      </w:pPr>
      <w:r>
        <w:rPr>
          <w:b/>
          <w:bCs/>
        </w:rPr>
        <w:t>Hodnoticí kritéria</w:t>
      </w:r>
    </w:p>
    <w:p w14:paraId="1F9291AC" w14:textId="77777777" w:rsidR="00BC0769" w:rsidRDefault="00000000">
      <w:pPr>
        <w:numPr>
          <w:ilvl w:val="0"/>
          <w:numId w:val="1"/>
        </w:numPr>
        <w:spacing w:before="240"/>
      </w:pPr>
      <w:r>
        <w:t>Klinická relevance nalezených outlierů – dávají odchylky smysl, nejsou to jen datové artefakty?</w:t>
      </w:r>
    </w:p>
    <w:p w14:paraId="54EB4023" w14:textId="77777777" w:rsidR="00BC0769" w:rsidRDefault="00000000">
      <w:pPr>
        <w:numPr>
          <w:ilvl w:val="0"/>
          <w:numId w:val="1"/>
        </w:numPr>
      </w:pPr>
      <w:r>
        <w:t>Interpretovatelnost – rozumí vysvětlení lékař bez datově-analytického vzdělání?</w:t>
      </w:r>
    </w:p>
    <w:p w14:paraId="60085195" w14:textId="77777777" w:rsidR="00BC0769" w:rsidRDefault="00000000">
      <w:pPr>
        <w:numPr>
          <w:ilvl w:val="0"/>
          <w:numId w:val="1"/>
        </w:numPr>
      </w:pPr>
      <w:r>
        <w:t>Human-in-the-loop – umí systém reagovat na zpětnou vazbu (potvrzení/zamítnutí parametrů outlieru)?</w:t>
      </w:r>
    </w:p>
    <w:p w14:paraId="3A2EBD49" w14:textId="77777777" w:rsidR="00BC0769" w:rsidRDefault="00000000">
      <w:pPr>
        <w:numPr>
          <w:ilvl w:val="0"/>
          <w:numId w:val="1"/>
        </w:numPr>
      </w:pPr>
      <w:r>
        <w:t>Zacházení s nejistotou – rozlišuje model mezi "jistým" outlierem a hraničním případem?</w:t>
      </w:r>
    </w:p>
    <w:p w14:paraId="2E207289" w14:textId="77777777" w:rsidR="00BC0769" w:rsidRDefault="00000000">
      <w:pPr>
        <w:numPr>
          <w:ilvl w:val="0"/>
          <w:numId w:val="1"/>
        </w:numPr>
        <w:spacing w:after="240"/>
      </w:pPr>
      <w:r>
        <w:t>UX/prezentace – srozumitelnost pro klinika.</w:t>
      </w:r>
    </w:p>
    <w:p w14:paraId="2DD6C385" w14:textId="77777777" w:rsidR="00BC0769" w:rsidRDefault="00000000">
      <w:pPr>
        <w:spacing w:before="240" w:after="240"/>
        <w:rPr>
          <w:b/>
          <w:bCs/>
        </w:rPr>
      </w:pPr>
      <w:r>
        <w:rPr>
          <w:b/>
          <w:bCs/>
        </w:rPr>
        <w:t>Návrh technologií/metod (inspirace)</w:t>
      </w:r>
    </w:p>
    <w:p w14:paraId="23177F50" w14:textId="77777777" w:rsidR="00BC0769" w:rsidRDefault="00000000">
      <w:pPr>
        <w:spacing w:before="240" w:after="240"/>
        <w:rPr>
          <w:i/>
          <w:iCs/>
        </w:rPr>
      </w:pPr>
      <w:r>
        <w:rPr>
          <w:i/>
          <w:iCs/>
        </w:rPr>
        <w:t>Baseline model očekávaného výsledku:</w:t>
      </w:r>
    </w:p>
    <w:p w14:paraId="577BEA2A" w14:textId="77777777" w:rsidR="00BC0769" w:rsidRDefault="00000000">
      <w:pPr>
        <w:numPr>
          <w:ilvl w:val="0"/>
          <w:numId w:val="6"/>
        </w:numPr>
        <w:spacing w:before="240"/>
      </w:pPr>
      <w:r>
        <w:lastRenderedPageBreak/>
        <w:t>Coxův model / logistická regrese / random forest nad známými prognostickými faktory</w:t>
      </w:r>
    </w:p>
    <w:p w14:paraId="47D33FC0" w14:textId="77777777" w:rsidR="00BC0769" w:rsidRDefault="00000000">
      <w:pPr>
        <w:numPr>
          <w:ilvl w:val="0"/>
          <w:numId w:val="6"/>
        </w:numPr>
        <w:spacing w:after="240"/>
      </w:pPr>
      <w:r>
        <w:t>Nebo přímo použití existujícího klinického skóre jako referenčního očekávání</w:t>
      </w:r>
    </w:p>
    <w:p w14:paraId="0E417136" w14:textId="77777777" w:rsidR="00BC0769" w:rsidRDefault="00000000">
      <w:pPr>
        <w:spacing w:before="240" w:after="240"/>
        <w:rPr>
          <w:i/>
          <w:iCs/>
        </w:rPr>
      </w:pPr>
      <w:r>
        <w:rPr>
          <w:i/>
          <w:iCs/>
        </w:rPr>
        <w:t>Detekce outlierů (nad reziduem/odchylkou od očekávání):</w:t>
      </w:r>
    </w:p>
    <w:p w14:paraId="7FA0CA87" w14:textId="77777777" w:rsidR="00BC0769" w:rsidRDefault="00000000">
      <w:pPr>
        <w:numPr>
          <w:ilvl w:val="0"/>
          <w:numId w:val="5"/>
        </w:numPr>
        <w:spacing w:before="240"/>
      </w:pPr>
      <w:r>
        <w:t>Isolation Forest, Local Outlier Factor</w:t>
      </w:r>
    </w:p>
    <w:p w14:paraId="568699CC" w14:textId="77777777" w:rsidR="00BC0769" w:rsidRDefault="00000000">
      <w:pPr>
        <w:numPr>
          <w:ilvl w:val="0"/>
          <w:numId w:val="5"/>
        </w:numPr>
        <w:spacing w:after="240"/>
      </w:pPr>
      <w:r>
        <w:t>Práce přímo s reziduálem (</w:t>
      </w:r>
      <w:proofErr w:type="gramStart"/>
      <w:r>
        <w:t>skutečný − očekávaný</w:t>
      </w:r>
      <w:proofErr w:type="gramEnd"/>
      <w:r>
        <w:t xml:space="preserve"> výsledek), ne s "surovými" daty</w:t>
      </w:r>
    </w:p>
    <w:p w14:paraId="04C71196" w14:textId="77777777" w:rsidR="00BC0769" w:rsidRDefault="00000000">
      <w:pPr>
        <w:spacing w:before="240" w:after="240"/>
        <w:rPr>
          <w:i/>
          <w:iCs/>
        </w:rPr>
      </w:pPr>
      <w:r>
        <w:rPr>
          <w:i/>
          <w:iCs/>
        </w:rPr>
        <w:t>Interpretovatelnost:</w:t>
      </w:r>
    </w:p>
    <w:p w14:paraId="63FA5F3D" w14:textId="77777777" w:rsidR="00BC0769" w:rsidRDefault="00000000">
      <w:pPr>
        <w:numPr>
          <w:ilvl w:val="0"/>
          <w:numId w:val="2"/>
        </w:numPr>
        <w:spacing w:before="240"/>
      </w:pPr>
      <w:r>
        <w:t>SHAP/LIME nad baseline modelem – co táhne predikci nahoru/dolů</w:t>
      </w:r>
    </w:p>
    <w:p w14:paraId="17248666" w14:textId="77777777" w:rsidR="00BC0769" w:rsidRDefault="00000000">
      <w:pPr>
        <w:numPr>
          <w:ilvl w:val="0"/>
          <w:numId w:val="2"/>
        </w:numPr>
      </w:pPr>
      <w:r>
        <w:t>Counterfactual vysvětlení – jaká hodnota parametru by musela být jiná, aby pacient zapadl do očekávání</w:t>
      </w:r>
    </w:p>
    <w:p w14:paraId="6F44A55C" w14:textId="77777777" w:rsidR="00BC0769" w:rsidRDefault="00000000">
      <w:pPr>
        <w:numPr>
          <w:ilvl w:val="0"/>
          <w:numId w:val="2"/>
        </w:numPr>
        <w:spacing w:after="240"/>
      </w:pPr>
      <w:r>
        <w:t>Shlukování samotných outlierů (ne celé populace)</w:t>
      </w:r>
    </w:p>
    <w:p w14:paraId="37889E01" w14:textId="77777777" w:rsidR="00BC0769" w:rsidRDefault="00000000">
      <w:pPr>
        <w:spacing w:before="240" w:after="240"/>
        <w:rPr>
          <w:i/>
          <w:iCs/>
        </w:rPr>
      </w:pPr>
      <w:r>
        <w:rPr>
          <w:i/>
          <w:iCs/>
        </w:rPr>
        <w:t>Vizualizace:</w:t>
      </w:r>
    </w:p>
    <w:p w14:paraId="0F224F47" w14:textId="77777777" w:rsidR="00BC0769" w:rsidRDefault="00000000">
      <w:pPr>
        <w:numPr>
          <w:ilvl w:val="0"/>
          <w:numId w:val="3"/>
        </w:numPr>
        <w:spacing w:before="240" w:after="240"/>
      </w:pPr>
      <w:r>
        <w:t>Projekce (PCA/UMAP) s celou kohortou na pozadí a outliery zvýrazněnými, barevně odlišenými podle směru odchylky (lepší/horší než očekávání)</w:t>
      </w:r>
    </w:p>
    <w:p w14:paraId="32481223" w14:textId="77777777" w:rsidR="00BC0769" w:rsidRDefault="00000000">
      <w:pPr>
        <w:spacing w:before="240" w:after="240"/>
        <w:rPr>
          <w:b/>
          <w:bCs/>
        </w:rPr>
      </w:pPr>
      <w:r>
        <w:rPr>
          <w:b/>
          <w:bCs/>
        </w:rPr>
        <w:t>Data</w:t>
      </w:r>
    </w:p>
    <w:p w14:paraId="11EC9D2A" w14:textId="77777777" w:rsidR="00BC0769" w:rsidRDefault="00000000">
      <w:pPr>
        <w:spacing w:before="240" w:after="240"/>
      </w:pPr>
      <w:r>
        <w:t xml:space="preserve">Data dostanete jako tři propojené CSV soubory (spojovací klíče patient_id a episode_id) a jejich popis </w:t>
      </w:r>
      <w:proofErr w:type="gramStart"/>
      <w:r>
        <w:t>datapackage.json</w:t>
      </w:r>
      <w:proofErr w:type="gramEnd"/>
      <w:r>
        <w:t>:</w:t>
      </w:r>
    </w:p>
    <w:p w14:paraId="3D55FC92" w14:textId="77777777" w:rsidR="00BC0769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 xml:space="preserve">patients.csv – </w:t>
      </w:r>
      <w:r>
        <w:t>157 pacientů: pohlaví, věková skupina při diagnóze, diagnóza (MKN-10, např. C91), lokalizace a histologie nádoru (ICD-O-3), stadium a TNM, úmrtí.</w:t>
      </w:r>
    </w:p>
    <w:p w14:paraId="26C73C3D" w14:textId="77777777" w:rsidR="00BC0769" w:rsidRDefault="00000000">
      <w:pPr>
        <w:numPr>
          <w:ilvl w:val="0"/>
          <w:numId w:val="1"/>
        </w:numPr>
      </w:pPr>
      <w:r>
        <w:rPr>
          <w:b/>
          <w:bCs/>
        </w:rPr>
        <w:t xml:space="preserve">episodes.csv – </w:t>
      </w:r>
      <w:r>
        <w:t>17 864 epizod péče (1 707 hospitalizací, 16 157 ambulantních kontaktů) s hlavní diagnózou.</w:t>
      </w:r>
    </w:p>
    <w:p w14:paraId="445EC9C6" w14:textId="77777777" w:rsidR="00BC0769" w:rsidRDefault="00000000">
      <w:pPr>
        <w:numPr>
          <w:ilvl w:val="0"/>
          <w:numId w:val="1"/>
        </w:numPr>
      </w:pPr>
      <w:r>
        <w:rPr>
          <w:b/>
          <w:bCs/>
        </w:rPr>
        <w:t xml:space="preserve">labs.csv – </w:t>
      </w:r>
      <w:r>
        <w:t>1 624 výsledků krevního obrazu, diferenciálu, koagulace a biochemie u 49 pacientů, s referenčními mezemi a příznakem L/N/H.</w:t>
      </w:r>
    </w:p>
    <w:p w14:paraId="036F9410" w14:textId="77777777" w:rsidR="00BC0769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Čas </w:t>
      </w:r>
      <w:r>
        <w:t>je ve dnech od první epizody pacienta (E001 = den 0); kalendářní data nejsou.</w:t>
      </w:r>
    </w:p>
    <w:p w14:paraId="6A8FE933" w14:textId="77777777" w:rsidR="00BC0769" w:rsidRDefault="00000000">
      <w:pPr>
        <w:spacing w:before="240" w:after="240"/>
        <w:rPr>
          <w:b/>
          <w:bCs/>
        </w:rPr>
      </w:pPr>
      <w:r>
        <w:rPr>
          <w:b/>
          <w:bCs/>
        </w:rPr>
        <w:t>Na co si dát pozor</w:t>
      </w:r>
    </w:p>
    <w:p w14:paraId="2DF23CFE" w14:textId="77777777" w:rsidR="00BC0769" w:rsidRDefault="00000000">
      <w:pPr>
        <w:numPr>
          <w:ilvl w:val="0"/>
          <w:numId w:val="1"/>
        </w:numPr>
        <w:spacing w:before="240"/>
      </w:pPr>
      <w:r>
        <w:t>Úmrtí je jen u 1 pacienta – přežití jako sledovaný výsledek použít nelze.</w:t>
      </w:r>
    </w:p>
    <w:p w14:paraId="411AB297" w14:textId="77777777" w:rsidR="00BC0769" w:rsidRDefault="00000000">
      <w:pPr>
        <w:numPr>
          <w:ilvl w:val="0"/>
          <w:numId w:val="1"/>
        </w:numPr>
      </w:pPr>
      <w:r>
        <w:t>Stadium je známé jen u 26 pacientů, TNM většinou chybí; medikace a léčba v datech nejsou.</w:t>
      </w:r>
    </w:p>
    <w:p w14:paraId="38422E49" w14:textId="77777777" w:rsidR="00BC0769" w:rsidRDefault="00000000">
      <w:pPr>
        <w:numPr>
          <w:ilvl w:val="0"/>
          <w:numId w:val="1"/>
        </w:numPr>
      </w:pPr>
      <w:r>
        <w:t>Kohorta je malá (157 pacientů) – počítejte s nejistotou a dávejte přednost jednoduchým, interpretovatelným modelům.</w:t>
      </w:r>
    </w:p>
    <w:p w14:paraId="5DF681C8" w14:textId="77777777" w:rsidR="00BC0769" w:rsidRDefault="00000000">
      <w:pPr>
        <w:numPr>
          <w:ilvl w:val="0"/>
          <w:numId w:val="1"/>
        </w:numPr>
        <w:spacing w:after="240"/>
      </w:pPr>
      <w:r>
        <w:t>Kvůli anonymizaci jsou dny epizod (kromě první) náhodně posunuty o 0–3 dny a diagnózy zkráceny na 3 znaky; výsledky laboratoře pod/nad mezí detekce nejsou označené.</w:t>
      </w:r>
    </w:p>
    <w:p w14:paraId="54DDB8A3" w14:textId="77777777" w:rsidR="00BC0769" w:rsidRDefault="00000000">
      <w:pPr>
        <w:spacing w:before="240" w:after="240"/>
        <w:rPr>
          <w:b/>
          <w:bCs/>
        </w:rPr>
      </w:pPr>
      <w:r>
        <w:rPr>
          <w:b/>
          <w:bCs/>
        </w:rPr>
        <w:t>Pravidla užití dat</w:t>
      </w:r>
    </w:p>
    <w:p w14:paraId="1AC39141" w14:textId="77777777" w:rsidR="00BC0769" w:rsidRDefault="00000000">
      <w:pPr>
        <w:numPr>
          <w:ilvl w:val="0"/>
          <w:numId w:val="1"/>
        </w:numPr>
      </w:pPr>
      <w:r>
        <w:t>Nepokoušejte se pacienty identifikovat ani data propojovat s jinými zdroji.</w:t>
      </w:r>
    </w:p>
    <w:p w14:paraId="5BA819D1" w14:textId="77777777" w:rsidR="00BC0769" w:rsidRDefault="00000000">
      <w:pPr>
        <w:numPr>
          <w:ilvl w:val="0"/>
          <w:numId w:val="1"/>
        </w:numPr>
      </w:pPr>
      <w:r>
        <w:t>Nesdílejte data mimo tým a nenahrávejte je do veřejných repozitářů ani služeb mimo schválené prostředí.</w:t>
      </w:r>
    </w:p>
    <w:p w14:paraId="4386942A" w14:textId="77777777" w:rsidR="00BC0769" w:rsidRDefault="00000000">
      <w:pPr>
        <w:numPr>
          <w:ilvl w:val="0"/>
          <w:numId w:val="1"/>
        </w:numPr>
        <w:spacing w:after="240"/>
      </w:pPr>
      <w:r>
        <w:lastRenderedPageBreak/>
        <w:t>Po skončení hackathonu data smažte.</w:t>
      </w:r>
    </w:p>
    <w:p w14:paraId="1CEEEE7E" w14:textId="77777777" w:rsidR="00BC0769" w:rsidRDefault="00BC0769"/>
    <w:sectPr w:rsidR="00BC0769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FF96189C-C1A9-4031-8765-3E5DD25A3727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6D974D64-CDA5-4779-9CFD-4E03092530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2E06"/>
    <w:multiLevelType w:val="multilevel"/>
    <w:tmpl w:val="9BA44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37CE9"/>
    <w:multiLevelType w:val="multilevel"/>
    <w:tmpl w:val="B4B64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854738"/>
    <w:multiLevelType w:val="multilevel"/>
    <w:tmpl w:val="CA387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303659"/>
    <w:multiLevelType w:val="multilevel"/>
    <w:tmpl w:val="315E5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F07293"/>
    <w:multiLevelType w:val="multilevel"/>
    <w:tmpl w:val="9850B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046594"/>
    <w:multiLevelType w:val="multilevel"/>
    <w:tmpl w:val="4F62E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6270215">
    <w:abstractNumId w:val="3"/>
  </w:num>
  <w:num w:numId="2" w16cid:durableId="1513379966">
    <w:abstractNumId w:val="0"/>
  </w:num>
  <w:num w:numId="3" w16cid:durableId="1820490264">
    <w:abstractNumId w:val="1"/>
  </w:num>
  <w:num w:numId="4" w16cid:durableId="1936162004">
    <w:abstractNumId w:val="4"/>
  </w:num>
  <w:num w:numId="5" w16cid:durableId="912936261">
    <w:abstractNumId w:val="5"/>
  </w:num>
  <w:num w:numId="6" w16cid:durableId="408621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769"/>
    <w:rsid w:val="00723E1F"/>
    <w:rsid w:val="00824B6B"/>
    <w:rsid w:val="00BC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26CF"/>
  <w15:docId w15:val="{41617553-C7E9-4DD5-92BA-60D8B0A6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i/>
      <w:iCs/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656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Winklerová Anna</cp:lastModifiedBy>
  <cp:revision>2</cp:revision>
  <dcterms:created xsi:type="dcterms:W3CDTF">2026-10-16T11:52:00Z</dcterms:created>
  <dcterms:modified xsi:type="dcterms:W3CDTF">2026-10-16T11:54:00Z</dcterms:modified>
</cp:coreProperties>
</file>