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 integrations with Hadoop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http://barbra-coco.dyndns.org/student/hadoop/Big-Data-Analytics-with-R-and-Hadoop.pdf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RR  package (more integrated with plots)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RHIPE is specially designed for providing a lower-level interface over Hadoop.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three categories: Initialization, HDFS, and MapReduce operations.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RHIPE package uses the Divide and Recombine technique to perform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analytics over Big Data. In this technique, data is divided into subsets, computation is performed over those subsets by specific R analytics operations, and the output is combined. RHIPE has mainly been designed to accomplish two goals that are as follows:</w:t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Allowing you to perform in-depth analysis of large as well as small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Allowing users to perform the analytics operations within R using a lower- level language. RHIPE is designed with several functions that help perform Hadoop Distribute File System (HDFS) as well as MapReduce operations using a simple R console.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RHIPE is a lower-level interface as compared to HDFS and MapReduce operation.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Rhadoop: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rhdfs, rmr, rhbase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Hadoop Streaming - slow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snow</w:t>
      </w:r>
      <w:r w:rsidDel="00000000" w:rsidR="00000000" w:rsidRPr="00000000">
        <w:drawing>
          <wp:inline distB="114300" distT="114300" distL="114300" distR="114300">
            <wp:extent cx="5286375" cy="1933575"/>
            <wp:effectExtent b="0" l="0" r="0" t="0"/>
            <wp:docPr descr="Screen Shot 2015-01-27 at 2.52.18 PM.png" id="1" name="image01.png"/>
            <a:graphic>
              <a:graphicData uri="http://schemas.openxmlformats.org/drawingml/2006/picture">
                <pic:pic>
                  <pic:nvPicPr>
                    <pic:cNvPr descr="Screen Shot 2015-01-27 at 2.52.18 PM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 benchmarks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http://www.revolutionanalytics.com/revolution-revor-enterprise-benchmark-details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Matrix multiply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Cholesky Factorization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Singular value decompositions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Principal Components Analysis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Linear Discriminant analysis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Benchmarks for Hadoop: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http://www.michael-noll.com/blog/2011/04/09/benchmarking-and-stress-testing-an-hadoop-cluster-with-terasort-testdfsio-nnbench-mrbench/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Matrix multiplication for big ones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http://www.cse.buffalo.edu/faculty/miller/Courses/CSE633/Ortega-Fall-2012-CSE633.pdf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www.michael-noll.com/blog/2011/04/09/benchmarking-and-stress-testing-an-hadoop-cluster-with-terasort-testdfsio-nnbench-mrbench/" TargetMode="External"/><Relationship Id="rId5" Type="http://schemas.openxmlformats.org/officeDocument/2006/relationships/image" Target="media/image01.png"/></Relationships>
</file>