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bookmarkEnd w:id="1"/>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Analytical Skills, Attention To Detail, Multicultural Understanding, Organizational Skills, Time Management Skills, Presentation Skills, Verbal Communication Skills, Interpersonal Skills, Collaboration, </w:t>
      </w:r>
      <w:r>
        <w:rPr>
          <w:rFonts w:cs="Calibri" w:ascii="Calibri-Bold" w:hAnsi="Calibri-Bold"/>
          <w:b w:val="false"/>
          <w:bCs w:val="false"/>
          <w:sz w:val="18"/>
          <w:szCs w:val="18"/>
          <w:lang w:val="en-US"/>
        </w:rPr>
        <w:t xml:space="preserve">Negotiation Skills, Market Research, Search Engine Optimization / SEO, Wordpress, PHP, Jekyll, </w:t>
      </w:r>
      <w:r>
        <w:rPr>
          <w:rFonts w:cs="Calibri" w:ascii="Calibri-Bold" w:hAnsi="Calibri-Bold"/>
          <w:b w:val="false"/>
          <w:bCs w:val="false"/>
          <w:sz w:val="18"/>
          <w:szCs w:val="18"/>
          <w:lang w:val="en-US"/>
        </w:rPr>
        <w:t xml:space="preserve">Integrity, </w:t>
      </w:r>
      <w:r>
        <w:rPr>
          <w:rFonts w:eastAsia="Calibri" w:cs="Calibri" w:ascii="Calibri-Bold" w:hAnsi="Calibri-Bold"/>
          <w:b w:val="false"/>
          <w:bCs w:val="false"/>
          <w:color w:val="auto"/>
          <w:kern w:val="0"/>
          <w:sz w:val="18"/>
          <w:szCs w:val="18"/>
          <w:lang w:val="en-US" w:eastAsia="en-US" w:bidi="ar-SA"/>
        </w:rPr>
        <w:t>PMI Agile Certified Practitioner</w:t>
      </w:r>
      <w:r>
        <w:rPr>
          <w:rFonts w:cs="Calibri" w:ascii="Calibri-Bold" w:hAnsi="Calibri-Bold"/>
          <w:b w:val="false"/>
          <w:bCs w:val="false"/>
          <w:sz w:val="18"/>
          <w:szCs w:val="18"/>
          <w:lang w:val="en-US"/>
        </w:rPr>
        <w:t xml:space="preserve"> / </w:t>
      </w:r>
      <w:r>
        <w:rPr>
          <w:rFonts w:eastAsia="Calibri" w:cs="Calibri" w:ascii="Calibri-Bold" w:hAnsi="Calibri-Bold"/>
          <w:b w:val="false"/>
          <w:bCs w:val="false"/>
          <w:color w:val="auto"/>
          <w:kern w:val="0"/>
          <w:sz w:val="18"/>
          <w:szCs w:val="18"/>
          <w:lang w:val="en-US" w:eastAsia="en-US" w:bidi="ar-SA"/>
        </w:rPr>
        <w:t>ACP</w:t>
      </w:r>
      <w:r>
        <w:rPr>
          <w:rFonts w:cs="Calibri" w:ascii="Calibri-Bold" w:hAnsi="Calibri-Bold"/>
          <w:b w:val="false"/>
          <w:bCs w:val="false"/>
          <w:sz w:val="18"/>
          <w:szCs w:val="18"/>
          <w:lang w:val="en-US"/>
        </w:rPr>
        <w:t xml:space="preserve"> Course, PMP PMI Course: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2" w:name="__DdeLink__844_32812577072"/>
      <w:r>
        <w:rPr>
          <w:rFonts w:cs="Calibri" w:ascii="Calibri" w:hAnsi="Calibri"/>
          <w:sz w:val="18"/>
          <w:szCs w:val="18"/>
          <w:lang w:val="en-US" w:eastAsia="de-DE"/>
        </w:rPr>
        <w:tab/>
      </w:r>
      <w:bookmarkEnd w:id="2"/>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3"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3"/>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4" w:name="__DdeLink__4474_4229894912"/>
      <w:r>
        <w:rPr>
          <w:rFonts w:cs="Calibri" w:ascii="Calibri" w:hAnsi="Calibri"/>
          <w:sz w:val="18"/>
          <w:szCs w:val="18"/>
          <w:lang w:val="en-US"/>
        </w:rPr>
        <w:t>Using the Entity Framework Core as the ORM</w:t>
      </w:r>
      <w:bookmarkEnd w:id="4"/>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3260" cy="40640"/>
              <wp:effectExtent l="0" t="0" r="0" b="0"/>
              <wp:docPr id="1" name=""/>
              <a:graphic xmlns:a="http://schemas.openxmlformats.org/drawingml/2006/main">
                <a:graphicData uri="http://schemas.microsoft.com/office/word/2010/wordprocessingShape">
                  <wps:wsp>
                    <wps:cNvSpPr/>
                    <wps:spPr>
                      <a:xfrm>
                        <a:off x="0" y="0"/>
                        <a:ext cx="5762520" cy="399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2pt;width:453.7pt;height:3.1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3610</TotalTime>
  <Application>LibreOffice/6.3.3.2$Windows_X86_64 LibreOffice_project/a64200df03143b798afd1ec74a12ab50359878ed</Application>
  <Pages>3</Pages>
  <Words>1306</Words>
  <Characters>8075</Characters>
  <CharactersWithSpaces>9300</CharactersWithSpaces>
  <Paragraphs>87</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2020-05-09T17:59:22Z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