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6348" w14:textId="77777777" w:rsidR="00206338" w:rsidRPr="002316C8" w:rsidRDefault="00DC0D7C" w:rsidP="00DC0D7C">
      <w:pPr>
        <w:spacing w:before="100" w:beforeAutospacing="1" w:after="100" w:afterAutospacing="1" w:line="240" w:lineRule="auto"/>
        <w:rPr>
          <w:rFonts w:ascii="Arial" w:hAnsi="Arial" w:cs="Arial"/>
          <w:color w:val="500050"/>
          <w:sz w:val="24"/>
          <w:szCs w:val="24"/>
          <w:shd w:val="clear" w:color="auto" w:fill="FFFFFF"/>
        </w:rPr>
      </w:pPr>
      <w:r w:rsidRPr="002316C8">
        <w:rPr>
          <w:rFonts w:ascii="Arial" w:hAnsi="Arial" w:cs="Arial"/>
          <w:color w:val="500050"/>
          <w:sz w:val="24"/>
          <w:szCs w:val="24"/>
          <w:shd w:val="clear" w:color="auto" w:fill="FFFFFF"/>
        </w:rPr>
        <w:t>Nawiązując do ustaleń na spotkaniu w dniu 24 października przekazujemy  nasze propozycje organizacji ruchu w celu przywrócenia  bezpieczeństwa na naszych ulicach</w:t>
      </w:r>
      <w:r w:rsidR="00206338" w:rsidRPr="002316C8">
        <w:rPr>
          <w:rFonts w:ascii="Arial" w:hAnsi="Arial" w:cs="Arial"/>
          <w:color w:val="500050"/>
          <w:sz w:val="24"/>
          <w:szCs w:val="24"/>
          <w:shd w:val="clear" w:color="auto" w:fill="FFFFFF"/>
        </w:rPr>
        <w:t>:</w:t>
      </w:r>
    </w:p>
    <w:p w14:paraId="7D13F505" w14:textId="137D5E48" w:rsidR="00DC0D7C" w:rsidRPr="002316C8" w:rsidRDefault="00206338" w:rsidP="00DC0D7C">
      <w:pPr>
        <w:spacing w:before="100" w:beforeAutospacing="1" w:after="100" w:afterAutospacing="1" w:line="240" w:lineRule="auto"/>
        <w:rPr>
          <w:rFonts w:ascii="Arial" w:hAnsi="Arial" w:cs="Arial"/>
          <w:color w:val="500050"/>
          <w:sz w:val="24"/>
          <w:szCs w:val="24"/>
          <w:shd w:val="clear" w:color="auto" w:fill="FFFFFF"/>
        </w:rPr>
      </w:pPr>
      <w:r w:rsidRPr="002316C8">
        <w:rPr>
          <w:rFonts w:ascii="Arial" w:hAnsi="Arial" w:cs="Arial"/>
          <w:color w:val="500050"/>
          <w:sz w:val="24"/>
          <w:szCs w:val="24"/>
          <w:shd w:val="clear" w:color="auto" w:fill="FFFFFF"/>
        </w:rPr>
        <w:t xml:space="preserve">- </w:t>
      </w:r>
      <w:r w:rsidR="00DC0D7C" w:rsidRPr="002316C8">
        <w:rPr>
          <w:rFonts w:ascii="Arial" w:hAnsi="Arial" w:cs="Arial"/>
          <w:color w:val="500050"/>
          <w:sz w:val="24"/>
          <w:szCs w:val="24"/>
          <w:shd w:val="clear" w:color="auto" w:fill="FFFFFF"/>
        </w:rPr>
        <w:t xml:space="preserve"> 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zmiana organizacji na odcinku </w:t>
      </w:r>
      <w:proofErr w:type="spellStart"/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Obornicka-Rugego</w:t>
      </w:r>
      <w:proofErr w:type="spellEnd"/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na jednokierunkowy jest niezbędnym minimum aby </w:t>
      </w:r>
      <w:r w:rsidR="003E3EB3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naprawić 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wcześniejsze błędy decyzyjne</w:t>
      </w:r>
      <w:r w:rsidR="00DC0D7C" w:rsidRPr="002316C8">
        <w:rPr>
          <w:rFonts w:ascii="Arial" w:hAnsi="Arial" w:cs="Arial"/>
          <w:color w:val="500050"/>
          <w:sz w:val="24"/>
          <w:szCs w:val="24"/>
          <w:shd w:val="clear" w:color="auto" w:fill="FFFFFF"/>
        </w:rPr>
        <w:t xml:space="preserve"> </w:t>
      </w:r>
    </w:p>
    <w:p w14:paraId="5A9DA78F" w14:textId="36D472D6" w:rsidR="00206338" w:rsidRPr="002316C8" w:rsidRDefault="00206338" w:rsidP="0020633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316C8">
        <w:rPr>
          <w:rFonts w:ascii="Arial" w:hAnsi="Arial" w:cs="Arial"/>
          <w:color w:val="500050"/>
          <w:sz w:val="24"/>
          <w:szCs w:val="24"/>
          <w:shd w:val="clear" w:color="auto" w:fill="FFFFFF"/>
        </w:rPr>
        <w:t xml:space="preserve">- 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r w:rsidR="003E3EB3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wskazane jest 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uzupełnienie tej organizacji o postawienie znaku C-8 (nakaz jazdy w prawo lub w lewo) na wjeździe od strony Hulewiczów na skrzyżowanie z Obornickiej.</w:t>
      </w:r>
    </w:p>
    <w:p w14:paraId="43B32B9F" w14:textId="4FC0B446" w:rsidR="00206338" w:rsidRDefault="00206338" w:rsidP="0020633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br/>
        <w:t xml:space="preserve">- rozwiązanie preferowane  i wskazywane przez nas jako najlepsze to wyłączenie odcinka od Obornickiej do </w:t>
      </w:r>
      <w:proofErr w:type="spellStart"/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Rugego</w:t>
      </w:r>
      <w:proofErr w:type="spellEnd"/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z ruchu w zakresie umożliwiającym dojazd do posesji i przejazd  jedynie rowerowy.</w:t>
      </w:r>
    </w:p>
    <w:p w14:paraId="69D8E788" w14:textId="77777777" w:rsidR="00837C11" w:rsidRDefault="00837C11" w:rsidP="0020633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09133EC9" w14:textId="77777777" w:rsidR="00837C11" w:rsidRDefault="00837C11" w:rsidP="00837C1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Wnioski:</w:t>
      </w:r>
    </w:p>
    <w:p w14:paraId="562B1846" w14:textId="11692092" w:rsidR="00DC0D7C" w:rsidRPr="002316C8" w:rsidRDefault="00206338" w:rsidP="00837C1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1/ Z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arówno na spotkaniu w terenie jak i w czasie prezentacji MIR potwierdził, że nasze ulice nie są przewidziane do ruchu tranzytowego a zwłasz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cz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a ruchu o takim natężeniu.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P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odobnie, informacja na spotkaniu brzmiała, że 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to 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ulica </w:t>
      </w:r>
      <w:proofErr w:type="spellStart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Omańkowskiej</w:t>
      </w:r>
      <w:proofErr w:type="spellEnd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jest przeznaczona jako ulica łącząca Strzeszyńską z Obornicką</w:t>
      </w:r>
    </w:p>
    <w:p w14:paraId="4E4F1796" w14:textId="4BAAB135" w:rsidR="00DC0D7C" w:rsidRPr="002316C8" w:rsidRDefault="00206338" w:rsidP="0020633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2/ Ni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e ma żadnego uzasadnienia oczekiwanie na zmiany na skrzyżowaniu </w:t>
      </w:r>
      <w:proofErr w:type="spellStart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Omańkowskiej</w:t>
      </w:r>
      <w:proofErr w:type="spellEnd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/Obornicka z kilku powodów:</w:t>
      </w:r>
    </w:p>
    <w:p w14:paraId="4B48AD62" w14:textId="5F6995E6" w:rsidR="00DC0D7C" w:rsidRPr="002316C8" w:rsidRDefault="002316C8" w:rsidP="002316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- 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ulica </w:t>
      </w:r>
      <w:proofErr w:type="spellStart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Omańkowskiej</w:t>
      </w:r>
      <w:proofErr w:type="spellEnd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jest ulicą dużo lepszej kategorii, posiada chodniki oraz odpowiednią szerokość, dlatego wykorzystanie jej zgodnie z przeznaczeniem nie powinno być 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przeszkodą </w:t>
      </w:r>
    </w:p>
    <w:p w14:paraId="3E3064EA" w14:textId="1D65219C" w:rsidR="00DC0D7C" w:rsidRPr="002316C8" w:rsidRDefault="002316C8" w:rsidP="002316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- 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wcześniejsza zmiana organizacji na ul. </w:t>
      </w:r>
      <w:proofErr w:type="spellStart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Rugego</w:t>
      </w:r>
      <w:proofErr w:type="spellEnd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, która spowodowała zwiększenie ruchu na ul Drwęskiego o co najmniej kilkaset procent, została zrealizowana bez wprowadzenia rozwiązania 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całościowego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, o które teraz walczymy</w:t>
      </w:r>
    </w:p>
    <w:p w14:paraId="619C3674" w14:textId="05B43F9B" w:rsidR="00DC0D7C" w:rsidRPr="002316C8" w:rsidRDefault="002316C8" w:rsidP="002316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- 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nieprawdą jest, że prosta zmiana oznakowania i organizacji ruchu wymaga dużych projektów i procesów. W tej chwili działamy w procesie usuwania błędu MIR, który to nie zabezpieczył ulic </w:t>
      </w:r>
      <w:proofErr w:type="spellStart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Rugego</w:t>
      </w:r>
      <w:proofErr w:type="spellEnd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i Kaczmarka wprowadzając poprzednią zmianą organizacji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(w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takich przypadkach znamy działania, które ze względu bezpieczeństwa właśnie zostały dokonane w terminie tygodnia. Przykładem jest skrzyżowanie Kaczmarka i </w:t>
      </w:r>
      <w:proofErr w:type="spellStart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Omańkowskiej</w:t>
      </w:r>
      <w:proofErr w:type="spellEnd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. Po negatywnych opiniach zmiany pierwszeństwa, zmianę korygującą dokonano bez zbędnej zwłoki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)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.</w:t>
      </w:r>
    </w:p>
    <w:p w14:paraId="40E1EAFD" w14:textId="5C2C23A3" w:rsidR="00DC0D7C" w:rsidRPr="002316C8" w:rsidRDefault="002316C8" w:rsidP="002316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- 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nieprawdą jest, że poprzednia zmiana organizacji ruchu na ul. </w:t>
      </w:r>
      <w:proofErr w:type="spellStart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Rugego</w:t>
      </w:r>
      <w:proofErr w:type="spellEnd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nie była błędem. Była ona błędem, bo właśnie była niekompletna. Nie zabezpieczono przed przeniesieniem nadmiernego ruchu na ul Kaczmarka i Drwęskiego. Sam przedstawiciel MIR powiedział, że ruch jest nadmierny, więc dokonał zmiany skutkującej błędem organizacyjnym - nadmiernym obciążeniem.</w:t>
      </w:r>
    </w:p>
    <w:p w14:paraId="3600C680" w14:textId="23B20B79" w:rsidR="00DC0D7C" w:rsidRPr="002316C8" w:rsidRDefault="002316C8" w:rsidP="002316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- 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nieprawdą jest, że nie można tej ulicy zamknąć. W Poznaniu i w okolicy jest bardzo dużo takich ulic, które właśnie ze względu na osiedlowy charakter nie są połączone z główną ulicą i to w dzielnicach o wiele większym natężeniu ruchu i gęstości zamieszkania</w:t>
      </w: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( np. 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Gala Anonima X Przybyszewskiego, Długosza x Przybyszewskiego, Wawrzyniaka x Bukowska. W podobny sposób też projektuje się 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lastRenderedPageBreak/>
        <w:t>osiedla, jak na przykładzie rejonu ulic Pawłowicka, Łagiewnicka, Obornicka w </w:t>
      </w:r>
      <w:hyperlink r:id="rId5" w:tgtFrame="_blank" w:history="1">
        <w:r w:rsidR="00DC0D7C" w:rsidRPr="002316C8">
          <w:rPr>
            <w:rStyle w:val="Hipercze"/>
            <w:rFonts w:ascii="Arial" w:eastAsia="Times New Roman" w:hAnsi="Arial" w:cs="Arial"/>
            <w:color w:val="auto"/>
            <w:kern w:val="0"/>
            <w:sz w:val="24"/>
            <w:szCs w:val="24"/>
            <w:lang w:eastAsia="pl-PL"/>
            <w14:ligatures w14:val="none"/>
          </w:rPr>
          <w:t>Złotnikach</w:t>
        </w:r>
      </w:hyperlink>
      <w:r w:rsidRPr="002316C8">
        <w:rPr>
          <w:rFonts w:ascii="Arial" w:hAnsi="Arial" w:cs="Arial"/>
          <w:sz w:val="24"/>
          <w:szCs w:val="24"/>
        </w:rPr>
        <w:t>)</w:t>
      </w:r>
    </w:p>
    <w:p w14:paraId="56CBE721" w14:textId="5CF1672A" w:rsidR="00DC0D7C" w:rsidRPr="002316C8" w:rsidRDefault="002316C8" w:rsidP="002316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3/ Z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arówno obecne starania jak i poprzednia zmiana organizacji na ul. </w:t>
      </w:r>
      <w:proofErr w:type="spellStart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Rugego</w:t>
      </w:r>
      <w:proofErr w:type="spellEnd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jest tylko leczeniem skutków wcześniejszej niekompletnej/niekompetentnej decyzji przy przebudowie skrzyżowania Hulewiczów x Obornicka x Drwęskiego. Od czasu zmiany organizacji ruchu na tym skrzyżowaniu zaczął powiększać się horror na ulicy </w:t>
      </w:r>
      <w:proofErr w:type="spellStart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Rugego</w:t>
      </w:r>
      <w:proofErr w:type="spellEnd"/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, który przez lata był ignorowany. Obecne działania MIR zamiast na usunięcie problemu są kierowane na  rozmycie </w:t>
      </w: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ruchu 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na inne ulice i skłócenie mieszkańców. Dodatkowo w żadnej z decyzji nie wi</w:t>
      </w: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dać</w:t>
      </w:r>
      <w:r w:rsidR="00DC0D7C" w:rsidRPr="002316C8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zadbania o bezpieczeństwo pieszych, którzy są najbardziej narażeni. Manifestuje się postawę poświęcania bezpieczeństwa pieszych na rzecz zwiększenia przepustowości kierowców w samochodach.</w:t>
      </w:r>
    </w:p>
    <w:p w14:paraId="1CEA3A61" w14:textId="77777777" w:rsidR="00DC0D7C" w:rsidRDefault="00DC0D7C" w:rsidP="00DC0D7C"/>
    <w:p w14:paraId="638DE7E1" w14:textId="77777777" w:rsidR="000D4255" w:rsidRPr="000D4255" w:rsidRDefault="000D4255">
      <w:pPr>
        <w:rPr>
          <w:rFonts w:cstheme="minorHAnsi"/>
          <w:sz w:val="24"/>
          <w:szCs w:val="24"/>
        </w:rPr>
      </w:pPr>
    </w:p>
    <w:sectPr w:rsidR="000D4255" w:rsidRPr="000D4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937"/>
    <w:multiLevelType w:val="hybridMultilevel"/>
    <w:tmpl w:val="5C8E28FE"/>
    <w:lvl w:ilvl="0" w:tplc="09ECE9DC">
      <w:start w:val="3"/>
      <w:numFmt w:val="decimal"/>
      <w:lvlText w:val="%1"/>
      <w:lvlJc w:val="left"/>
      <w:pPr>
        <w:ind w:left="720" w:hanging="360"/>
      </w:pPr>
      <w:rPr>
        <w:rFonts w:eastAsia="Calibri" w:hint="default"/>
        <w:color w:val="0000FF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94796"/>
    <w:multiLevelType w:val="hybridMultilevel"/>
    <w:tmpl w:val="F0A819B2"/>
    <w:lvl w:ilvl="0" w:tplc="148E0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65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E11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E2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F2A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5CE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080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6B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16D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A6923"/>
    <w:multiLevelType w:val="hybridMultilevel"/>
    <w:tmpl w:val="495843E6"/>
    <w:lvl w:ilvl="0" w:tplc="5F42D73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1C2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6C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50F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D49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4E1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AD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C40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567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8334F"/>
    <w:multiLevelType w:val="hybridMultilevel"/>
    <w:tmpl w:val="42C84D02"/>
    <w:lvl w:ilvl="0" w:tplc="DEF27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6F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96C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9E5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1CF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1AC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44AD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181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C9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D77A0"/>
    <w:multiLevelType w:val="multilevel"/>
    <w:tmpl w:val="F628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012355">
    <w:abstractNumId w:val="4"/>
  </w:num>
  <w:num w:numId="2" w16cid:durableId="372924624">
    <w:abstractNumId w:val="3"/>
  </w:num>
  <w:num w:numId="3" w16cid:durableId="1863206853">
    <w:abstractNumId w:val="1"/>
  </w:num>
  <w:num w:numId="4" w16cid:durableId="423185960">
    <w:abstractNumId w:val="2"/>
  </w:num>
  <w:num w:numId="5" w16cid:durableId="819733480">
    <w:abstractNumId w:val="4"/>
  </w:num>
  <w:num w:numId="6" w16cid:durableId="284771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21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0059297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626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9F"/>
    <w:rsid w:val="000D4255"/>
    <w:rsid w:val="00206338"/>
    <w:rsid w:val="002316C8"/>
    <w:rsid w:val="003E3EB3"/>
    <w:rsid w:val="0046357F"/>
    <w:rsid w:val="005A119F"/>
    <w:rsid w:val="00837C11"/>
    <w:rsid w:val="00860799"/>
    <w:rsid w:val="00947DFB"/>
    <w:rsid w:val="00C76AF8"/>
    <w:rsid w:val="00DC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4FD9"/>
  <w15:chartTrackingRefBased/>
  <w15:docId w15:val="{A94F1D8C-434E-46BA-9746-B442F0CF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42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0D4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DC0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22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11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4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87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2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1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8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4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4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ps.app.goo.gl/RYnQRdzrpK5tK5R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516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Śniedziewska</dc:creator>
  <cp:keywords/>
  <dc:description/>
  <cp:lastModifiedBy>Barbara Śniedziewska</cp:lastModifiedBy>
  <cp:revision>5</cp:revision>
  <dcterms:created xsi:type="dcterms:W3CDTF">2023-11-02T18:07:00Z</dcterms:created>
  <dcterms:modified xsi:type="dcterms:W3CDTF">2023-11-02T20:07:00Z</dcterms:modified>
</cp:coreProperties>
</file>