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345.0" w:type="dxa"/>
        <w:jc w:val="left"/>
        <w:tblInd w:w="637.0" w:type="dxa"/>
        <w:tblLayout w:type="fixed"/>
        <w:tblLook w:val="0000"/>
      </w:tblPr>
      <w:tblGrid>
        <w:gridCol w:w="4067"/>
        <w:gridCol w:w="4278"/>
        <w:tblGridChange w:id="0">
          <w:tblGrid>
            <w:gridCol w:w="4067"/>
            <w:gridCol w:w="4278"/>
          </w:tblGrid>
        </w:tblGridChange>
      </w:tblGrid>
      <w:tr>
        <w:trPr>
          <w:cantSplit w:val="0"/>
          <w:trHeight w:val="1147" w:hRule="atLeast"/>
          <w:tblHeader w:val="0"/>
        </w:trPr>
        <w:tc>
          <w:tcPr>
            <w:gridSpan w:val="2"/>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1" w:lineRule="auto"/>
              <w:ind w:left="68" w:right="68" w:firstLine="0"/>
              <w:jc w:val="center"/>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0"/>
                <w:i w:val="0"/>
                <w:smallCaps w:val="0"/>
                <w:strike w:val="0"/>
                <w:color w:val="1f3863"/>
                <w:sz w:val="48"/>
                <w:szCs w:val="48"/>
                <w:u w:val="none"/>
                <w:shd w:fill="auto" w:val="clear"/>
                <w:vertAlign w:val="baseline"/>
                <w:rtl w:val="0"/>
              </w:rPr>
              <w:t xml:space="preserve">Jurnal Pendidikan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8" w:right="61"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f3863"/>
                <w:sz w:val="20"/>
                <w:szCs w:val="20"/>
                <w:u w:val="none"/>
                <w:shd w:fill="auto" w:val="clear"/>
                <w:vertAlign w:val="baseline"/>
                <w:rtl w:val="0"/>
              </w:rPr>
              <w:t xml:space="preserve">e-ISSN: 2443-3586 | p-ISSN: 1411-1942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 w:right="61"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Website </w:t>
            </w:r>
            <w:hyperlink r:id="rId7">
              <w:r w:rsidDel="00000000" w:rsidR="00000000" w:rsidRPr="00000000">
                <w:rPr>
                  <w:rFonts w:ascii="Cambria" w:cs="Cambria" w:eastAsia="Cambria" w:hAnsi="Cambria"/>
                  <w:b w:val="0"/>
                  <w:i w:val="0"/>
                  <w:smallCaps w:val="0"/>
                  <w:strike w:val="0"/>
                  <w:color w:val="0462c1"/>
                  <w:sz w:val="20"/>
                  <w:szCs w:val="20"/>
                  <w:u w:val="single"/>
                  <w:shd w:fill="auto" w:val="clear"/>
                  <w:vertAlign w:val="baseline"/>
                  <w:rtl w:val="0"/>
                </w:rPr>
                <w:t xml:space="preserve">http://jurnal.ut.ac.id/index.php/jp</w:t>
              </w:r>
            </w:hyperlink>
            <w:r w:rsidDel="00000000" w:rsidR="00000000" w:rsidRPr="00000000">
              <w:rPr>
                <w:rtl w:val="0"/>
              </w:rPr>
            </w:r>
          </w:p>
        </w:tc>
      </w:tr>
      <w:tr>
        <w:trPr>
          <w:cantSplit w:val="0"/>
          <w:trHeight w:val="608" w:hRule="atLeast"/>
          <w:tblHeader w:val="0"/>
        </w:trPr>
        <w:tc>
          <w:tcPr>
            <w:tcBorders>
              <w:bottom w:color="000000" w:space="0" w:sz="24" w:val="single"/>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 w:right="1559"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1f3863"/>
                <w:sz w:val="18"/>
                <w:szCs w:val="18"/>
                <w:u w:val="none"/>
                <w:shd w:fill="auto" w:val="clear"/>
                <w:vertAlign w:val="baseline"/>
                <w:rtl w:val="0"/>
              </w:rPr>
              <w:t xml:space="preserve">Open access under CC BY NC SA Copyright © 2022, the author(s)</w:t>
            </w:r>
            <w:r w:rsidDel="00000000" w:rsidR="00000000" w:rsidRPr="00000000">
              <w:rPr>
                <w:rtl w:val="0"/>
              </w:rPr>
            </w:r>
          </w:p>
        </w:tc>
        <w:tc>
          <w:tcPr>
            <w:tcBorders>
              <w:bottom w:color="000000" w:space="0" w:sz="2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566" w:right="-15"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1f3863"/>
                <w:sz w:val="18"/>
                <w:szCs w:val="18"/>
                <w:u w:val="none"/>
                <w:shd w:fill="auto" w:val="clear"/>
                <w:vertAlign w:val="baseline"/>
                <w:rtl w:val="0"/>
              </w:rPr>
              <w:t xml:space="preserve">Vol. xx, No. x, 20xx, xx-xx DOI: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10.33830/jp.xxxxxxxx</w:t>
            </w:r>
          </w:p>
        </w:tc>
      </w:tr>
      <w:tr>
        <w:trPr>
          <w:cantSplit w:val="0"/>
          <w:trHeight w:val="969" w:hRule="atLeast"/>
          <w:tblHeader w:val="0"/>
        </w:trPr>
        <w:tc>
          <w:tcPr>
            <w:gridSpan w:val="2"/>
            <w:tcBorders>
              <w:top w:color="000000" w:space="0" w:sz="24"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73"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Judul Artikel Submisi Jurnal Pendidikan</w:t>
              <w:br w:type="textWrapping"/>
              <w:t xml:space="preserve">(14pt Bold, Cambria, maksimal 15 kata)</w:t>
            </w:r>
          </w:p>
        </w:tc>
      </w:tr>
      <w:tr>
        <w:trPr>
          <w:cantSplit w:val="0"/>
          <w:trHeight w:val="2264" w:hRule="atLeast"/>
          <w:tblHeader w:val="0"/>
        </w:trPr>
        <w:tc>
          <w:tcPr>
            <w:gridSpan w:val="2"/>
            <w:tcBorders>
              <w:bottom w:color="000000" w:space="0" w:sz="2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68" w:right="69" w:firstLine="0"/>
              <w:jc w:val="center"/>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Herman Suseno</w:t>
            </w:r>
            <w:r w:rsidDel="00000000" w:rsidR="00000000" w:rsidRPr="00000000">
              <w:rPr>
                <w:rFonts w:ascii="Cambria" w:cs="Cambria" w:eastAsia="Cambria" w:hAnsi="Cambria"/>
                <w:b w:val="1"/>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Indrawati</w:t>
            </w:r>
            <w:r w:rsidDel="00000000" w:rsidR="00000000" w:rsidRPr="00000000">
              <w:rPr>
                <w:rFonts w:ascii="Cambria" w:cs="Cambria" w:eastAsia="Cambria" w:hAnsi="Cambria"/>
                <w:b w:val="1"/>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Mark Deslow</w:t>
            </w:r>
            <w:r w:rsidDel="00000000" w:rsidR="00000000" w:rsidRPr="00000000">
              <w:rPr>
                <w:rFonts w:ascii="Cambria" w:cs="Cambria" w:eastAsia="Cambria" w:hAnsi="Cambria"/>
                <w:b w:val="1"/>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11pt Cambria)</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6" w:lineRule="auto"/>
              <w:ind w:left="68" w:right="153"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Nama Instansi, Kota, Negara (11pt Cambria)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8" w:right="161" w:firstLine="0"/>
              <w:jc w:val="center"/>
              <w:rPr>
                <w:rFonts w:ascii="Cambria" w:cs="Cambria" w:eastAsia="Cambria" w:hAnsi="Cambria"/>
                <w:b w:val="0"/>
                <w:i w:val="0"/>
                <w:smallCaps w:val="0"/>
                <w:strike w:val="0"/>
                <w:color w:val="000000"/>
                <w:sz w:val="23.333333333333336"/>
                <w:szCs w:val="23.333333333333336"/>
                <w:u w:val="none"/>
                <w:shd w:fill="auto" w:val="clear"/>
                <w:vertAlign w:val="superscript"/>
              </w:rPr>
            </w:pPr>
            <w:r w:rsidDel="00000000" w:rsidR="00000000" w:rsidRPr="00000000">
              <w:rPr>
                <w:rFonts w:ascii="Cambria" w:cs="Cambria" w:eastAsia="Cambria" w:hAnsi="Cambria"/>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Nama Instansi, Kota, Negara (11pt Cambria)</w:t>
            </w:r>
            <w:r w:rsidDel="00000000" w:rsidR="00000000" w:rsidRPr="00000000">
              <w:rPr>
                <w:rFonts w:ascii="Cambria" w:cs="Cambria" w:eastAsia="Cambria" w:hAnsi="Cambria"/>
                <w:b w:val="0"/>
                <w:i w:val="0"/>
                <w:smallCaps w:val="0"/>
                <w:strike w:val="0"/>
                <w:color w:val="000000"/>
                <w:sz w:val="23.333333333333336"/>
                <w:szCs w:val="23.333333333333336"/>
                <w:u w:val="none"/>
                <w:shd w:fill="auto" w:val="clear"/>
                <w:vertAlign w:val="superscript"/>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8" w:right="161"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8" w:right="77"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*Corresponding Author</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01" w:lineRule="auto"/>
        <w:ind w:left="232" w:right="535" w:firstLine="0"/>
        <w:jc w:val="both"/>
        <w:rPr>
          <w:i w:val="1"/>
        </w:rPr>
      </w:pPr>
      <w:r w:rsidDel="00000000" w:rsidR="00000000" w:rsidRPr="00000000">
        <w:rPr>
          <w:rFonts w:ascii="Times New Roman" w:cs="Times New Roman" w:eastAsia="Times New Roman" w:hAnsi="Times New Roman"/>
          <w:b w:val="1"/>
          <w:i w:val="1"/>
          <w:color w:val="212121"/>
          <w:rtl w:val="0"/>
        </w:rPr>
        <w:t xml:space="preserve">Abstract</w:t>
      </w:r>
      <w:r w:rsidDel="00000000" w:rsidR="00000000" w:rsidRPr="00000000">
        <w:rPr>
          <w:rFonts w:ascii="Times New Roman" w:cs="Times New Roman" w:eastAsia="Times New Roman" w:hAnsi="Times New Roman"/>
          <w:b w:val="1"/>
          <w:i w:val="1"/>
          <w:rtl w:val="0"/>
        </w:rPr>
        <w:t xml:space="preserve">: </w:t>
      </w:r>
      <w:r w:rsidDel="00000000" w:rsidR="00000000" w:rsidRPr="00000000">
        <w:rPr>
          <w:i w:val="1"/>
          <w:rtl w:val="0"/>
        </w:rPr>
        <w:t xml:space="preserve">Abstract text is written with a font size of 11 pt, and the typeface is Cambria and the spacing between lines is one space. Whether the article is written in Indonesian or English, the abstract must be written in both Indonesian and English. The abstract explains the problem and research objectives briefly but clearly shows the main variables or concepts that are the focus of the study. The next section briefly describes the research method or design, which includes an explanation of who the research subjects are, the number of samples and the main findings of the study. End with a conclusion. Abstracts must be able to provide a general but complete picture of the article to the reader. Abstract is written in one paragraph consisting of 140 - 150 words.</w:t>
      </w:r>
    </w:p>
    <w:p w:rsidR="00000000" w:rsidDel="00000000" w:rsidP="00000000" w:rsidRDefault="00000000" w:rsidRPr="00000000" w14:paraId="00000012">
      <w:pPr>
        <w:spacing w:before="233" w:line="237" w:lineRule="auto"/>
        <w:ind w:left="232" w:right="1480" w:firstLine="0"/>
        <w:rPr>
          <w:i w:val="1"/>
        </w:rPr>
      </w:pPr>
      <w:r w:rsidDel="00000000" w:rsidR="00000000" w:rsidRPr="00000000">
        <w:rPr>
          <w:rFonts w:ascii="Times New Roman" w:cs="Times New Roman" w:eastAsia="Times New Roman" w:hAnsi="Times New Roman"/>
          <w:b w:val="1"/>
          <w:i w:val="1"/>
          <w:color w:val="212121"/>
          <w:rtl w:val="0"/>
        </w:rPr>
        <w:t xml:space="preserve">Keywords: </w:t>
      </w:r>
      <w:r w:rsidDel="00000000" w:rsidR="00000000" w:rsidRPr="00000000">
        <w:rPr>
          <w:i w:val="1"/>
          <w:rtl w:val="0"/>
        </w:rPr>
        <w:t xml:space="preserve">primary concept, education, students.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ind w:left="232" w:right="537" w:firstLine="0"/>
        <w:jc w:val="both"/>
        <w:rPr/>
      </w:pPr>
      <w:r w:rsidDel="00000000" w:rsidR="00000000" w:rsidRPr="00000000">
        <w:rPr>
          <w:b w:val="1"/>
          <w:rtl w:val="0"/>
        </w:rPr>
        <w:t xml:space="preserve">Abstrak</w:t>
      </w:r>
      <w:r w:rsidDel="00000000" w:rsidR="00000000" w:rsidRPr="00000000">
        <w:rPr>
          <w:rtl w:val="0"/>
        </w:rPr>
        <w:t xml:space="preserve">: Teks abstrak ditulis dengan ukuran font 11 pt, dan jenis huruf Cambria serta jarak antar baris satu spasi. Baik artikel ditulis baik dalam bahasa Indonesia maupun Inggris, abstrak harus ditulis dalam bahasa Indonesia dan bahasa Inggris. Abstrak menjelaskan permasalahan dan tujuan penelitian dengan singkat tetapi jelas menunjukkan variabel atau konsep-konsep utama yang menjadi fokus. Pada bagian selanjutnya diuraikan secara singkat tentang metode atau desain penelitian, yang mencakup penjelasan siapa subyek penelitian, jumlah sampel serta temuan utama penelitian. Diakhiri dengan simpulan. Abstrak harus mampu memberikan gambaran umum tapi utuh tentang artikel kepada pembacanya. Abstrak ditulis dalam satu paragraf dengan jumlah kata 140 - 150 kata (11 pt).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1711"/>
        </w:tabs>
        <w:ind w:left="232" w:right="547" w:firstLine="0"/>
        <w:rPr>
          <w:i w:val="1"/>
        </w:rPr>
        <w:sectPr>
          <w:footerReference r:id="rId8" w:type="even"/>
          <w:pgSz w:h="16840" w:w="11910" w:orient="portrait"/>
          <w:pgMar w:bottom="280" w:top="800" w:left="920" w:right="1060" w:header="720" w:footer="0"/>
          <w:pgNumType w:start="78"/>
        </w:sectPr>
      </w:pPr>
      <w:r w:rsidDel="00000000" w:rsidR="00000000" w:rsidRPr="00000000">
        <w:rPr>
          <w:b w:val="1"/>
          <w:i w:val="1"/>
          <w:rtl w:val="0"/>
        </w:rPr>
        <w:t xml:space="preserve">Kata Kunci: </w:t>
      </w:r>
      <w:r w:rsidDel="00000000" w:rsidR="00000000" w:rsidRPr="00000000">
        <w:rPr>
          <w:i w:val="1"/>
          <w:rtl w:val="0"/>
        </w:rPr>
        <w:t xml:space="preserve">konsep utama, pendidikan, siswa.</w:t>
      </w:r>
    </w:p>
    <w:p w:rsidR="00000000" w:rsidDel="00000000" w:rsidP="00000000" w:rsidRDefault="00000000" w:rsidRPr="00000000" w14:paraId="00000017">
      <w:pPr>
        <w:pStyle w:val="Heading1"/>
        <w:spacing w:before="75" w:lineRule="auto"/>
        <w:ind w:left="664" w:firstLine="0"/>
        <w:rPr/>
      </w:pPr>
      <w:r w:rsidDel="00000000" w:rsidR="00000000" w:rsidRPr="00000000">
        <w:rPr>
          <w:rtl w:val="0"/>
        </w:rPr>
        <w:t xml:space="preserve">PENDAHULUAN (12 pt Cambria)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664" w:right="112"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Pendahuluan ditulis dalam beberapa paragraf yang menggambarkan masalah penelitian dan latar belakang. Uraian masalah penelitian juga perlu dikaitkan dengan penelitian sebelumnya yang dilakukan orang lain, dan mengutipnya sebagai referensi uraian.  Telaah konsep dan teori yang digunakan dijelaskan dengan singkat dan spesifik (Anam et al., 2019; Widodo et al., 2017).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664" w:right="116"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Pendahuluan diisi dengan latar belakang,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gap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 tujuan dari penelitian yang dibuat. Pendahuluan didukung kajian terdahulu minimal berasal dari 10 sumber dan paling tua adalah 10 tahun dari tahun berjalan. Pendahuluan tidak memuat tulisan dengan mirip dengan penulisan skripsi atau laporan teknis yang mencantumkan kerangka teori, perumusan masalah, kegunaan penelitian, tinjauan pustaka (Alalwan et al., 2020; Çakır &amp; Akbulut, 2022).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664" w:right="116"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Bila dipandang diperlukan pengutipan pendapat ahli dalam memperkuat artikel dimuat dalam pendahuluan. Dalam penulisan artikel tidak menggunakan sub-bab. Penulisan artikel pada jurnal ini menggunakan APA 6</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style dan mohon gunakan aplikasi Mendeley atau sejenis untuk meminimalisir kesalahan dalam penulisan kutipan dan daftar pustaka (Balliet et al., 2015; Chen et al., 2022; Larkin &amp; Jorgensen, 2017).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before="1" w:lineRule="auto"/>
        <w:ind w:left="664" w:firstLine="0"/>
        <w:jc w:val="both"/>
        <w:rPr/>
      </w:pPr>
      <w:r w:rsidDel="00000000" w:rsidR="00000000" w:rsidRPr="00000000">
        <w:rPr>
          <w:rtl w:val="0"/>
        </w:rPr>
        <w:t xml:space="preserve">METODE PENELITIAN (12 pt Cambria)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Metode yang dijelaskan pada bagian ini bersifat ilmiah dan harus membuat pembaca dapat mengulangi eksperimen yang peneliti lakukan (direproduksi). Untuk metode yang sudah mapan bisa dijelaskan dengan memetik rujukan (Jampel et al., 2018; Setiawan &amp; Sugiyanto, 2020). Metode yang telah dipublikasikan harus ditunjukkan dengan </w:t>
      </w:r>
      <w:r w:rsidDel="00000000" w:rsidR="00000000" w:rsidRPr="00000000">
        <w:rPr>
          <w:sz w:val="24"/>
          <w:szCs w:val="24"/>
          <w:rtl w:val="0"/>
        </w:rPr>
        <w:t xml:space="preserve">referensi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yang sesuai pada bagian daftar pustaka. Apabila terdapat modifikasi yang relevan, maka hal tersebut juga </w:t>
      </w:r>
      <w:r w:rsidDel="00000000" w:rsidR="00000000" w:rsidRPr="00000000">
        <w:rPr>
          <w:sz w:val="24"/>
          <w:szCs w:val="24"/>
          <w:rtl w:val="0"/>
        </w:rPr>
        <w:t xml:space="preserve">harus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dijelaskan. Dalam penulisan rumus dan persamaan menggunakan equation </w:t>
      </w:r>
      <w:r w:rsidDel="00000000" w:rsidR="00000000" w:rsidRPr="00000000">
        <w:rPr>
          <w:sz w:val="24"/>
          <w:szCs w:val="24"/>
          <w:rtl w:val="0"/>
        </w:rPr>
        <w:t xml:space="preserve">disertai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nomor seperti pada rumus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center"/>
        <w:rPr>
          <w:rFonts w:ascii="Cambria" w:cs="Cambria" w:eastAsia="Cambria" w:hAnsi="Cambria"/>
          <w:b w:val="0"/>
          <w:i w:val="0"/>
          <w:smallCaps w:val="0"/>
          <w:strike w:val="0"/>
          <w:color w:val="000000"/>
          <w:sz w:val="24"/>
          <w:szCs w:val="24"/>
          <w:u w:val="none"/>
          <w:shd w:fill="auto" w:val="clear"/>
          <w:vertAlign w:val="baseline"/>
        </w:rPr>
      </w:pP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x+a</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k=0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n</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k</m:t>
                </m:r>
              </m:den>
            </m:f>
          </m:e>
        </m:d>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k</m:t>
            </m:r>
          </m:sup>
        </m:sSup>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n-k</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Dalam penulisan rumus dan tabel agar tidak </w:t>
      </w:r>
      <w:r w:rsidDel="00000000" w:rsidR="00000000" w:rsidRPr="00000000">
        <w:rPr>
          <w:sz w:val="24"/>
          <w:szCs w:val="24"/>
          <w:rtl w:val="0"/>
        </w:rPr>
        <w:t xml:space="preserve">di capture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dari lembaran lain. Untuk penulisan tabel dapat mengikuti contoh tabel 1. Apabila gambar atau tabel yang memiliki ukuran kolom yang besar, dapat menggunakan satu kolom yang ditempatkan di awal atau di akhir halaman seperti pada tabel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Tabel 1. Contoh Tabel</w:t>
      </w:r>
    </w:p>
    <w:tbl>
      <w:tblPr>
        <w:tblStyle w:val="Table2"/>
        <w:tblW w:w="36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1529"/>
        <w:gridCol w:w="1276"/>
        <w:tblGridChange w:id="0">
          <w:tblGrid>
            <w:gridCol w:w="881"/>
            <w:gridCol w:w="1529"/>
            <w:gridCol w:w="1276"/>
          </w:tblGrid>
        </w:tblGridChange>
      </w:tblGrid>
      <w:tr>
        <w:trPr>
          <w:cantSplit w:val="0"/>
          <w:tblHeader w:val="0"/>
        </w:trPr>
        <w:tc>
          <w:tcPr>
            <w:vMerge w:val="restart"/>
            <w:tcBorders>
              <w:left w:color="000000" w:space="0" w:sz="0" w:val="nil"/>
              <w:right w:color="000000" w:space="0" w:sz="0" w:val="nil"/>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w:t>
            </w:r>
          </w:p>
        </w:tc>
        <w:tc>
          <w:tcPr>
            <w:gridSpan w:val="2"/>
            <w:tcBorders>
              <w:left w:color="000000" w:space="0" w:sz="0" w:val="nil"/>
              <w:right w:color="000000" w:space="0" w:sz="0" w:val="nil"/>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Kolom Tabel</w:t>
            </w:r>
          </w:p>
        </w:tc>
      </w:tr>
      <w:tr>
        <w:trPr>
          <w:cantSplit w:val="0"/>
          <w:tblHeader w:val="0"/>
        </w:trPr>
        <w:tc>
          <w:tcPr>
            <w:vMerge w:val="continue"/>
            <w:tcBorders>
              <w:left w:color="000000" w:space="0" w:sz="0" w:val="nil"/>
              <w:right w:color="000000" w:space="0" w:sz="0" w:val="nil"/>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right w:color="000000" w:space="0" w:sz="0" w:val="nil"/>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Judul</w:t>
            </w:r>
          </w:p>
        </w:tc>
        <w:tc>
          <w:tcPr>
            <w:tcBorders>
              <w:left w:color="000000" w:space="0" w:sz="0" w:val="nil"/>
              <w:right w:color="000000" w:space="0" w:sz="0" w:val="nil"/>
            </w:tcBorders>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Judul</w:t>
            </w:r>
          </w:p>
        </w:tc>
      </w:tr>
      <w:tr>
        <w:trPr>
          <w:cantSplit w:val="0"/>
          <w:tblHeader w:val="0"/>
        </w:trPr>
        <w:tc>
          <w:tcPr>
            <w:tcBorders>
              <w:left w:color="000000" w:space="0" w:sz="0" w:val="nil"/>
              <w:right w:color="000000" w:space="0" w:sz="0" w:val="nil"/>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w:t>
            </w:r>
          </w:p>
        </w:tc>
        <w:tc>
          <w:tcPr>
            <w:tcBorders>
              <w:left w:color="000000" w:space="0" w:sz="0" w:val="nil"/>
              <w:right w:color="000000" w:space="0" w:sz="0" w:val="nil"/>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p>
        </w:tc>
        <w:tc>
          <w:tcPr>
            <w:tcBorders>
              <w:left w:color="000000" w:space="0" w:sz="0" w:val="nil"/>
              <w:right w:color="000000" w:space="0" w:sz="0" w:val="nil"/>
            </w:tcBorders>
            <w:shd w:fill="auto"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yyy</w:t>
            </w:r>
          </w:p>
        </w:tc>
      </w:tr>
      <w:tr>
        <w:trPr>
          <w:cantSplit w:val="0"/>
          <w:tblHeader w:val="0"/>
        </w:trPr>
        <w:tc>
          <w:tcPr>
            <w:tcBorders>
              <w:left w:color="000000" w:space="0" w:sz="0" w:val="nil"/>
              <w:right w:color="000000" w:space="0" w:sz="0" w:val="nil"/>
            </w:tcBorders>
            <w:shd w:fill="auto"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w:t>
            </w:r>
          </w:p>
        </w:tc>
        <w:tc>
          <w:tcPr>
            <w:tcBorders>
              <w:left w:color="000000" w:space="0" w:sz="0" w:val="nil"/>
              <w:right w:color="000000" w:space="0" w:sz="0" w:val="nil"/>
            </w:tcBorders>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aaa</w:t>
            </w:r>
          </w:p>
        </w:tc>
        <w:tc>
          <w:tcPr>
            <w:tcBorders>
              <w:left w:color="000000" w:space="0" w:sz="0" w:val="nil"/>
              <w:right w:color="000000" w:space="0" w:sz="0" w:val="nil"/>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bbb</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Judul tabel ditulis diatas tabel dengan posisi rata tengah (center justified), tidak ada cetak tebal maupun berwarna. Judul gambar diletakkan dibawah gambar dengan posisi tengah seperti Gambar 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760220" cy="1036320"/>
            <wp:effectExtent b="9525" l="9525" r="9525" t="9525"/>
            <wp:docPr descr="Description: Gambar terkait" id="14" name="image1.jpg"/>
            <a:graphic>
              <a:graphicData uri="http://schemas.openxmlformats.org/drawingml/2006/picture">
                <pic:pic>
                  <pic:nvPicPr>
                    <pic:cNvPr descr="Description: Gambar terkait" id="0" name="image1.jpg"/>
                    <pic:cNvPicPr preferRelativeResize="0"/>
                  </pic:nvPicPr>
                  <pic:blipFill>
                    <a:blip r:embed="rId9"/>
                    <a:srcRect b="0" l="0" r="0" t="0"/>
                    <a:stretch>
                      <a:fillRect/>
                    </a:stretch>
                  </pic:blipFill>
                  <pic:spPr>
                    <a:xfrm>
                      <a:off x="0" y="0"/>
                      <a:ext cx="1760220" cy="1036320"/>
                    </a:xfrm>
                    <a:prstGeom prst="rect"/>
                    <a:ln w="9525">
                      <a:solidFill>
                        <a:srgbClr val="40404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Gambar 2. Contoh Gambar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09" w:right="0" w:firstLine="709"/>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Keterangan simbol, tabel, dan gambar dibuat dalam deskripsi paragraph bukan menggunakan list.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ind w:left="664" w:firstLine="0"/>
        <w:rPr/>
      </w:pPr>
      <w:r w:rsidDel="00000000" w:rsidR="00000000" w:rsidRPr="00000000">
        <w:rPr>
          <w:rtl w:val="0"/>
        </w:rPr>
        <w:t xml:space="preserve">TEMUAN DAN PEMBAHASAN (12 pt Cambria)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664" w:right="117"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Bagian hasil melaporkan data temuan penelitian. Gunakan histogram atau grafik atau tabel untuk menggambarkan data temuan. Masing-masing harus diberi judul yang singkat dan infomatif, serta nomor urut dan dirujuk dalam teks dengan nomor (misalnya tabel 1, dst.). Setiap ilustrasi diberi uraian penjelasan dan penafsiran atau simpulan terhadap data pada gambar atau tabel.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664" w:right="117"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Pembahasan merupakan bagian yang sangat penting, berisi diskusi mendalam terhadap hasil temuan serta penafsiran peneliti terhadap temuan, melalui penjelasan apa yang menjadi temuan utama berdasarkan data yang diperoleh, mengapa dapat terjadi atau faktor apa yang berperan dalam temuan. Pada bagian ini temuan diperbandingkan dengan penelitian terdahulu dan teori-teori yang relevan, disertai penjelasan atau penafsiran mengapa diperoleh hasil yang sama atau berbeda.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left="709" w:firstLine="0"/>
        <w:rPr/>
      </w:pPr>
      <w:r w:rsidDel="00000000" w:rsidR="00000000" w:rsidRPr="00000000">
        <w:rPr>
          <w:rtl w:val="0"/>
        </w:rPr>
        <w:t xml:space="preserve">KESIMPULAN (12 pt Cambria)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09" w:right="545"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Bagian ini berisi kesimpulan yang merupakan jawaban atau penegasan terhadap temuan serta aspek kebaruan (novelty) temuan, serta implikasinya praktek dan pengembangan teori selanjutnya.</w:t>
      </w:r>
    </w:p>
    <w:p w:rsidR="00000000" w:rsidDel="00000000" w:rsidP="00000000" w:rsidRDefault="00000000" w:rsidRPr="00000000" w14:paraId="00000042">
      <w:pPr>
        <w:spacing w:line="249" w:lineRule="auto"/>
        <w:rPr/>
      </w:pPr>
      <w:r w:rsidDel="00000000" w:rsidR="00000000" w:rsidRPr="00000000">
        <w:rPr>
          <w:rtl w:val="0"/>
        </w:rPr>
      </w:r>
    </w:p>
    <w:p w:rsidR="00000000" w:rsidDel="00000000" w:rsidP="00000000" w:rsidRDefault="00000000" w:rsidRPr="00000000" w14:paraId="00000043">
      <w:pPr>
        <w:pStyle w:val="Heading1"/>
        <w:ind w:left="709" w:firstLine="0"/>
        <w:rPr/>
      </w:pPr>
      <w:r w:rsidDel="00000000" w:rsidR="00000000" w:rsidRPr="00000000">
        <w:rPr>
          <w:rtl w:val="0"/>
        </w:rPr>
        <w:t xml:space="preserve">UCAPAN TERIMA KASIH - OPTIONAL (12 pt Cambria)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09" w:right="545"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Bila artikel berdasarkan penelitian yang didanai pihak tertentu, dapat dicantumkan ucapan terimakasih dan </w:t>
      </w:r>
      <w:r w:rsidDel="00000000" w:rsidR="00000000" w:rsidRPr="00000000">
        <w:rPr>
          <w:sz w:val="24"/>
          <w:szCs w:val="24"/>
          <w:rtl w:val="0"/>
        </w:rPr>
        <w:t xml:space="preserve">penghargaan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kepada instansi penyandang dana, atau pihak lain yang memberi bantuan.</w:t>
      </w:r>
    </w:p>
    <w:p w:rsidR="00000000" w:rsidDel="00000000" w:rsidP="00000000" w:rsidRDefault="00000000" w:rsidRPr="00000000" w14:paraId="00000046">
      <w:pPr>
        <w:spacing w:line="249" w:lineRule="auto"/>
        <w:rPr/>
      </w:pPr>
      <w:r w:rsidDel="00000000" w:rsidR="00000000" w:rsidRPr="00000000">
        <w:rPr>
          <w:rtl w:val="0"/>
        </w:rPr>
      </w:r>
    </w:p>
    <w:p w:rsidR="00000000" w:rsidDel="00000000" w:rsidP="00000000" w:rsidRDefault="00000000" w:rsidRPr="00000000" w14:paraId="00000047">
      <w:pPr>
        <w:pStyle w:val="Heading1"/>
        <w:spacing w:before="75" w:lineRule="auto"/>
        <w:ind w:left="664" w:firstLine="0"/>
        <w:rPr/>
      </w:pPr>
      <w:r w:rsidDel="00000000" w:rsidR="00000000" w:rsidRPr="00000000">
        <w:rPr>
          <w:rtl w:val="0"/>
        </w:rPr>
        <w:t xml:space="preserve">REFERENSI (12 pt Cambria)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ind w:left="709" w:firstLine="709"/>
        <w:jc w:val="both"/>
        <w:rPr>
          <w:sz w:val="24"/>
          <w:szCs w:val="24"/>
        </w:rPr>
      </w:pPr>
      <w:r w:rsidDel="00000000" w:rsidR="00000000" w:rsidRPr="00000000">
        <w:rPr>
          <w:sz w:val="24"/>
          <w:szCs w:val="24"/>
          <w:rtl w:val="0"/>
        </w:rPr>
        <w:t xml:space="preserve">Berupa daftar seluruh sumber pustaka yang dikutip dalam teks artikel, disusun secara alfabetis. Minimal 15 referensi, terbitan 10 tahun terakhir. Delapan puluh (80) persen sumber berasal dari artikel jurnal. Penulisan Daftar Pustaka sebaiknya menggunakan aplikasi manajemen referensi seperti Mendeley atau lainnya. Daftar Pustaka disusun menggunakan sistem American Psychological Association (APA) versi 7, perhatikan teknis penulisan untuk jenis sumber dari artikel, buku, penulis lebih dari satu, dsb. Contoh teknis penulisan dapat dilihat pada link berikut ini.</w:t>
      </w:r>
    </w:p>
    <w:p w:rsidR="00000000" w:rsidDel="00000000" w:rsidP="00000000" w:rsidRDefault="00000000" w:rsidRPr="00000000" w14:paraId="0000004A">
      <w:pPr>
        <w:ind w:left="709" w:firstLine="709"/>
        <w:jc w:val="both"/>
        <w:rPr>
          <w:sz w:val="24"/>
          <w:szCs w:val="24"/>
        </w:rPr>
      </w:pPr>
      <w:r w:rsidDel="00000000" w:rsidR="00000000" w:rsidRPr="00000000">
        <w:rPr>
          <w:rtl w:val="0"/>
        </w:rPr>
      </w:r>
    </w:p>
    <w:p w:rsidR="00000000" w:rsidDel="00000000" w:rsidP="00000000" w:rsidRDefault="00000000" w:rsidRPr="00000000" w14:paraId="0000004B">
      <w:pPr>
        <w:ind w:left="1134" w:hanging="480"/>
        <w:jc w:val="both"/>
        <w:rPr>
          <w:sz w:val="24"/>
          <w:szCs w:val="24"/>
        </w:rPr>
      </w:pPr>
      <w:r w:rsidDel="00000000" w:rsidR="00000000" w:rsidRPr="00000000">
        <w:rPr>
          <w:sz w:val="24"/>
          <w:szCs w:val="24"/>
          <w:rtl w:val="0"/>
        </w:rPr>
        <w:t xml:space="preserve">Alalwan, N., Cheng, L., Al-Samarraie, H., Yousef, R., Ibrahim Alzahrani, A., &amp; Sarsam, S. M. (2020). Challenges and Prospects of Virtual Reality and Augmented Reality Utilization among Primary School Teachers: A Developing Country Perspective. </w:t>
      </w:r>
      <w:r w:rsidDel="00000000" w:rsidR="00000000" w:rsidRPr="00000000">
        <w:rPr>
          <w:i w:val="1"/>
          <w:sz w:val="24"/>
          <w:szCs w:val="24"/>
          <w:rtl w:val="0"/>
        </w:rPr>
        <w:t xml:space="preserve">Studies in Educational Evaluation</w:t>
      </w:r>
      <w:r w:rsidDel="00000000" w:rsidR="00000000" w:rsidRPr="00000000">
        <w:rPr>
          <w:sz w:val="24"/>
          <w:szCs w:val="24"/>
          <w:rtl w:val="0"/>
        </w:rPr>
        <w:t xml:space="preserve">, </w:t>
      </w:r>
      <w:r w:rsidDel="00000000" w:rsidR="00000000" w:rsidRPr="00000000">
        <w:rPr>
          <w:i w:val="1"/>
          <w:sz w:val="24"/>
          <w:szCs w:val="24"/>
          <w:rtl w:val="0"/>
        </w:rPr>
        <w:t xml:space="preserve">66</w:t>
      </w:r>
      <w:r w:rsidDel="00000000" w:rsidR="00000000" w:rsidRPr="00000000">
        <w:rPr>
          <w:sz w:val="24"/>
          <w:szCs w:val="24"/>
          <w:rtl w:val="0"/>
        </w:rPr>
        <w:t xml:space="preserve">(September 2019), 100876. https://doi.org/10.1016/j.stueduc.2020.100876</w:t>
      </w:r>
    </w:p>
    <w:p w:rsidR="00000000" w:rsidDel="00000000" w:rsidP="00000000" w:rsidRDefault="00000000" w:rsidRPr="00000000" w14:paraId="0000004C">
      <w:pPr>
        <w:ind w:left="1134" w:hanging="480"/>
        <w:jc w:val="both"/>
        <w:rPr>
          <w:sz w:val="24"/>
          <w:szCs w:val="24"/>
        </w:rPr>
      </w:pPr>
      <w:r w:rsidDel="00000000" w:rsidR="00000000" w:rsidRPr="00000000">
        <w:rPr>
          <w:sz w:val="24"/>
          <w:szCs w:val="24"/>
          <w:rtl w:val="0"/>
        </w:rPr>
        <w:t xml:space="preserve">Anam, R. S., Widodo, A., Indonesia, U. P., Sopandi, W., Indonesia, U. P., &amp; Wu, H. (2019). </w:t>
      </w:r>
      <w:r w:rsidDel="00000000" w:rsidR="00000000" w:rsidRPr="00000000">
        <w:rPr>
          <w:i w:val="1"/>
          <w:sz w:val="24"/>
          <w:szCs w:val="24"/>
          <w:rtl w:val="0"/>
        </w:rPr>
        <w:t xml:space="preserve">Developing a Five-Tier Diagnostic Test to Identify Students ’ Misconceptions in Science : An Example of the Heat Transfer Concepts Developing a Five- Tier Diagnostic Test to I dentify Students ’ Misconceptions i n Science : An Example of the Heat Transfer</w:t>
      </w:r>
      <w:r w:rsidDel="00000000" w:rsidR="00000000" w:rsidRPr="00000000">
        <w:rPr>
          <w:sz w:val="24"/>
          <w:szCs w:val="24"/>
          <w:rtl w:val="0"/>
        </w:rPr>
        <w:t xml:space="preserve">. </w:t>
      </w:r>
      <w:r w:rsidDel="00000000" w:rsidR="00000000" w:rsidRPr="00000000">
        <w:rPr>
          <w:i w:val="1"/>
          <w:sz w:val="24"/>
          <w:szCs w:val="24"/>
          <w:rtl w:val="0"/>
        </w:rPr>
        <w:t xml:space="preserve">September</w:t>
      </w:r>
      <w:r w:rsidDel="00000000" w:rsidR="00000000" w:rsidRPr="00000000">
        <w:rPr>
          <w:sz w:val="24"/>
          <w:szCs w:val="24"/>
          <w:rtl w:val="0"/>
        </w:rPr>
        <w:t xml:space="preserve">. https://doi.org/10.17051/ilkonline.2019.609690</w:t>
      </w:r>
    </w:p>
    <w:p w:rsidR="00000000" w:rsidDel="00000000" w:rsidP="00000000" w:rsidRDefault="00000000" w:rsidRPr="00000000" w14:paraId="0000004D">
      <w:pPr>
        <w:ind w:left="1134" w:hanging="480"/>
        <w:jc w:val="both"/>
        <w:rPr>
          <w:sz w:val="24"/>
          <w:szCs w:val="24"/>
        </w:rPr>
      </w:pPr>
      <w:r w:rsidDel="00000000" w:rsidR="00000000" w:rsidRPr="00000000">
        <w:rPr>
          <w:sz w:val="24"/>
          <w:szCs w:val="24"/>
          <w:rtl w:val="0"/>
        </w:rPr>
        <w:t xml:space="preserve">Balliet, R. N., Riggs, E. M., &amp; Maltese, A. V. (2015). Students’ problem solving approaches for developing geologic models in the field. </w:t>
      </w:r>
      <w:r w:rsidDel="00000000" w:rsidR="00000000" w:rsidRPr="00000000">
        <w:rPr>
          <w:i w:val="1"/>
          <w:sz w:val="24"/>
          <w:szCs w:val="24"/>
          <w:rtl w:val="0"/>
        </w:rPr>
        <w:t xml:space="preserve">Journal of Research in Science Teaching</w:t>
      </w:r>
      <w:r w:rsidDel="00000000" w:rsidR="00000000" w:rsidRPr="00000000">
        <w:rPr>
          <w:sz w:val="24"/>
          <w:szCs w:val="24"/>
          <w:rtl w:val="0"/>
        </w:rPr>
        <w:t xml:space="preserve">, </w:t>
      </w:r>
      <w:r w:rsidDel="00000000" w:rsidR="00000000" w:rsidRPr="00000000">
        <w:rPr>
          <w:i w:val="1"/>
          <w:sz w:val="24"/>
          <w:szCs w:val="24"/>
          <w:rtl w:val="0"/>
        </w:rPr>
        <w:t xml:space="preserve">52</w:t>
      </w:r>
      <w:r w:rsidDel="00000000" w:rsidR="00000000" w:rsidRPr="00000000">
        <w:rPr>
          <w:sz w:val="24"/>
          <w:szCs w:val="24"/>
          <w:rtl w:val="0"/>
        </w:rPr>
        <w:t xml:space="preserve">(8), 1109–1131. https://doi.org/10.1002/tea.21236</w:t>
      </w:r>
    </w:p>
    <w:p w:rsidR="00000000" w:rsidDel="00000000" w:rsidP="00000000" w:rsidRDefault="00000000" w:rsidRPr="00000000" w14:paraId="0000004E">
      <w:pPr>
        <w:ind w:left="1134" w:hanging="480"/>
        <w:jc w:val="both"/>
        <w:rPr>
          <w:sz w:val="24"/>
          <w:szCs w:val="24"/>
        </w:rPr>
      </w:pPr>
      <w:r w:rsidDel="00000000" w:rsidR="00000000" w:rsidRPr="00000000">
        <w:rPr>
          <w:sz w:val="24"/>
          <w:szCs w:val="24"/>
          <w:rtl w:val="0"/>
        </w:rPr>
        <w:t xml:space="preserve">Çakır, S. K., &amp; Akbulut, C. K. (2022). </w:t>
      </w:r>
      <w:r w:rsidDel="00000000" w:rsidR="00000000" w:rsidRPr="00000000">
        <w:rPr>
          <w:i w:val="1"/>
          <w:sz w:val="24"/>
          <w:szCs w:val="24"/>
          <w:rtl w:val="0"/>
        </w:rPr>
        <w:t xml:space="preserve">Investigation of Science Teachers ’ Professional and Scientific Attitudes Fen Bilimleri Öğretmenlerinin Mesleki ve Bilimsel Tutumlarının İncelenmesi 1 accessed information and transfer their learning to real-world settings on their own . objective of educ</w:t>
      </w:r>
      <w:r w:rsidDel="00000000" w:rsidR="00000000" w:rsidRPr="00000000">
        <w:rPr>
          <w:sz w:val="24"/>
          <w:szCs w:val="24"/>
          <w:rtl w:val="0"/>
        </w:rPr>
        <w:t xml:space="preserve">. </w:t>
      </w:r>
      <w:r w:rsidDel="00000000" w:rsidR="00000000" w:rsidRPr="00000000">
        <w:rPr>
          <w:i w:val="1"/>
          <w:sz w:val="24"/>
          <w:szCs w:val="24"/>
          <w:rtl w:val="0"/>
        </w:rPr>
        <w:t xml:space="preserve">30</w:t>
      </w:r>
      <w:r w:rsidDel="00000000" w:rsidR="00000000" w:rsidRPr="00000000">
        <w:rPr>
          <w:sz w:val="24"/>
          <w:szCs w:val="24"/>
          <w:rtl w:val="0"/>
        </w:rPr>
        <w:t xml:space="preserve">(3), 549–561. https://doi.org/10.24106/kefdergi.</w:t>
      </w:r>
    </w:p>
    <w:p w:rsidR="00000000" w:rsidDel="00000000" w:rsidP="00000000" w:rsidRDefault="00000000" w:rsidRPr="00000000" w14:paraId="0000004F">
      <w:pPr>
        <w:ind w:left="1134" w:hanging="480"/>
        <w:jc w:val="both"/>
        <w:rPr>
          <w:sz w:val="24"/>
          <w:szCs w:val="24"/>
        </w:rPr>
      </w:pPr>
      <w:r w:rsidDel="00000000" w:rsidR="00000000" w:rsidRPr="00000000">
        <w:rPr>
          <w:sz w:val="24"/>
          <w:szCs w:val="24"/>
          <w:rtl w:val="0"/>
        </w:rPr>
        <w:t xml:space="preserve">Chen, S., Ouyang, F., &amp; Jiao, P. (2022). Promoting student engagement in online collaborative writing through a student-facing social learning analytics tool. </w:t>
      </w:r>
      <w:r w:rsidDel="00000000" w:rsidR="00000000" w:rsidRPr="00000000">
        <w:rPr>
          <w:i w:val="1"/>
          <w:sz w:val="24"/>
          <w:szCs w:val="24"/>
          <w:rtl w:val="0"/>
        </w:rPr>
        <w:t xml:space="preserve">Journal of Computer Assisted Learning</w:t>
      </w:r>
      <w:r w:rsidDel="00000000" w:rsidR="00000000" w:rsidRPr="00000000">
        <w:rPr>
          <w:sz w:val="24"/>
          <w:szCs w:val="24"/>
          <w:rtl w:val="0"/>
        </w:rPr>
        <w:t xml:space="preserve">, </w:t>
      </w:r>
      <w:r w:rsidDel="00000000" w:rsidR="00000000" w:rsidRPr="00000000">
        <w:rPr>
          <w:i w:val="1"/>
          <w:sz w:val="24"/>
          <w:szCs w:val="24"/>
          <w:rtl w:val="0"/>
        </w:rPr>
        <w:t xml:space="preserve">38</w:t>
      </w:r>
      <w:r w:rsidDel="00000000" w:rsidR="00000000" w:rsidRPr="00000000">
        <w:rPr>
          <w:sz w:val="24"/>
          <w:szCs w:val="24"/>
          <w:rtl w:val="0"/>
        </w:rPr>
        <w:t xml:space="preserve">(1), 192–208. https://doi.org/10.1111/jcal.12604</w:t>
      </w:r>
    </w:p>
    <w:p w:rsidR="00000000" w:rsidDel="00000000" w:rsidP="00000000" w:rsidRDefault="00000000" w:rsidRPr="00000000" w14:paraId="00000050">
      <w:pPr>
        <w:ind w:left="1134" w:hanging="480"/>
        <w:jc w:val="both"/>
        <w:rPr>
          <w:sz w:val="24"/>
          <w:szCs w:val="24"/>
        </w:rPr>
      </w:pPr>
      <w:r w:rsidDel="00000000" w:rsidR="00000000" w:rsidRPr="00000000">
        <w:rPr>
          <w:sz w:val="24"/>
          <w:szCs w:val="24"/>
          <w:rtl w:val="0"/>
        </w:rPr>
        <w:t xml:space="preserve">Jampel, I. N., Fahrurrozi, Artawan, G., Widiana, I. W., Parmiti, D. P., &amp; Hellman, J. (2018). Studying natural science in elementary school using nos-oriented cooperative learning model with the NHT type. </w:t>
      </w:r>
      <w:r w:rsidDel="00000000" w:rsidR="00000000" w:rsidRPr="00000000">
        <w:rPr>
          <w:i w:val="1"/>
          <w:sz w:val="24"/>
          <w:szCs w:val="24"/>
          <w:rtl w:val="0"/>
        </w:rPr>
        <w:t xml:space="preserve">Jurnal Pendidikan IPA Indonesia</w:t>
      </w:r>
      <w:r w:rsidDel="00000000" w:rsidR="00000000" w:rsidRPr="00000000">
        <w:rPr>
          <w:sz w:val="24"/>
          <w:szCs w:val="24"/>
          <w:rtl w:val="0"/>
        </w:rPr>
        <w:t xml:space="preserve">, </w:t>
      </w:r>
      <w:r w:rsidDel="00000000" w:rsidR="00000000" w:rsidRPr="00000000">
        <w:rPr>
          <w:i w:val="1"/>
          <w:sz w:val="24"/>
          <w:szCs w:val="24"/>
          <w:rtl w:val="0"/>
        </w:rPr>
        <w:t xml:space="preserve">7</w:t>
      </w:r>
      <w:r w:rsidDel="00000000" w:rsidR="00000000" w:rsidRPr="00000000">
        <w:rPr>
          <w:sz w:val="24"/>
          <w:szCs w:val="24"/>
          <w:rtl w:val="0"/>
        </w:rPr>
        <w:t xml:space="preserve">(2), 138–146. https://doi.org/10.15294/jpii.v7i2.9863</w:t>
      </w:r>
    </w:p>
    <w:p w:rsidR="00000000" w:rsidDel="00000000" w:rsidP="00000000" w:rsidRDefault="00000000" w:rsidRPr="00000000" w14:paraId="00000051">
      <w:pPr>
        <w:ind w:left="1134" w:hanging="480"/>
        <w:jc w:val="both"/>
        <w:rPr>
          <w:sz w:val="24"/>
          <w:szCs w:val="24"/>
        </w:rPr>
      </w:pPr>
      <w:r w:rsidDel="00000000" w:rsidR="00000000" w:rsidRPr="00000000">
        <w:rPr>
          <w:sz w:val="24"/>
          <w:szCs w:val="24"/>
          <w:rtl w:val="0"/>
        </w:rPr>
        <w:t xml:space="preserve">Larkin, K., &amp; Jorgensen, R. (2017). STEM education in the junior secondary: The state of play. In </w:t>
      </w:r>
      <w:r w:rsidDel="00000000" w:rsidR="00000000" w:rsidRPr="00000000">
        <w:rPr>
          <w:i w:val="1"/>
          <w:sz w:val="24"/>
          <w:szCs w:val="24"/>
          <w:rtl w:val="0"/>
        </w:rPr>
        <w:t xml:space="preserve">STEM Education in the Junior Secondary: The State of Play</w:t>
      </w:r>
      <w:r w:rsidDel="00000000" w:rsidR="00000000" w:rsidRPr="00000000">
        <w:rPr>
          <w:sz w:val="24"/>
          <w:szCs w:val="24"/>
          <w:rtl w:val="0"/>
        </w:rPr>
        <w:t xml:space="preserve">. https://doi.org/10.1007/978-981-10-5448-8</w:t>
      </w:r>
    </w:p>
    <w:p w:rsidR="00000000" w:rsidDel="00000000" w:rsidP="00000000" w:rsidRDefault="00000000" w:rsidRPr="00000000" w14:paraId="00000052">
      <w:pPr>
        <w:ind w:left="1134" w:hanging="480"/>
        <w:jc w:val="both"/>
        <w:rPr>
          <w:sz w:val="24"/>
          <w:szCs w:val="24"/>
        </w:rPr>
      </w:pPr>
      <w:r w:rsidDel="00000000" w:rsidR="00000000" w:rsidRPr="00000000">
        <w:rPr>
          <w:sz w:val="24"/>
          <w:szCs w:val="24"/>
          <w:rtl w:val="0"/>
        </w:rPr>
        <w:t xml:space="preserve">Setiawan, A. M., &amp; Sugiyanto. (2020). Science process skills analysis of science teacher on professional teacher program in Indonesia. </w:t>
      </w:r>
      <w:r w:rsidDel="00000000" w:rsidR="00000000" w:rsidRPr="00000000">
        <w:rPr>
          <w:i w:val="1"/>
          <w:sz w:val="24"/>
          <w:szCs w:val="24"/>
          <w:rtl w:val="0"/>
        </w:rPr>
        <w:t xml:space="preserve">Jurnal Pendidikan IPA Indonesia</w:t>
      </w:r>
      <w:r w:rsidDel="00000000" w:rsidR="00000000" w:rsidRPr="00000000">
        <w:rPr>
          <w:sz w:val="24"/>
          <w:szCs w:val="24"/>
          <w:rtl w:val="0"/>
        </w:rPr>
        <w:t xml:space="preserve">, </w:t>
      </w:r>
      <w:r w:rsidDel="00000000" w:rsidR="00000000" w:rsidRPr="00000000">
        <w:rPr>
          <w:i w:val="1"/>
          <w:sz w:val="24"/>
          <w:szCs w:val="24"/>
          <w:rtl w:val="0"/>
        </w:rPr>
        <w:t xml:space="preserve">9</w:t>
      </w:r>
      <w:r w:rsidDel="00000000" w:rsidR="00000000" w:rsidRPr="00000000">
        <w:rPr>
          <w:sz w:val="24"/>
          <w:szCs w:val="24"/>
          <w:rtl w:val="0"/>
        </w:rPr>
        <w:t xml:space="preserve">(2), 241–247. https://doi.org/10.15294/jpii.v9i2.23817</w:t>
      </w:r>
    </w:p>
    <w:p w:rsidR="00000000" w:rsidDel="00000000" w:rsidP="00000000" w:rsidRDefault="00000000" w:rsidRPr="00000000" w14:paraId="00000053">
      <w:pPr>
        <w:ind w:left="1134" w:hanging="480"/>
        <w:jc w:val="both"/>
        <w:rPr>
          <w:sz w:val="24"/>
          <w:szCs w:val="24"/>
        </w:rPr>
      </w:pPr>
      <w:r w:rsidDel="00000000" w:rsidR="00000000" w:rsidRPr="00000000">
        <w:rPr>
          <w:sz w:val="24"/>
          <w:szCs w:val="24"/>
          <w:rtl w:val="0"/>
        </w:rPr>
        <w:t xml:space="preserve">Widodo, A., Rochintaniawati, D., &amp; Riandi. (2017). Primary School Teachers’ Understanding of Essential Science Concepts. </w:t>
      </w:r>
      <w:r w:rsidDel="00000000" w:rsidR="00000000" w:rsidRPr="00000000">
        <w:rPr>
          <w:i w:val="1"/>
          <w:sz w:val="24"/>
          <w:szCs w:val="24"/>
          <w:rtl w:val="0"/>
        </w:rPr>
        <w:t xml:space="preserve">Cakrawala Pendidikan</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(XXXVI), 522–528. https://doi.org/10.21831/cp.v36i3.11921</w:t>
      </w:r>
    </w:p>
    <w:p w:rsidR="00000000" w:rsidDel="00000000" w:rsidP="00000000" w:rsidRDefault="00000000" w:rsidRPr="00000000" w14:paraId="00000054">
      <w:pPr>
        <w:ind w:left="943" w:right="547" w:hanging="711"/>
        <w:jc w:val="both"/>
        <w:rPr>
          <w:sz w:val="24"/>
          <w:szCs w:val="24"/>
        </w:rPr>
      </w:pPr>
      <w:r w:rsidDel="00000000" w:rsidR="00000000" w:rsidRPr="00000000">
        <w:rPr>
          <w:rtl w:val="0"/>
        </w:rPr>
      </w:r>
    </w:p>
    <w:sectPr>
      <w:footerReference r:id="rId10" w:type="default"/>
      <w:footerReference r:id="rId11" w:type="even"/>
      <w:type w:val="nextPage"/>
      <w:pgSz w:h="16840" w:w="11910" w:orient="portrait"/>
      <w:pgMar w:bottom="960" w:top="720" w:left="920" w:right="1060" w:header="0" w:footer="7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88900</wp:posOffset>
              </wp:positionH>
              <wp:positionV relativeFrom="paragraph">
                <wp:posOffset>10007600</wp:posOffset>
              </wp:positionV>
              <wp:extent cx="9525" cy="12700"/>
              <wp:effectExtent b="0" l="0" r="0" t="0"/>
              <wp:wrapNone/>
              <wp:docPr id="13" name=""/>
              <a:graphic>
                <a:graphicData uri="http://schemas.microsoft.com/office/word/2010/wordprocessingShape">
                  <wps:wsp>
                    <wps:cNvSpPr/>
                    <wps:cNvPr id="7" name="Shape 7"/>
                    <wps:spPr>
                      <a:xfrm>
                        <a:off x="2358960" y="3775238"/>
                        <a:ext cx="5974080" cy="9525"/>
                      </a:xfrm>
                      <a:custGeom>
                        <a:rect b="b" l="l" r="r" t="t"/>
                        <a:pathLst>
                          <a:path extrusionOk="0" h="15" w="9408">
                            <a:moveTo>
                              <a:pt x="1177" y="0"/>
                            </a:moveTo>
                            <a:lnTo>
                              <a:pt x="0" y="0"/>
                            </a:lnTo>
                            <a:lnTo>
                              <a:pt x="0" y="15"/>
                            </a:lnTo>
                            <a:lnTo>
                              <a:pt x="1177" y="15"/>
                            </a:lnTo>
                            <a:lnTo>
                              <a:pt x="1177" y="0"/>
                            </a:lnTo>
                            <a:close/>
                            <a:moveTo>
                              <a:pt x="9407" y="0"/>
                            </a:moveTo>
                            <a:lnTo>
                              <a:pt x="1191" y="0"/>
                            </a:lnTo>
                            <a:lnTo>
                              <a:pt x="1177" y="0"/>
                            </a:lnTo>
                            <a:lnTo>
                              <a:pt x="1177" y="15"/>
                            </a:lnTo>
                            <a:lnTo>
                              <a:pt x="1191" y="15"/>
                            </a:lnTo>
                            <a:lnTo>
                              <a:pt x="9407" y="15"/>
                            </a:lnTo>
                            <a:lnTo>
                              <a:pt x="9407" y="0"/>
                            </a:lnTo>
                            <a:close/>
                          </a:path>
                        </a:pathLst>
                      </a:custGeom>
                      <a:solidFill>
                        <a:srgbClr val="006FC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10007600</wp:posOffset>
              </wp:positionV>
              <wp:extent cx="9525" cy="12700"/>
              <wp:effectExtent b="0" l="0" r="0" t="0"/>
              <wp:wrapNone/>
              <wp:docPr id="1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10045700</wp:posOffset>
              </wp:positionV>
              <wp:extent cx="226060" cy="185420"/>
              <wp:effectExtent b="0" l="0" r="0" t="0"/>
              <wp:wrapNone/>
              <wp:docPr id="8" name=""/>
              <a:graphic>
                <a:graphicData uri="http://schemas.microsoft.com/office/word/2010/wordprocessingShape">
                  <wps:wsp>
                    <wps:cNvSpPr/>
                    <wps:cNvPr id="2" name="Shape 2"/>
                    <wps:spPr>
                      <a:xfrm>
                        <a:off x="5237733" y="3692053"/>
                        <a:ext cx="216535" cy="175895"/>
                      </a:xfrm>
                      <a:prstGeom prst="rect">
                        <a:avLst/>
                      </a:prstGeom>
                      <a:noFill/>
                      <a:ln>
                        <a:noFill/>
                      </a:ln>
                    </wps:spPr>
                    <wps:txbx>
                      <w:txbxContent>
                        <w:p w:rsidR="00000000" w:rsidDel="00000000" w:rsidP="00000000" w:rsidRDefault="00000000" w:rsidRPr="00000000">
                          <w:pPr>
                            <w:spacing w:after="0" w:before="20.999999046325684" w:line="240"/>
                            <w:ind w:left="60" w:right="0" w:firstLine="6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80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10045700</wp:posOffset>
              </wp:positionV>
              <wp:extent cx="226060" cy="185420"/>
              <wp:effectExtent b="0" l="0" r="0" t="0"/>
              <wp:wrapNone/>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26060" cy="1854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3962400</wp:posOffset>
              </wp:positionH>
              <wp:positionV relativeFrom="paragraph">
                <wp:posOffset>10045700</wp:posOffset>
              </wp:positionV>
              <wp:extent cx="2042160" cy="185420"/>
              <wp:effectExtent b="0" l="0" r="0" t="0"/>
              <wp:wrapNone/>
              <wp:docPr id="9" name=""/>
              <a:graphic>
                <a:graphicData uri="http://schemas.microsoft.com/office/word/2010/wordprocessingShape">
                  <wps:wsp>
                    <wps:cNvSpPr/>
                    <wps:cNvPr id="3" name="Shape 3"/>
                    <wps:spPr>
                      <a:xfrm>
                        <a:off x="4329683" y="3692053"/>
                        <a:ext cx="2032635" cy="1758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Jurnal Pendidikan, Vol. 23, No. 2,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3962400</wp:posOffset>
              </wp:positionH>
              <wp:positionV relativeFrom="paragraph">
                <wp:posOffset>10045700</wp:posOffset>
              </wp:positionV>
              <wp:extent cx="2042160" cy="185420"/>
              <wp:effectExtent b="0" l="0" r="0" t="0"/>
              <wp:wrapNone/>
              <wp:docPr id="9"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2042160" cy="18542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342900</wp:posOffset>
              </wp:positionH>
              <wp:positionV relativeFrom="paragraph">
                <wp:posOffset>10007600</wp:posOffset>
              </wp:positionV>
              <wp:extent cx="9525" cy="12700"/>
              <wp:effectExtent b="0" l="0" r="0" t="0"/>
              <wp:wrapNone/>
              <wp:docPr id="12" name=""/>
              <a:graphic>
                <a:graphicData uri="http://schemas.microsoft.com/office/word/2010/wordprocessingShape">
                  <wps:wsp>
                    <wps:cNvSpPr/>
                    <wps:cNvPr id="6" name="Shape 6"/>
                    <wps:spPr>
                      <a:xfrm>
                        <a:off x="2382138" y="3775238"/>
                        <a:ext cx="5927725" cy="9525"/>
                      </a:xfrm>
                      <a:custGeom>
                        <a:rect b="b" l="l" r="r" t="t"/>
                        <a:pathLst>
                          <a:path extrusionOk="0" h="15" w="9335">
                            <a:moveTo>
                              <a:pt x="9335" y="0"/>
                            </a:moveTo>
                            <a:lnTo>
                              <a:pt x="8610" y="0"/>
                            </a:lnTo>
                            <a:lnTo>
                              <a:pt x="8596" y="0"/>
                            </a:lnTo>
                            <a:lnTo>
                              <a:pt x="0" y="0"/>
                            </a:lnTo>
                            <a:lnTo>
                              <a:pt x="0" y="15"/>
                            </a:lnTo>
                            <a:lnTo>
                              <a:pt x="8596" y="15"/>
                            </a:lnTo>
                            <a:lnTo>
                              <a:pt x="8610" y="15"/>
                            </a:lnTo>
                            <a:lnTo>
                              <a:pt x="9335" y="15"/>
                            </a:lnTo>
                            <a:lnTo>
                              <a:pt x="9335" y="0"/>
                            </a:lnTo>
                            <a:close/>
                          </a:path>
                        </a:pathLst>
                      </a:custGeom>
                      <a:solidFill>
                        <a:srgbClr val="006FC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342900</wp:posOffset>
              </wp:positionH>
              <wp:positionV relativeFrom="paragraph">
                <wp:posOffset>10007600</wp:posOffset>
              </wp:positionV>
              <wp:extent cx="9525" cy="12700"/>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10045700</wp:posOffset>
              </wp:positionV>
              <wp:extent cx="2042160" cy="185420"/>
              <wp:effectExtent b="0" l="0" r="0" t="0"/>
              <wp:wrapNone/>
              <wp:docPr id="10" name=""/>
              <a:graphic>
                <a:graphicData uri="http://schemas.microsoft.com/office/word/2010/wordprocessingShape">
                  <wps:wsp>
                    <wps:cNvSpPr/>
                    <wps:cNvPr id="4" name="Shape 4"/>
                    <wps:spPr>
                      <a:xfrm>
                        <a:off x="4329683" y="3692053"/>
                        <a:ext cx="2032635" cy="1758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Jurnal Pendidikan, Vol. 23, No. 2,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10045700</wp:posOffset>
              </wp:positionV>
              <wp:extent cx="2042160" cy="185420"/>
              <wp:effectExtent b="0" l="0" r="0" t="0"/>
              <wp:wrapNone/>
              <wp:docPr id="1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42160" cy="1854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10045700</wp:posOffset>
              </wp:positionV>
              <wp:extent cx="226060" cy="185420"/>
              <wp:effectExtent b="0" l="0" r="0" t="0"/>
              <wp:wrapNone/>
              <wp:docPr id="11" name=""/>
              <a:graphic>
                <a:graphicData uri="http://schemas.microsoft.com/office/word/2010/wordprocessingShape">
                  <wps:wsp>
                    <wps:cNvSpPr/>
                    <wps:cNvPr id="5" name="Shape 5"/>
                    <wps:spPr>
                      <a:xfrm>
                        <a:off x="5237733" y="3692053"/>
                        <a:ext cx="216535" cy="175895"/>
                      </a:xfrm>
                      <a:prstGeom prst="rect">
                        <a:avLst/>
                      </a:prstGeom>
                      <a:noFill/>
                      <a:ln>
                        <a:noFill/>
                      </a:ln>
                    </wps:spPr>
                    <wps:txbx>
                      <w:txbxContent>
                        <w:p w:rsidR="00000000" w:rsidDel="00000000" w:rsidP="00000000" w:rsidRDefault="00000000" w:rsidRPr="00000000">
                          <w:pPr>
                            <w:spacing w:after="0" w:before="20.999999046325684" w:line="240"/>
                            <w:ind w:left="60" w:right="0" w:firstLine="6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PAGE </w:t>
                          </w:r>
                          <w:r w:rsidDel="00000000" w:rsidR="00000000" w:rsidRPr="00000000">
                            <w:rPr>
                              <w:rFonts w:ascii="Cambria" w:cs="Cambria" w:eastAsia="Cambria" w:hAnsi="Cambria"/>
                              <w:b w:val="0"/>
                              <w:i w:val="0"/>
                              <w:smallCaps w:val="0"/>
                              <w:strike w:val="0"/>
                              <w:color w:val="000000"/>
                              <w:sz w:val="22"/>
                              <w:vertAlign w:val="baseline"/>
                            </w:rPr>
                            <w:t xml:space="preserve">79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10045700</wp:posOffset>
              </wp:positionV>
              <wp:extent cx="226060" cy="185420"/>
              <wp:effectExtent b="0" l="0" r="0" t="0"/>
              <wp:wrapNone/>
              <wp:docPr id="11"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26060" cy="1854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52" w:hanging="72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ind w:left="952" w:hanging="721"/>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jc w:val="both"/>
    </w:pPr>
    <w:rPr>
      <w:sz w:val="24"/>
      <w:szCs w:val="24"/>
    </w:rPr>
  </w:style>
  <w:style w:type="paragraph" w:styleId="ListParagraph">
    <w:name w:val="List Paragraph"/>
    <w:basedOn w:val="Normal"/>
    <w:uiPriority w:val="1"/>
    <w:qFormat w:val="1"/>
    <w:pPr>
      <w:ind w:left="952" w:hanging="721"/>
    </w:pPr>
  </w:style>
  <w:style w:type="paragraph" w:styleId="TableParagraph" w:customStyle="1">
    <w:name w:val="Table Paragraph"/>
    <w:basedOn w:val="Normal"/>
    <w:uiPriority w:val="1"/>
    <w:qFormat w:val="1"/>
    <w:pPr>
      <w:ind w:left="117"/>
    </w:pPr>
  </w:style>
  <w:style w:type="paragraph" w:styleId="NormalWeb">
    <w:name w:val="Normal (Web)"/>
    <w:basedOn w:val="Normal"/>
    <w:unhideWhenUsed w:val="1"/>
    <w:rsid w:val="00CC42D5"/>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jurnal.ut.ac.id/index.php/jp"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Tw1/fo+gg2stL1JrX2Q8rmtP2g==">AMUW2mWbldeFGUM5/Qqm22D2OBLpu4dNdgPP0Usz+PX7BgnKEVRkEMPuXcs9SlesieaDH7buJEuhzMHyJ/QzgiNvHO2ubhGRHtefRdONzaqnjhJXzk3UvBM=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2022-12-16T07:32:00Z</dcterms:created>
  <dc:creator>Reader2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2016</vt:lpwstr>
  </property>
  <property fmtid="{D5CDD505-2E9C-101B-9397-08002B2CF9AE}" pid="4" name="LastSaved">
    <vt:filetime>2022-12-16T00:00:00Z</vt:filetime>
  </property>
  <property fmtid="{D5CDD505-2E9C-101B-9397-08002B2CF9AE}" pid="5" name="Mendeley Document_1">
    <vt:lpwstr>True</vt:lpwstr>
  </property>
  <property fmtid="{D5CDD505-2E9C-101B-9397-08002B2CF9AE}" pid="6" name="Mendeley Unique User Id_1">
    <vt:lpwstr>d1544774-05bd-34df-bf33-ff191e7e9c6d</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