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A40" w:rsidRPr="00A04BEF" w:rsidRDefault="00BE1315" w:rsidP="00676A40">
      <w:pPr>
        <w:spacing w:after="0"/>
        <w:jc w:val="center"/>
        <w:rPr>
          <w:rFonts w:asciiTheme="minorHAnsi" w:hAnsiTheme="minorHAnsi"/>
          <w:b/>
          <w:sz w:val="24"/>
        </w:rPr>
      </w:pPr>
      <w:r>
        <w:rPr>
          <w:rFonts w:asciiTheme="minorHAnsi" w:hAnsiTheme="minorHAnsi"/>
          <w:b/>
          <w:sz w:val="24"/>
        </w:rPr>
        <w:t>Annual Progra</w:t>
      </w:r>
      <w:r w:rsidR="00676A40" w:rsidRPr="00A04BEF">
        <w:rPr>
          <w:rFonts w:asciiTheme="minorHAnsi" w:hAnsiTheme="minorHAnsi"/>
          <w:b/>
          <w:sz w:val="24"/>
        </w:rPr>
        <w:t>mme Review (APR) 2018 of 4</w:t>
      </w:r>
      <w:r w:rsidR="00676A40" w:rsidRPr="00A04BEF">
        <w:rPr>
          <w:rFonts w:asciiTheme="minorHAnsi" w:hAnsiTheme="minorHAnsi"/>
          <w:b/>
          <w:sz w:val="24"/>
          <w:vertAlign w:val="superscript"/>
        </w:rPr>
        <w:t>th</w:t>
      </w:r>
      <w:r w:rsidR="00676A40" w:rsidRPr="00A04BEF">
        <w:rPr>
          <w:rFonts w:asciiTheme="minorHAnsi" w:hAnsiTheme="minorHAnsi"/>
          <w:b/>
          <w:sz w:val="24"/>
        </w:rPr>
        <w:t xml:space="preserve"> HPNSP</w:t>
      </w:r>
    </w:p>
    <w:p w:rsidR="00676A40" w:rsidRDefault="00676A40" w:rsidP="00676A40">
      <w:pPr>
        <w:spacing w:after="0"/>
        <w:jc w:val="center"/>
        <w:rPr>
          <w:rFonts w:asciiTheme="minorHAnsi" w:hAnsiTheme="minorHAnsi"/>
          <w:b/>
          <w:sz w:val="24"/>
        </w:rPr>
      </w:pPr>
      <w:r w:rsidRPr="00A04BEF">
        <w:rPr>
          <w:rFonts w:asciiTheme="minorHAnsi" w:hAnsiTheme="minorHAnsi"/>
          <w:b/>
          <w:sz w:val="24"/>
        </w:rPr>
        <w:t xml:space="preserve">Reproductive, Maternal, Neonatal, Child and Adolescent Health </w:t>
      </w:r>
      <w:r w:rsidR="00291439">
        <w:rPr>
          <w:rFonts w:asciiTheme="minorHAnsi" w:hAnsiTheme="minorHAnsi"/>
          <w:b/>
          <w:sz w:val="24"/>
        </w:rPr>
        <w:t>(RMNCAH)</w:t>
      </w:r>
    </w:p>
    <w:p w:rsidR="00BE1315" w:rsidRDefault="004B0004" w:rsidP="00676A40">
      <w:pPr>
        <w:spacing w:after="0"/>
        <w:jc w:val="center"/>
        <w:rPr>
          <w:rFonts w:asciiTheme="minorHAnsi" w:hAnsiTheme="minorHAnsi"/>
          <w:sz w:val="24"/>
        </w:rPr>
      </w:pPr>
      <w:r>
        <w:rPr>
          <w:rFonts w:asciiTheme="minorHAnsi" w:hAnsiTheme="minorHAnsi"/>
          <w:sz w:val="24"/>
        </w:rPr>
        <w:t>Draft</w:t>
      </w:r>
      <w:r w:rsidR="00BE1315">
        <w:rPr>
          <w:rFonts w:asciiTheme="minorHAnsi" w:hAnsiTheme="minorHAnsi"/>
          <w:sz w:val="24"/>
        </w:rPr>
        <w:t xml:space="preserve"> report</w:t>
      </w:r>
    </w:p>
    <w:p w:rsidR="00BE1315" w:rsidRDefault="00BE1315" w:rsidP="00676A40">
      <w:pPr>
        <w:spacing w:after="0"/>
        <w:jc w:val="center"/>
        <w:rPr>
          <w:rFonts w:asciiTheme="minorHAnsi" w:hAnsiTheme="minorHAnsi"/>
          <w:sz w:val="24"/>
        </w:rPr>
      </w:pPr>
      <w:proofErr w:type="spellStart"/>
      <w:r>
        <w:rPr>
          <w:rFonts w:asciiTheme="minorHAnsi" w:hAnsiTheme="minorHAnsi"/>
          <w:sz w:val="24"/>
        </w:rPr>
        <w:t>Yasmin</w:t>
      </w:r>
      <w:proofErr w:type="spellEnd"/>
      <w:r>
        <w:rPr>
          <w:rFonts w:asciiTheme="minorHAnsi" w:hAnsiTheme="minorHAnsi"/>
          <w:sz w:val="24"/>
        </w:rPr>
        <w:t xml:space="preserve"> H Ahmed</w:t>
      </w:r>
    </w:p>
    <w:p w:rsidR="00BE1315" w:rsidRPr="00BE1315" w:rsidRDefault="00BE1315" w:rsidP="00676A40">
      <w:pPr>
        <w:spacing w:after="0"/>
        <w:jc w:val="center"/>
        <w:rPr>
          <w:rFonts w:asciiTheme="minorHAnsi" w:hAnsiTheme="minorHAnsi"/>
          <w:sz w:val="24"/>
        </w:rPr>
      </w:pPr>
    </w:p>
    <w:p w:rsidR="00676A40" w:rsidRPr="00A35FB6" w:rsidRDefault="00676A40" w:rsidP="008237BF">
      <w:pPr>
        <w:pStyle w:val="ListParagraph"/>
        <w:numPr>
          <w:ilvl w:val="0"/>
          <w:numId w:val="2"/>
        </w:numPr>
        <w:ind w:left="360"/>
        <w:rPr>
          <w:rFonts w:asciiTheme="minorHAnsi" w:hAnsiTheme="minorHAnsi"/>
          <w:b/>
        </w:rPr>
      </w:pPr>
      <w:r w:rsidRPr="00A35FB6">
        <w:rPr>
          <w:rFonts w:asciiTheme="minorHAnsi" w:hAnsiTheme="minorHAnsi"/>
          <w:b/>
        </w:rPr>
        <w:t>Executive Summary</w:t>
      </w:r>
    </w:p>
    <w:p w:rsidR="00676A40" w:rsidRDefault="00A82284" w:rsidP="005D2F28">
      <w:pPr>
        <w:pStyle w:val="ListParagraph"/>
        <w:ind w:left="0"/>
        <w:rPr>
          <w:rFonts w:asciiTheme="minorHAnsi" w:hAnsiTheme="minorHAnsi"/>
        </w:rPr>
      </w:pPr>
      <w:r>
        <w:rPr>
          <w:rFonts w:asciiTheme="minorHAnsi" w:hAnsiTheme="minorHAnsi"/>
        </w:rPr>
        <w:t>Th</w:t>
      </w:r>
      <w:r w:rsidR="00291439">
        <w:rPr>
          <w:rFonts w:asciiTheme="minorHAnsi" w:hAnsiTheme="minorHAnsi"/>
        </w:rPr>
        <w:t>is</w:t>
      </w:r>
      <w:r>
        <w:rPr>
          <w:rFonts w:asciiTheme="minorHAnsi" w:hAnsiTheme="minorHAnsi"/>
        </w:rPr>
        <w:t xml:space="preserve"> Annual Programme Review, APR,  was carried out to review the first 18 months (January 2017 to June 2018) of the fourth </w:t>
      </w:r>
      <w:r w:rsidR="00F11B2F">
        <w:rPr>
          <w:rFonts w:asciiTheme="minorHAnsi" w:hAnsiTheme="minorHAnsi"/>
        </w:rPr>
        <w:t xml:space="preserve">health </w:t>
      </w:r>
      <w:r>
        <w:rPr>
          <w:rFonts w:asciiTheme="minorHAnsi" w:hAnsiTheme="minorHAnsi"/>
        </w:rPr>
        <w:t xml:space="preserve">sector </w:t>
      </w:r>
      <w:r w:rsidR="00F11B2F">
        <w:rPr>
          <w:rFonts w:asciiTheme="minorHAnsi" w:hAnsiTheme="minorHAnsi"/>
        </w:rPr>
        <w:t xml:space="preserve">program </w:t>
      </w:r>
      <w:r w:rsidR="00A52331">
        <w:rPr>
          <w:rFonts w:asciiTheme="minorHAnsi" w:hAnsiTheme="minorHAnsi"/>
        </w:rPr>
        <w:t xml:space="preserve"> of the </w:t>
      </w:r>
      <w:r w:rsidR="00F11B2F">
        <w:rPr>
          <w:rFonts w:asciiTheme="minorHAnsi" w:hAnsiTheme="minorHAnsi"/>
        </w:rPr>
        <w:t xml:space="preserve">Government of </w:t>
      </w:r>
      <w:r w:rsidR="00A52331">
        <w:rPr>
          <w:rFonts w:asciiTheme="minorHAnsi" w:hAnsiTheme="minorHAnsi"/>
        </w:rPr>
        <w:t xml:space="preserve">Bangladesh </w:t>
      </w:r>
      <w:r>
        <w:rPr>
          <w:rFonts w:asciiTheme="minorHAnsi" w:hAnsiTheme="minorHAnsi"/>
        </w:rPr>
        <w:t xml:space="preserve">- Health Population Nutrition Sector Programme( HPNSP: 2017-2022). </w:t>
      </w:r>
      <w:r w:rsidR="005D2F28">
        <w:rPr>
          <w:rFonts w:asciiTheme="minorHAnsi" w:hAnsiTheme="minorHAnsi"/>
        </w:rPr>
        <w:t>APR 201</w:t>
      </w:r>
      <w:r w:rsidR="00A52331">
        <w:rPr>
          <w:rFonts w:asciiTheme="minorHAnsi" w:hAnsiTheme="minorHAnsi"/>
        </w:rPr>
        <w:t>8</w:t>
      </w:r>
      <w:r w:rsidR="005D2F28">
        <w:rPr>
          <w:rFonts w:asciiTheme="minorHAnsi" w:hAnsiTheme="minorHAnsi"/>
        </w:rPr>
        <w:t xml:space="preserve"> was carried out by a team of 12 Consultants between January 20-February 20</w:t>
      </w:r>
      <w:proofErr w:type="gramStart"/>
      <w:r w:rsidR="005D2F28">
        <w:rPr>
          <w:rFonts w:asciiTheme="minorHAnsi" w:hAnsiTheme="minorHAnsi"/>
        </w:rPr>
        <w:t>,2019</w:t>
      </w:r>
      <w:proofErr w:type="gramEnd"/>
      <w:r w:rsidR="005D2F28">
        <w:rPr>
          <w:rFonts w:asciiTheme="minorHAnsi" w:hAnsiTheme="minorHAnsi"/>
        </w:rPr>
        <w:t xml:space="preserve">. </w:t>
      </w:r>
      <w:r w:rsidR="00A52331">
        <w:rPr>
          <w:rFonts w:asciiTheme="minorHAnsi" w:hAnsiTheme="minorHAnsi"/>
        </w:rPr>
        <w:t>Each consultant carried out the review of</w:t>
      </w:r>
      <w:r>
        <w:rPr>
          <w:rFonts w:asciiTheme="minorHAnsi" w:hAnsiTheme="minorHAnsi"/>
        </w:rPr>
        <w:t xml:space="preserve"> a specific </w:t>
      </w:r>
      <w:r w:rsidR="00F11B2F">
        <w:rPr>
          <w:rFonts w:asciiTheme="minorHAnsi" w:hAnsiTheme="minorHAnsi"/>
        </w:rPr>
        <w:t xml:space="preserve">thematic area </w:t>
      </w:r>
      <w:r>
        <w:rPr>
          <w:rFonts w:asciiTheme="minorHAnsi" w:hAnsiTheme="minorHAnsi"/>
        </w:rPr>
        <w:t>of HPNSP with assigned OPs</w:t>
      </w:r>
      <w:r w:rsidR="00A52331">
        <w:rPr>
          <w:rFonts w:asciiTheme="minorHAnsi" w:hAnsiTheme="minorHAnsi"/>
        </w:rPr>
        <w:t>. The review findings are based on</w:t>
      </w:r>
      <w:r>
        <w:rPr>
          <w:rFonts w:asciiTheme="minorHAnsi" w:hAnsiTheme="minorHAnsi"/>
        </w:rPr>
        <w:t xml:space="preserve"> documents review, field visits and key informant interviews.  </w:t>
      </w:r>
    </w:p>
    <w:p w:rsidR="00A82284" w:rsidRDefault="00A82284" w:rsidP="005D2F28">
      <w:pPr>
        <w:pStyle w:val="ListParagraph"/>
        <w:ind w:left="0"/>
        <w:rPr>
          <w:rFonts w:asciiTheme="minorHAnsi" w:hAnsiTheme="minorHAnsi"/>
        </w:rPr>
      </w:pPr>
    </w:p>
    <w:p w:rsidR="00A82284" w:rsidRDefault="00A82284" w:rsidP="005D2F28">
      <w:pPr>
        <w:pStyle w:val="ListParagraph"/>
        <w:ind w:left="0"/>
        <w:rPr>
          <w:rFonts w:asciiTheme="minorHAnsi" w:hAnsiTheme="minorHAnsi"/>
        </w:rPr>
      </w:pPr>
      <w:r>
        <w:rPr>
          <w:rFonts w:asciiTheme="minorHAnsi" w:hAnsiTheme="minorHAnsi"/>
        </w:rPr>
        <w:t xml:space="preserve">Five OPs were </w:t>
      </w:r>
      <w:r w:rsidR="00A52331">
        <w:rPr>
          <w:rFonts w:asciiTheme="minorHAnsi" w:hAnsiTheme="minorHAnsi"/>
        </w:rPr>
        <w:t>reviewed in</w:t>
      </w:r>
      <w:r>
        <w:rPr>
          <w:rFonts w:asciiTheme="minorHAnsi" w:hAnsiTheme="minorHAnsi"/>
        </w:rPr>
        <w:t xml:space="preserve"> the RMNCAH area- </w:t>
      </w:r>
      <w:r w:rsidR="00163B7D">
        <w:rPr>
          <w:rFonts w:asciiTheme="minorHAnsi" w:hAnsiTheme="minorHAnsi"/>
        </w:rPr>
        <w:t xml:space="preserve">NMES, MNCAH, MCRAH, CBHC and HSM. The overall pace of implementation of HPNSP during the review period was slow, as much time was lost in approval of the PIP and individual OPs, and subsequent fund release.  The challenge of managing the </w:t>
      </w:r>
      <w:proofErr w:type="spellStart"/>
      <w:proofErr w:type="gramStart"/>
      <w:r w:rsidR="00163B7D">
        <w:rPr>
          <w:rFonts w:asciiTheme="minorHAnsi" w:hAnsiTheme="minorHAnsi"/>
        </w:rPr>
        <w:t>Rohingya</w:t>
      </w:r>
      <w:proofErr w:type="spellEnd"/>
      <w:r w:rsidR="00163B7D">
        <w:rPr>
          <w:rFonts w:asciiTheme="minorHAnsi" w:hAnsiTheme="minorHAnsi"/>
        </w:rPr>
        <w:t xml:space="preserve">  crisis</w:t>
      </w:r>
      <w:proofErr w:type="gramEnd"/>
      <w:r w:rsidR="00163B7D">
        <w:rPr>
          <w:rFonts w:asciiTheme="minorHAnsi" w:hAnsiTheme="minorHAnsi"/>
        </w:rPr>
        <w:t xml:space="preserve"> detracted attention of  policy makers and a section of  health managers  during the </w:t>
      </w:r>
      <w:proofErr w:type="spellStart"/>
      <w:r w:rsidR="00163B7D">
        <w:rPr>
          <w:rFonts w:asciiTheme="minorHAnsi" w:hAnsiTheme="minorHAnsi"/>
        </w:rPr>
        <w:t>later</w:t>
      </w:r>
      <w:proofErr w:type="spellEnd"/>
      <w:r w:rsidR="00163B7D">
        <w:rPr>
          <w:rFonts w:asciiTheme="minorHAnsi" w:hAnsiTheme="minorHAnsi"/>
        </w:rPr>
        <w:t xml:space="preserve"> half of the review period. </w:t>
      </w:r>
      <w:r w:rsidR="00A52331">
        <w:rPr>
          <w:rFonts w:asciiTheme="minorHAnsi" w:hAnsiTheme="minorHAnsi"/>
        </w:rPr>
        <w:t xml:space="preserve">However, a number of preparatory activities took place during this period including training, procurement, development of tools and strategies and recruitment. In terms of specific OPs, </w:t>
      </w:r>
      <w:r w:rsidR="00163B7D">
        <w:rPr>
          <w:rFonts w:asciiTheme="minorHAnsi" w:hAnsiTheme="minorHAnsi"/>
        </w:rPr>
        <w:t xml:space="preserve">NMES and CBHC OPs showed relatively good progress. Although NMES OP had a slow start, by the time the review was undertaken, the OP had been able to recover lost grounds and was back on track. The OP had by the end of the review period already achieved one of its programme-end indicators (number of midwives produced).  The MNCAH OP showed </w:t>
      </w:r>
      <w:r w:rsidR="00AD06F5">
        <w:rPr>
          <w:rFonts w:asciiTheme="minorHAnsi" w:hAnsiTheme="minorHAnsi"/>
        </w:rPr>
        <w:t xml:space="preserve">mixed </w:t>
      </w:r>
      <w:proofErr w:type="gramStart"/>
      <w:r w:rsidR="00163B7D">
        <w:rPr>
          <w:rFonts w:asciiTheme="minorHAnsi" w:hAnsiTheme="minorHAnsi"/>
        </w:rPr>
        <w:t xml:space="preserve">progress </w:t>
      </w:r>
      <w:r w:rsidR="00AD06F5">
        <w:rPr>
          <w:rFonts w:asciiTheme="minorHAnsi" w:hAnsiTheme="minorHAnsi"/>
        </w:rPr>
        <w:t>.</w:t>
      </w:r>
      <w:proofErr w:type="gramEnd"/>
      <w:r w:rsidR="00AD06F5">
        <w:rPr>
          <w:rFonts w:asciiTheme="minorHAnsi" w:hAnsiTheme="minorHAnsi"/>
        </w:rPr>
        <w:t xml:space="preserve"> It was able to achieve two of the three DLIs; however progress in four other indicators either was not reported or the reporting was unreliable. The MCRAH OP’s progress was limited.  The annual target</w:t>
      </w:r>
      <w:r w:rsidR="00A52331">
        <w:rPr>
          <w:rFonts w:asciiTheme="minorHAnsi" w:hAnsiTheme="minorHAnsi"/>
        </w:rPr>
        <w:t xml:space="preserve"> setting was weak </w:t>
      </w:r>
      <w:r w:rsidR="00AD06F5">
        <w:rPr>
          <w:rFonts w:asciiTheme="minorHAnsi" w:hAnsiTheme="minorHAnsi"/>
        </w:rPr>
        <w:t>(four indicators</w:t>
      </w:r>
      <w:r w:rsidR="00A52331">
        <w:rPr>
          <w:rFonts w:asciiTheme="minorHAnsi" w:hAnsiTheme="minorHAnsi"/>
        </w:rPr>
        <w:t xml:space="preserve"> had no annual target</w:t>
      </w:r>
      <w:r w:rsidR="00AD06F5">
        <w:rPr>
          <w:rFonts w:asciiTheme="minorHAnsi" w:hAnsiTheme="minorHAnsi"/>
        </w:rPr>
        <w:t xml:space="preserve">, </w:t>
      </w:r>
      <w:r w:rsidR="00A52331">
        <w:rPr>
          <w:rFonts w:asciiTheme="minorHAnsi" w:hAnsiTheme="minorHAnsi"/>
        </w:rPr>
        <w:t xml:space="preserve">one </w:t>
      </w:r>
      <w:r w:rsidR="00F11B2F">
        <w:rPr>
          <w:rFonts w:asciiTheme="minorHAnsi" w:hAnsiTheme="minorHAnsi"/>
        </w:rPr>
        <w:t xml:space="preserve">was </w:t>
      </w:r>
      <w:proofErr w:type="gramStart"/>
      <w:r w:rsidR="00AD06F5">
        <w:rPr>
          <w:rFonts w:asciiTheme="minorHAnsi" w:hAnsiTheme="minorHAnsi"/>
        </w:rPr>
        <w:t>overambitious  which</w:t>
      </w:r>
      <w:proofErr w:type="gramEnd"/>
      <w:r w:rsidR="00AD06F5">
        <w:rPr>
          <w:rFonts w:asciiTheme="minorHAnsi" w:hAnsiTheme="minorHAnsi"/>
        </w:rPr>
        <w:t xml:space="preserve"> </w:t>
      </w:r>
      <w:r w:rsidR="00F11B2F">
        <w:rPr>
          <w:rFonts w:asciiTheme="minorHAnsi" w:hAnsiTheme="minorHAnsi"/>
        </w:rPr>
        <w:t xml:space="preserve">later </w:t>
      </w:r>
      <w:r w:rsidR="00AD06F5">
        <w:rPr>
          <w:rFonts w:asciiTheme="minorHAnsi" w:hAnsiTheme="minorHAnsi"/>
        </w:rPr>
        <w:t xml:space="preserve">had to be </w:t>
      </w:r>
      <w:r w:rsidR="00BE1315">
        <w:rPr>
          <w:rFonts w:asciiTheme="minorHAnsi" w:hAnsiTheme="minorHAnsi"/>
        </w:rPr>
        <w:t>reduced )</w:t>
      </w:r>
      <w:r w:rsidR="00A52331">
        <w:rPr>
          <w:rFonts w:asciiTheme="minorHAnsi" w:hAnsiTheme="minorHAnsi"/>
        </w:rPr>
        <w:t xml:space="preserve"> therefore it was difficult to comment on progress.</w:t>
      </w:r>
      <w:r w:rsidR="00AD06F5">
        <w:rPr>
          <w:rFonts w:asciiTheme="minorHAnsi" w:hAnsiTheme="minorHAnsi"/>
        </w:rPr>
        <w:t xml:space="preserve"> The HSM OP showed mixed progress </w:t>
      </w:r>
      <w:r w:rsidR="009E6A2A">
        <w:rPr>
          <w:rFonts w:asciiTheme="minorHAnsi" w:hAnsiTheme="minorHAnsi"/>
        </w:rPr>
        <w:t xml:space="preserve">having met two </w:t>
      </w:r>
      <w:r w:rsidR="00F11B2F">
        <w:rPr>
          <w:rFonts w:asciiTheme="minorHAnsi" w:hAnsiTheme="minorHAnsi"/>
        </w:rPr>
        <w:t xml:space="preserve">of </w:t>
      </w:r>
      <w:r w:rsidR="009E6A2A">
        <w:rPr>
          <w:rFonts w:asciiTheme="minorHAnsi" w:hAnsiTheme="minorHAnsi"/>
        </w:rPr>
        <w:t xml:space="preserve">the five indicators, with no progress in two and underachievement in one. </w:t>
      </w:r>
    </w:p>
    <w:p w:rsidR="009E6A2A" w:rsidRDefault="009E6A2A" w:rsidP="005D2F28">
      <w:pPr>
        <w:pStyle w:val="ListParagraph"/>
        <w:ind w:left="0"/>
        <w:rPr>
          <w:rFonts w:asciiTheme="minorHAnsi" w:hAnsiTheme="minorHAnsi"/>
        </w:rPr>
      </w:pPr>
    </w:p>
    <w:p w:rsidR="009E6A2A" w:rsidRDefault="009E6A2A" w:rsidP="005D2F28">
      <w:pPr>
        <w:pStyle w:val="ListParagraph"/>
        <w:ind w:left="0"/>
        <w:rPr>
          <w:rFonts w:asciiTheme="minorHAnsi" w:hAnsiTheme="minorHAnsi"/>
        </w:rPr>
      </w:pPr>
      <w:r>
        <w:rPr>
          <w:rFonts w:asciiTheme="minorHAnsi" w:hAnsiTheme="minorHAnsi"/>
        </w:rPr>
        <w:t>BDHS 2017 and BHFS 2017 report</w:t>
      </w:r>
      <w:r w:rsidR="00A52331">
        <w:rPr>
          <w:rFonts w:asciiTheme="minorHAnsi" w:hAnsiTheme="minorHAnsi"/>
        </w:rPr>
        <w:t>s</w:t>
      </w:r>
      <w:r>
        <w:rPr>
          <w:rFonts w:asciiTheme="minorHAnsi" w:hAnsiTheme="minorHAnsi"/>
        </w:rPr>
        <w:t xml:space="preserve"> w</w:t>
      </w:r>
      <w:r w:rsidR="00A52331">
        <w:rPr>
          <w:rFonts w:asciiTheme="minorHAnsi" w:hAnsiTheme="minorHAnsi"/>
        </w:rPr>
        <w:t>ere</w:t>
      </w:r>
      <w:r>
        <w:rPr>
          <w:rFonts w:asciiTheme="minorHAnsi" w:hAnsiTheme="minorHAnsi"/>
        </w:rPr>
        <w:t xml:space="preserve"> used to gau</w:t>
      </w:r>
      <w:r w:rsidR="00A52331">
        <w:rPr>
          <w:rFonts w:asciiTheme="minorHAnsi" w:hAnsiTheme="minorHAnsi"/>
        </w:rPr>
        <w:t>ge achievements in the Results F</w:t>
      </w:r>
      <w:r>
        <w:rPr>
          <w:rFonts w:asciiTheme="minorHAnsi" w:hAnsiTheme="minorHAnsi"/>
        </w:rPr>
        <w:t>ramework indicators</w:t>
      </w:r>
      <w:r w:rsidR="00F11B2F">
        <w:rPr>
          <w:rFonts w:asciiTheme="minorHAnsi" w:hAnsiTheme="minorHAnsi"/>
        </w:rPr>
        <w:t xml:space="preserve"> of HPNSP</w:t>
      </w:r>
      <w:r>
        <w:rPr>
          <w:rFonts w:asciiTheme="minorHAnsi" w:hAnsiTheme="minorHAnsi"/>
        </w:rPr>
        <w:t>. Although th</w:t>
      </w:r>
      <w:r w:rsidR="00A52331">
        <w:rPr>
          <w:rFonts w:asciiTheme="minorHAnsi" w:hAnsiTheme="minorHAnsi"/>
        </w:rPr>
        <w:t>ese</w:t>
      </w:r>
      <w:r>
        <w:rPr>
          <w:rFonts w:asciiTheme="minorHAnsi" w:hAnsiTheme="minorHAnsi"/>
        </w:rPr>
        <w:t xml:space="preserve"> report</w:t>
      </w:r>
      <w:r w:rsidR="00A52331">
        <w:rPr>
          <w:rFonts w:asciiTheme="minorHAnsi" w:hAnsiTheme="minorHAnsi"/>
        </w:rPr>
        <w:t>s have</w:t>
      </w:r>
      <w:r>
        <w:rPr>
          <w:rFonts w:asciiTheme="minorHAnsi" w:hAnsiTheme="minorHAnsi"/>
        </w:rPr>
        <w:t xml:space="preserve"> not been officially released, </w:t>
      </w:r>
      <w:r w:rsidR="00B84106">
        <w:rPr>
          <w:rFonts w:asciiTheme="minorHAnsi" w:hAnsiTheme="minorHAnsi"/>
        </w:rPr>
        <w:t>the data from the reports were helpful to give a sense of the extent of improvement (or not) in</w:t>
      </w:r>
      <w:r>
        <w:rPr>
          <w:rFonts w:asciiTheme="minorHAnsi" w:hAnsiTheme="minorHAnsi"/>
        </w:rPr>
        <w:t xml:space="preserve"> RMNCAH area</w:t>
      </w:r>
      <w:r w:rsidR="00B84106">
        <w:rPr>
          <w:rFonts w:asciiTheme="minorHAnsi" w:hAnsiTheme="minorHAnsi"/>
        </w:rPr>
        <w:t>. T</w:t>
      </w:r>
      <w:r>
        <w:rPr>
          <w:rFonts w:asciiTheme="minorHAnsi" w:hAnsiTheme="minorHAnsi"/>
        </w:rPr>
        <w:t xml:space="preserve">hree indicators in the area </w:t>
      </w:r>
      <w:proofErr w:type="spellStart"/>
      <w:r>
        <w:rPr>
          <w:rFonts w:asciiTheme="minorHAnsi" w:hAnsiTheme="minorHAnsi"/>
        </w:rPr>
        <w:t>of</w:t>
      </w:r>
      <w:r w:rsidR="00B84106">
        <w:rPr>
          <w:rFonts w:asciiTheme="minorHAnsi" w:hAnsiTheme="minorHAnsi"/>
        </w:rPr>
        <w:t>‘</w:t>
      </w:r>
      <w:r>
        <w:rPr>
          <w:rFonts w:asciiTheme="minorHAnsi" w:hAnsiTheme="minorHAnsi"/>
        </w:rPr>
        <w:t>public</w:t>
      </w:r>
      <w:proofErr w:type="spellEnd"/>
      <w:r>
        <w:rPr>
          <w:rFonts w:asciiTheme="minorHAnsi" w:hAnsiTheme="minorHAnsi"/>
        </w:rPr>
        <w:t xml:space="preserve"> health services strengthened</w:t>
      </w:r>
      <w:r w:rsidR="00B84106">
        <w:rPr>
          <w:rFonts w:asciiTheme="minorHAnsi" w:hAnsiTheme="minorHAnsi"/>
        </w:rPr>
        <w:t>’</w:t>
      </w:r>
      <w:r>
        <w:rPr>
          <w:rFonts w:asciiTheme="minorHAnsi" w:hAnsiTheme="minorHAnsi"/>
        </w:rPr>
        <w:t xml:space="preserve"> and five indicators </w:t>
      </w:r>
      <w:proofErr w:type="spellStart"/>
      <w:r>
        <w:rPr>
          <w:rFonts w:asciiTheme="minorHAnsi" w:hAnsiTheme="minorHAnsi"/>
        </w:rPr>
        <w:t>in</w:t>
      </w:r>
      <w:r w:rsidR="00B84106">
        <w:rPr>
          <w:rFonts w:asciiTheme="minorHAnsi" w:hAnsiTheme="minorHAnsi"/>
        </w:rPr>
        <w:t>‘</w:t>
      </w:r>
      <w:r>
        <w:rPr>
          <w:rFonts w:asciiTheme="minorHAnsi" w:hAnsiTheme="minorHAnsi"/>
        </w:rPr>
        <w:t>equitable</w:t>
      </w:r>
      <w:proofErr w:type="spellEnd"/>
      <w:r>
        <w:rPr>
          <w:rFonts w:asciiTheme="minorHAnsi" w:hAnsiTheme="minorHAnsi"/>
        </w:rPr>
        <w:t xml:space="preserve"> coverage of ESP</w:t>
      </w:r>
      <w:r w:rsidR="00B84106">
        <w:rPr>
          <w:rFonts w:asciiTheme="minorHAnsi" w:hAnsiTheme="minorHAnsi"/>
        </w:rPr>
        <w:t>’ showed improvement on the basis of BDHS 2017; t</w:t>
      </w:r>
      <w:r>
        <w:rPr>
          <w:rFonts w:asciiTheme="minorHAnsi" w:hAnsiTheme="minorHAnsi"/>
        </w:rPr>
        <w:t xml:space="preserve">he two quality related indicators also showed improvement, though for one, a consolidated figure could not be obtained.  </w:t>
      </w:r>
    </w:p>
    <w:p w:rsidR="00B84106" w:rsidRDefault="00B84106" w:rsidP="005D2F28">
      <w:pPr>
        <w:pStyle w:val="ListParagraph"/>
        <w:ind w:left="0"/>
        <w:rPr>
          <w:rFonts w:asciiTheme="minorHAnsi" w:hAnsiTheme="minorHAnsi"/>
        </w:rPr>
      </w:pPr>
    </w:p>
    <w:p w:rsidR="00B84106" w:rsidRDefault="00B84106" w:rsidP="005D2F28">
      <w:pPr>
        <w:pStyle w:val="ListParagraph"/>
        <w:ind w:left="0"/>
        <w:rPr>
          <w:rFonts w:asciiTheme="minorHAnsi" w:hAnsiTheme="minorHAnsi"/>
        </w:rPr>
      </w:pPr>
      <w:r>
        <w:rPr>
          <w:rFonts w:asciiTheme="minorHAnsi" w:hAnsiTheme="minorHAnsi"/>
        </w:rPr>
        <w:t xml:space="preserve">Financial progress was also positive with </w:t>
      </w:r>
      <w:r w:rsidR="004B0004">
        <w:rPr>
          <w:rFonts w:asciiTheme="minorHAnsi" w:hAnsiTheme="minorHAnsi"/>
        </w:rPr>
        <w:t>most</w:t>
      </w:r>
      <w:r>
        <w:rPr>
          <w:rFonts w:asciiTheme="minorHAnsi" w:hAnsiTheme="minorHAnsi"/>
        </w:rPr>
        <w:t xml:space="preserve"> OPs receiving 96 </w:t>
      </w:r>
      <w:proofErr w:type="spellStart"/>
      <w:r>
        <w:rPr>
          <w:rFonts w:asciiTheme="minorHAnsi" w:hAnsiTheme="minorHAnsi"/>
        </w:rPr>
        <w:t>percent</w:t>
      </w:r>
      <w:proofErr w:type="spellEnd"/>
      <w:r>
        <w:rPr>
          <w:rFonts w:asciiTheme="minorHAnsi" w:hAnsiTheme="minorHAnsi"/>
        </w:rPr>
        <w:t xml:space="preserve"> or more of their annual allocation and spending 92 </w:t>
      </w:r>
      <w:proofErr w:type="spellStart"/>
      <w:r>
        <w:rPr>
          <w:rFonts w:asciiTheme="minorHAnsi" w:hAnsiTheme="minorHAnsi"/>
        </w:rPr>
        <w:t>percent</w:t>
      </w:r>
      <w:proofErr w:type="spellEnd"/>
      <w:r>
        <w:rPr>
          <w:rFonts w:asciiTheme="minorHAnsi" w:hAnsiTheme="minorHAnsi"/>
        </w:rPr>
        <w:t xml:space="preserve"> or more of the allocated amount. </w:t>
      </w:r>
    </w:p>
    <w:p w:rsidR="00B84106" w:rsidRDefault="00B84106" w:rsidP="005D2F28">
      <w:pPr>
        <w:pStyle w:val="ListParagraph"/>
        <w:ind w:left="0"/>
        <w:rPr>
          <w:rFonts w:asciiTheme="minorHAnsi" w:hAnsiTheme="minorHAnsi"/>
        </w:rPr>
      </w:pPr>
    </w:p>
    <w:p w:rsidR="00B00C67" w:rsidRDefault="00A92010" w:rsidP="005D2F28">
      <w:pPr>
        <w:pStyle w:val="ListParagraph"/>
        <w:ind w:left="0"/>
        <w:rPr>
          <w:rFonts w:asciiTheme="minorHAnsi" w:hAnsiTheme="minorHAnsi"/>
        </w:rPr>
      </w:pPr>
      <w:r>
        <w:rPr>
          <w:rFonts w:asciiTheme="minorHAnsi" w:hAnsiTheme="minorHAnsi"/>
        </w:rPr>
        <w:t xml:space="preserve">The review </w:t>
      </w:r>
      <w:r w:rsidR="00A52331">
        <w:rPr>
          <w:rFonts w:asciiTheme="minorHAnsi" w:hAnsiTheme="minorHAnsi"/>
        </w:rPr>
        <w:t>identified</w:t>
      </w:r>
      <w:r w:rsidR="00BE1315">
        <w:rPr>
          <w:rFonts w:asciiTheme="minorHAnsi" w:hAnsiTheme="minorHAnsi"/>
        </w:rPr>
        <w:t xml:space="preserve"> </w:t>
      </w:r>
      <w:r>
        <w:rPr>
          <w:rFonts w:asciiTheme="minorHAnsi" w:hAnsiTheme="minorHAnsi"/>
        </w:rPr>
        <w:t>a number of challenges in implementing the RMNCAH component of HPNSP</w:t>
      </w:r>
      <w:r w:rsidR="00B00C67">
        <w:rPr>
          <w:rFonts w:asciiTheme="minorHAnsi" w:hAnsiTheme="minorHAnsi"/>
        </w:rPr>
        <w:t>:</w:t>
      </w:r>
    </w:p>
    <w:p w:rsidR="00B00C67" w:rsidRDefault="00B00C67" w:rsidP="00B00C67">
      <w:pPr>
        <w:pStyle w:val="ListParagraph"/>
        <w:numPr>
          <w:ilvl w:val="0"/>
          <w:numId w:val="12"/>
        </w:numPr>
        <w:ind w:left="360"/>
        <w:rPr>
          <w:rFonts w:asciiTheme="minorHAnsi" w:hAnsiTheme="minorHAnsi"/>
        </w:rPr>
      </w:pPr>
      <w:r w:rsidRPr="00BE1315">
        <w:rPr>
          <w:rFonts w:asciiTheme="minorHAnsi" w:hAnsiTheme="minorHAnsi"/>
          <w:u w:val="single"/>
        </w:rPr>
        <w:lastRenderedPageBreak/>
        <w:t>Formulation of OPs and OP indicators:</w:t>
      </w:r>
      <w:r>
        <w:rPr>
          <w:rFonts w:asciiTheme="minorHAnsi" w:hAnsiTheme="minorHAnsi"/>
        </w:rPr>
        <w:t xml:space="preserve"> Some of the indicators in the OPs are not clear or specific/hard to measure/have no clear baseline. The annual target is set on the basis of annual work plan</w:t>
      </w:r>
      <w:r w:rsidR="00A52331">
        <w:rPr>
          <w:rFonts w:asciiTheme="minorHAnsi" w:hAnsiTheme="minorHAnsi"/>
        </w:rPr>
        <w:t xml:space="preserve">; the </w:t>
      </w:r>
      <w:proofErr w:type="spellStart"/>
      <w:r w:rsidR="00A52331">
        <w:rPr>
          <w:rFonts w:asciiTheme="minorHAnsi" w:hAnsiTheme="minorHAnsi"/>
        </w:rPr>
        <w:t>mid terms</w:t>
      </w:r>
      <w:proofErr w:type="spellEnd"/>
      <w:r w:rsidR="00A52331">
        <w:rPr>
          <w:rFonts w:asciiTheme="minorHAnsi" w:hAnsiTheme="minorHAnsi"/>
        </w:rPr>
        <w:t xml:space="preserve"> targets are a different measurement. It </w:t>
      </w:r>
      <w:proofErr w:type="gramStart"/>
      <w:r w:rsidR="00A52331">
        <w:rPr>
          <w:rFonts w:asciiTheme="minorHAnsi" w:hAnsiTheme="minorHAnsi"/>
        </w:rPr>
        <w:t>thus</w:t>
      </w:r>
      <w:r>
        <w:rPr>
          <w:rFonts w:asciiTheme="minorHAnsi" w:hAnsiTheme="minorHAnsi"/>
        </w:rPr>
        <w:t xml:space="preserve">  </w:t>
      </w:r>
      <w:proofErr w:type="spellStart"/>
      <w:r>
        <w:rPr>
          <w:rFonts w:asciiTheme="minorHAnsi" w:hAnsiTheme="minorHAnsi"/>
        </w:rPr>
        <w:t>becomes</w:t>
      </w:r>
      <w:r w:rsidR="00A52331">
        <w:rPr>
          <w:rFonts w:asciiTheme="minorHAnsi" w:hAnsiTheme="minorHAnsi"/>
        </w:rPr>
        <w:t>difficult</w:t>
      </w:r>
      <w:proofErr w:type="spellEnd"/>
      <w:proofErr w:type="gramEnd"/>
      <w:r>
        <w:rPr>
          <w:rFonts w:asciiTheme="minorHAnsi" w:hAnsiTheme="minorHAnsi"/>
        </w:rPr>
        <w:t xml:space="preserve"> to assess if the progress is in the right direction or to the right extent to enable achievement of the mid-term or end-of-programme target. Gaps were observed between OP narratives and </w:t>
      </w:r>
      <w:r w:rsidR="00DE53BB">
        <w:rPr>
          <w:rFonts w:asciiTheme="minorHAnsi" w:hAnsiTheme="minorHAnsi"/>
        </w:rPr>
        <w:t xml:space="preserve">budget; some interventions span across several OPs and there is no mechanism </w:t>
      </w:r>
      <w:r w:rsidR="00B478F2">
        <w:rPr>
          <w:rFonts w:asciiTheme="minorHAnsi" w:hAnsiTheme="minorHAnsi"/>
        </w:rPr>
        <w:t>in place for coordinating those</w:t>
      </w:r>
      <w:r w:rsidR="00DE53BB">
        <w:rPr>
          <w:rFonts w:asciiTheme="minorHAnsi" w:hAnsiTheme="minorHAnsi"/>
        </w:rPr>
        <w:t xml:space="preserve">. Significant </w:t>
      </w:r>
      <w:proofErr w:type="gramStart"/>
      <w:r w:rsidR="00DE53BB">
        <w:rPr>
          <w:rFonts w:asciiTheme="minorHAnsi" w:hAnsiTheme="minorHAnsi"/>
        </w:rPr>
        <w:t>number of training have</w:t>
      </w:r>
      <w:proofErr w:type="gramEnd"/>
      <w:r w:rsidR="00DE53BB">
        <w:rPr>
          <w:rFonts w:asciiTheme="minorHAnsi" w:hAnsiTheme="minorHAnsi"/>
        </w:rPr>
        <w:t xml:space="preserve"> been built into the OPs; given that training is not the mainstay of these OPs, it is not clear how good quality training will be ensured.</w:t>
      </w:r>
    </w:p>
    <w:p w:rsidR="00DE53BB" w:rsidRDefault="00DE53BB" w:rsidP="00B00C67">
      <w:pPr>
        <w:pStyle w:val="ListParagraph"/>
        <w:numPr>
          <w:ilvl w:val="0"/>
          <w:numId w:val="12"/>
        </w:numPr>
        <w:ind w:left="360"/>
        <w:rPr>
          <w:rFonts w:asciiTheme="minorHAnsi" w:hAnsiTheme="minorHAnsi"/>
        </w:rPr>
      </w:pPr>
      <w:r w:rsidRPr="00BE1315">
        <w:rPr>
          <w:rFonts w:asciiTheme="minorHAnsi" w:hAnsiTheme="minorHAnsi"/>
          <w:u w:val="single"/>
        </w:rPr>
        <w:t xml:space="preserve">Systems related challenges include </w:t>
      </w:r>
      <w:r w:rsidR="001D3C1C" w:rsidRPr="00BE1315">
        <w:rPr>
          <w:rFonts w:asciiTheme="minorHAnsi" w:hAnsiTheme="minorHAnsi"/>
          <w:u w:val="single"/>
        </w:rPr>
        <w:t>a fragmented approach</w:t>
      </w:r>
      <w:r w:rsidR="001D3C1C">
        <w:rPr>
          <w:rFonts w:asciiTheme="minorHAnsi" w:hAnsiTheme="minorHAnsi"/>
        </w:rPr>
        <w:t xml:space="preserve"> to implementing interventions as a result of the OPs being stand-alone, and lack of clear mechanisms to coordinate/harmonise similar activities across OPs; </w:t>
      </w:r>
      <w:proofErr w:type="spellStart"/>
      <w:r w:rsidR="001D3C1C">
        <w:rPr>
          <w:rFonts w:asciiTheme="minorHAnsi" w:hAnsiTheme="minorHAnsi"/>
        </w:rPr>
        <w:t>silo’d</w:t>
      </w:r>
      <w:proofErr w:type="spellEnd"/>
      <w:r w:rsidR="001D3C1C">
        <w:rPr>
          <w:rFonts w:asciiTheme="minorHAnsi" w:hAnsiTheme="minorHAnsi"/>
        </w:rPr>
        <w:t xml:space="preserve"> approach to </w:t>
      </w:r>
      <w:r w:rsidR="00A74437">
        <w:rPr>
          <w:rFonts w:asciiTheme="minorHAnsi" w:hAnsiTheme="minorHAnsi"/>
        </w:rPr>
        <w:t>service delivery</w:t>
      </w:r>
      <w:r w:rsidR="001D3C1C">
        <w:rPr>
          <w:rFonts w:asciiTheme="minorHAnsi" w:hAnsiTheme="minorHAnsi"/>
        </w:rPr>
        <w:t xml:space="preserve"> (e.g. many different corners in the same health facility), inappropriate disposal of hospital waste po</w:t>
      </w:r>
      <w:r w:rsidR="00B478F2">
        <w:rPr>
          <w:rFonts w:asciiTheme="minorHAnsi" w:hAnsiTheme="minorHAnsi"/>
        </w:rPr>
        <w:t>st-outhouse; need for m</w:t>
      </w:r>
      <w:r w:rsidR="001D3C1C">
        <w:rPr>
          <w:rFonts w:asciiTheme="minorHAnsi" w:hAnsiTheme="minorHAnsi"/>
        </w:rPr>
        <w:t>entoring and supportive supervision for both service providers and field staff and the challenge of providing oversight functions to the burgeoning number of field level health providers an</w:t>
      </w:r>
      <w:r w:rsidR="00B478F2">
        <w:rPr>
          <w:rFonts w:asciiTheme="minorHAnsi" w:hAnsiTheme="minorHAnsi"/>
        </w:rPr>
        <w:t>d workers, especially CSBAs. A</w:t>
      </w:r>
      <w:r w:rsidR="001D3C1C">
        <w:rPr>
          <w:rFonts w:asciiTheme="minorHAnsi" w:hAnsiTheme="minorHAnsi"/>
        </w:rPr>
        <w:t xml:space="preserve">pparent lack of ownership of some of the OP </w:t>
      </w:r>
      <w:r w:rsidR="00B478F2">
        <w:rPr>
          <w:rFonts w:asciiTheme="minorHAnsi" w:hAnsiTheme="minorHAnsi"/>
        </w:rPr>
        <w:t xml:space="preserve">by its leadership </w:t>
      </w:r>
      <w:r w:rsidR="001D3C1C">
        <w:rPr>
          <w:rFonts w:asciiTheme="minorHAnsi" w:hAnsiTheme="minorHAnsi"/>
        </w:rPr>
        <w:t xml:space="preserve">could </w:t>
      </w:r>
      <w:r w:rsidR="00B478F2">
        <w:rPr>
          <w:rFonts w:asciiTheme="minorHAnsi" w:hAnsiTheme="minorHAnsi"/>
        </w:rPr>
        <w:t>potentially</w:t>
      </w:r>
      <w:r w:rsidR="001D3C1C">
        <w:rPr>
          <w:rFonts w:asciiTheme="minorHAnsi" w:hAnsiTheme="minorHAnsi"/>
        </w:rPr>
        <w:t xml:space="preserve"> hinder robust implementation of OP activit</w:t>
      </w:r>
      <w:r w:rsidR="00A74437">
        <w:rPr>
          <w:rFonts w:asciiTheme="minorHAnsi" w:hAnsiTheme="minorHAnsi"/>
        </w:rPr>
        <w:t>i</w:t>
      </w:r>
      <w:r w:rsidR="001D3C1C">
        <w:rPr>
          <w:rFonts w:asciiTheme="minorHAnsi" w:hAnsiTheme="minorHAnsi"/>
        </w:rPr>
        <w:t xml:space="preserve">es. </w:t>
      </w:r>
    </w:p>
    <w:p w:rsidR="001B2CB7" w:rsidRDefault="00BE1315" w:rsidP="00B00C67">
      <w:pPr>
        <w:pStyle w:val="ListParagraph"/>
        <w:numPr>
          <w:ilvl w:val="0"/>
          <w:numId w:val="12"/>
        </w:numPr>
        <w:ind w:left="360"/>
        <w:rPr>
          <w:rFonts w:asciiTheme="minorHAnsi" w:hAnsiTheme="minorHAnsi"/>
        </w:rPr>
      </w:pPr>
      <w:r w:rsidRPr="00BE1315">
        <w:rPr>
          <w:rFonts w:asciiTheme="minorHAnsi" w:hAnsiTheme="minorHAnsi"/>
          <w:u w:val="single"/>
        </w:rPr>
        <w:t>In RMNCAH</w:t>
      </w:r>
      <w:r>
        <w:rPr>
          <w:rFonts w:asciiTheme="minorHAnsi" w:hAnsiTheme="minorHAnsi"/>
        </w:rPr>
        <w:t xml:space="preserve">, </w:t>
      </w:r>
      <w:r w:rsidR="001D3C1C">
        <w:rPr>
          <w:rFonts w:asciiTheme="minorHAnsi" w:hAnsiTheme="minorHAnsi"/>
        </w:rPr>
        <w:t>plateauing of maternal mortality ratio is a concern which needs to be addressed with priority</w:t>
      </w:r>
      <w:r w:rsidR="001B2CB7">
        <w:rPr>
          <w:rFonts w:asciiTheme="minorHAnsi" w:hAnsiTheme="minorHAnsi"/>
        </w:rPr>
        <w:t>. Lack of public facilities to provide effective 24/7 care, increasing deliveries in the private sector with three fourth taking place through C-section</w:t>
      </w:r>
      <w:r w:rsidR="00B478F2">
        <w:rPr>
          <w:rFonts w:asciiTheme="minorHAnsi" w:hAnsiTheme="minorHAnsi"/>
        </w:rPr>
        <w:t>,</w:t>
      </w:r>
      <w:r w:rsidR="001B2CB7">
        <w:rPr>
          <w:rFonts w:asciiTheme="minorHAnsi" w:hAnsiTheme="minorHAnsi"/>
        </w:rPr>
        <w:t xml:space="preserve"> dubious quality of care in a large section of private providers and lack of effective referral system are considered to </w:t>
      </w:r>
      <w:proofErr w:type="spellStart"/>
      <w:r w:rsidR="001B2CB7">
        <w:rPr>
          <w:rFonts w:asciiTheme="minorHAnsi" w:hAnsiTheme="minorHAnsi"/>
        </w:rPr>
        <w:t>beother</w:t>
      </w:r>
      <w:proofErr w:type="spellEnd"/>
      <w:r w:rsidR="001B2CB7">
        <w:rPr>
          <w:rFonts w:asciiTheme="minorHAnsi" w:hAnsiTheme="minorHAnsi"/>
        </w:rPr>
        <w:t xml:space="preserve">  challenges which need to be mitigated to improve maternal health. Important challenges are evolving in reproductive health with introduction of MRM (increased haemorrhage and incomplete abortion); the STI scenario also needs to be revisited to adapt strategies so that STI interventions are more effective.</w:t>
      </w:r>
      <w:r w:rsidR="00B478F2">
        <w:rPr>
          <w:rFonts w:asciiTheme="minorHAnsi" w:hAnsiTheme="minorHAnsi"/>
        </w:rPr>
        <w:t xml:space="preserve"> Slowdown in implementation of IMCI was a cause of concern for neonatal health.</w:t>
      </w:r>
    </w:p>
    <w:p w:rsidR="001B2CB7" w:rsidRDefault="001B2CB7" w:rsidP="001B2CB7">
      <w:pPr>
        <w:pStyle w:val="ListParagraph"/>
        <w:ind w:left="360"/>
        <w:rPr>
          <w:rFonts w:asciiTheme="minorHAnsi" w:hAnsiTheme="minorHAnsi"/>
        </w:rPr>
      </w:pPr>
    </w:p>
    <w:p w:rsidR="001B2CB7" w:rsidRDefault="001B2CB7" w:rsidP="001B2CB7">
      <w:pPr>
        <w:pStyle w:val="ListParagraph"/>
        <w:ind w:left="0"/>
        <w:rPr>
          <w:rFonts w:asciiTheme="minorHAnsi" w:hAnsiTheme="minorHAnsi"/>
        </w:rPr>
      </w:pPr>
      <w:r>
        <w:rPr>
          <w:rFonts w:asciiTheme="minorHAnsi" w:hAnsiTheme="minorHAnsi"/>
        </w:rPr>
        <w:t>In view of the above challenges, the</w:t>
      </w:r>
      <w:r w:rsidRPr="00B478F2">
        <w:rPr>
          <w:rFonts w:asciiTheme="minorHAnsi" w:hAnsiTheme="minorHAnsi"/>
          <w:i/>
        </w:rPr>
        <w:t xml:space="preserve"> immediate</w:t>
      </w:r>
      <w:r>
        <w:rPr>
          <w:rFonts w:asciiTheme="minorHAnsi" w:hAnsiTheme="minorHAnsi"/>
        </w:rPr>
        <w:t xml:space="preserve"> priority </w:t>
      </w:r>
      <w:r w:rsidR="002740EB">
        <w:rPr>
          <w:rFonts w:asciiTheme="minorHAnsi" w:hAnsiTheme="minorHAnsi"/>
        </w:rPr>
        <w:t xml:space="preserve">recommendations </w:t>
      </w:r>
      <w:proofErr w:type="spellStart"/>
      <w:r w:rsidR="002740EB">
        <w:rPr>
          <w:rFonts w:asciiTheme="minorHAnsi" w:hAnsiTheme="minorHAnsi"/>
        </w:rPr>
        <w:t>areto</w:t>
      </w:r>
      <w:proofErr w:type="spellEnd"/>
      <w:r>
        <w:rPr>
          <w:rFonts w:asciiTheme="minorHAnsi" w:hAnsiTheme="minorHAnsi"/>
        </w:rPr>
        <w:t>:</w:t>
      </w:r>
    </w:p>
    <w:p w:rsidR="00B84106" w:rsidRDefault="002740EB" w:rsidP="001B2CB7">
      <w:pPr>
        <w:pStyle w:val="ListParagraph"/>
        <w:numPr>
          <w:ilvl w:val="0"/>
          <w:numId w:val="13"/>
        </w:numPr>
        <w:ind w:left="360"/>
        <w:rPr>
          <w:rFonts w:asciiTheme="minorHAnsi" w:hAnsiTheme="minorHAnsi"/>
        </w:rPr>
      </w:pPr>
      <w:r>
        <w:rPr>
          <w:rFonts w:asciiTheme="minorHAnsi" w:hAnsiTheme="minorHAnsi"/>
        </w:rPr>
        <w:t>Revise the OPs to make the indicators more specific and well defined, prioritise activities and ensure accurate budgeting, develop consolidated action plans and coordination mechanism for interventions which cut through more than one OP</w:t>
      </w:r>
    </w:p>
    <w:p w:rsidR="002740EB" w:rsidRDefault="002740EB" w:rsidP="001B2CB7">
      <w:pPr>
        <w:pStyle w:val="ListParagraph"/>
        <w:numPr>
          <w:ilvl w:val="0"/>
          <w:numId w:val="13"/>
        </w:numPr>
        <w:ind w:left="360"/>
        <w:rPr>
          <w:rFonts w:asciiTheme="minorHAnsi" w:hAnsiTheme="minorHAnsi"/>
        </w:rPr>
      </w:pPr>
      <w:r>
        <w:rPr>
          <w:rFonts w:asciiTheme="minorHAnsi" w:hAnsiTheme="minorHAnsi"/>
        </w:rPr>
        <w:t>Implement the PPH-</w:t>
      </w:r>
      <w:proofErr w:type="spellStart"/>
      <w:r>
        <w:rPr>
          <w:rFonts w:asciiTheme="minorHAnsi" w:hAnsiTheme="minorHAnsi"/>
        </w:rPr>
        <w:t>eclampsia</w:t>
      </w:r>
      <w:proofErr w:type="spellEnd"/>
      <w:r>
        <w:rPr>
          <w:rFonts w:asciiTheme="minorHAnsi" w:hAnsiTheme="minorHAnsi"/>
        </w:rPr>
        <w:t xml:space="preserve"> action plan to address the two major causes of maternal deaths</w:t>
      </w:r>
    </w:p>
    <w:p w:rsidR="00A74437" w:rsidRDefault="00A74437" w:rsidP="001B2CB7">
      <w:pPr>
        <w:pStyle w:val="ListParagraph"/>
        <w:numPr>
          <w:ilvl w:val="0"/>
          <w:numId w:val="13"/>
        </w:numPr>
        <w:ind w:left="360"/>
        <w:rPr>
          <w:rFonts w:asciiTheme="minorHAnsi" w:hAnsiTheme="minorHAnsi"/>
        </w:rPr>
      </w:pPr>
      <w:r>
        <w:rPr>
          <w:rFonts w:asciiTheme="minorHAnsi" w:hAnsiTheme="minorHAnsi"/>
        </w:rPr>
        <w:t xml:space="preserve">Establish quality improvement cell/ unit </w:t>
      </w:r>
      <w:r w:rsidR="00BE1315">
        <w:rPr>
          <w:rFonts w:asciiTheme="minorHAnsi" w:hAnsiTheme="minorHAnsi"/>
        </w:rPr>
        <w:t xml:space="preserve">within MNCAH and MRCAH to accelerate rolling out of </w:t>
      </w:r>
      <w:r>
        <w:rPr>
          <w:rFonts w:asciiTheme="minorHAnsi" w:hAnsiTheme="minorHAnsi"/>
        </w:rPr>
        <w:t>QI guidelines.</w:t>
      </w:r>
    </w:p>
    <w:p w:rsidR="002740EB" w:rsidRDefault="002740EB" w:rsidP="001B2CB7">
      <w:pPr>
        <w:pStyle w:val="ListParagraph"/>
        <w:numPr>
          <w:ilvl w:val="0"/>
          <w:numId w:val="13"/>
        </w:numPr>
        <w:ind w:left="360"/>
        <w:rPr>
          <w:rFonts w:asciiTheme="minorHAnsi" w:hAnsiTheme="minorHAnsi"/>
        </w:rPr>
      </w:pPr>
      <w:r>
        <w:rPr>
          <w:rFonts w:asciiTheme="minorHAnsi" w:hAnsiTheme="minorHAnsi"/>
        </w:rPr>
        <w:t xml:space="preserve">Review the ‘corner’ approach recommended for a number of interventions and mainstream </w:t>
      </w:r>
      <w:r w:rsidR="00A74437">
        <w:rPr>
          <w:rFonts w:asciiTheme="minorHAnsi" w:hAnsiTheme="minorHAnsi"/>
        </w:rPr>
        <w:t xml:space="preserve"> </w:t>
      </w:r>
      <w:r>
        <w:rPr>
          <w:rFonts w:asciiTheme="minorHAnsi" w:hAnsiTheme="minorHAnsi"/>
        </w:rPr>
        <w:t>services</w:t>
      </w:r>
      <w:r w:rsidR="005F5DB1">
        <w:rPr>
          <w:rFonts w:asciiTheme="minorHAnsi" w:hAnsiTheme="minorHAnsi"/>
        </w:rPr>
        <w:t xml:space="preserve"> </w:t>
      </w:r>
      <w:r>
        <w:rPr>
          <w:rFonts w:asciiTheme="minorHAnsi" w:hAnsiTheme="minorHAnsi"/>
        </w:rPr>
        <w:t>to be provided through ‘corners’, while providing opportunity for meeting the special needs of target groups</w:t>
      </w:r>
    </w:p>
    <w:p w:rsidR="002740EB" w:rsidRDefault="002740EB" w:rsidP="001B2CB7">
      <w:pPr>
        <w:pStyle w:val="ListParagraph"/>
        <w:numPr>
          <w:ilvl w:val="0"/>
          <w:numId w:val="13"/>
        </w:numPr>
        <w:ind w:left="360"/>
        <w:rPr>
          <w:rFonts w:asciiTheme="minorHAnsi" w:hAnsiTheme="minorHAnsi"/>
        </w:rPr>
      </w:pPr>
      <w:r>
        <w:rPr>
          <w:rFonts w:asciiTheme="minorHAnsi" w:hAnsiTheme="minorHAnsi"/>
        </w:rPr>
        <w:t>Improve hospital waste management in cooperation with local government ministry and institutes.</w:t>
      </w:r>
    </w:p>
    <w:p w:rsidR="002740EB" w:rsidRDefault="002740EB" w:rsidP="002740EB">
      <w:pPr>
        <w:pStyle w:val="ListParagraph"/>
        <w:ind w:left="0"/>
        <w:rPr>
          <w:rFonts w:asciiTheme="minorHAnsi" w:hAnsiTheme="minorHAnsi"/>
        </w:rPr>
      </w:pPr>
    </w:p>
    <w:p w:rsidR="002740EB" w:rsidRDefault="002740EB" w:rsidP="002740EB">
      <w:pPr>
        <w:pStyle w:val="ListParagraph"/>
        <w:ind w:left="0"/>
        <w:rPr>
          <w:rFonts w:asciiTheme="minorHAnsi" w:hAnsiTheme="minorHAnsi"/>
        </w:rPr>
      </w:pPr>
      <w:r>
        <w:rPr>
          <w:rFonts w:asciiTheme="minorHAnsi" w:hAnsiTheme="minorHAnsi"/>
        </w:rPr>
        <w:t xml:space="preserve">The </w:t>
      </w:r>
      <w:r w:rsidRPr="00B478F2">
        <w:rPr>
          <w:rFonts w:asciiTheme="minorHAnsi" w:hAnsiTheme="minorHAnsi"/>
          <w:i/>
        </w:rPr>
        <w:t>longer term</w:t>
      </w:r>
      <w:r>
        <w:rPr>
          <w:rFonts w:asciiTheme="minorHAnsi" w:hAnsiTheme="minorHAnsi"/>
        </w:rPr>
        <w:t xml:space="preserve"> recommendations are </w:t>
      </w:r>
      <w:proofErr w:type="gramStart"/>
      <w:r>
        <w:rPr>
          <w:rFonts w:asciiTheme="minorHAnsi" w:hAnsiTheme="minorHAnsi"/>
        </w:rPr>
        <w:t>to :</w:t>
      </w:r>
      <w:proofErr w:type="gramEnd"/>
    </w:p>
    <w:p w:rsidR="002740EB" w:rsidRDefault="002740EB" w:rsidP="002740EB">
      <w:pPr>
        <w:pStyle w:val="ListParagraph"/>
        <w:numPr>
          <w:ilvl w:val="0"/>
          <w:numId w:val="14"/>
        </w:numPr>
        <w:ind w:left="360"/>
        <w:rPr>
          <w:rFonts w:asciiTheme="minorHAnsi" w:hAnsiTheme="minorHAnsi"/>
        </w:rPr>
      </w:pPr>
      <w:r>
        <w:rPr>
          <w:rFonts w:asciiTheme="minorHAnsi" w:hAnsiTheme="minorHAnsi"/>
        </w:rPr>
        <w:t>Design and implement innovative strategies to attract and retain service providers 24/</w:t>
      </w:r>
      <w:r w:rsidR="00B478F2">
        <w:rPr>
          <w:rFonts w:asciiTheme="minorHAnsi" w:hAnsiTheme="minorHAnsi"/>
        </w:rPr>
        <w:t>7</w:t>
      </w:r>
      <w:r>
        <w:rPr>
          <w:rFonts w:asciiTheme="minorHAnsi" w:hAnsiTheme="minorHAnsi"/>
        </w:rPr>
        <w:t xml:space="preserve"> (e.g. through institution based practice or contracting in services)</w:t>
      </w:r>
    </w:p>
    <w:p w:rsidR="005F5DB1" w:rsidRDefault="005F5DB1" w:rsidP="005F5DB1">
      <w:pPr>
        <w:rPr>
          <w:rFonts w:asciiTheme="minorHAnsi" w:hAnsiTheme="minorHAnsi"/>
        </w:rPr>
      </w:pPr>
      <w:r w:rsidRPr="005F5DB1">
        <w:rPr>
          <w:rFonts w:asciiTheme="minorHAnsi" w:hAnsiTheme="minorHAnsi"/>
        </w:rPr>
        <w:lastRenderedPageBreak/>
        <w:t>Accelerate</w:t>
      </w:r>
      <w:r w:rsidR="002740EB" w:rsidRPr="005F5DB1">
        <w:rPr>
          <w:rFonts w:asciiTheme="minorHAnsi" w:hAnsiTheme="minorHAnsi"/>
        </w:rPr>
        <w:t xml:space="preserve"> </w:t>
      </w:r>
      <w:r w:rsidRPr="005F5DB1">
        <w:rPr>
          <w:rFonts w:asciiTheme="minorHAnsi" w:hAnsiTheme="minorHAnsi"/>
        </w:rPr>
        <w:t xml:space="preserve">implementation of </w:t>
      </w:r>
      <w:r w:rsidR="002740EB" w:rsidRPr="005F5DB1">
        <w:rPr>
          <w:rFonts w:asciiTheme="minorHAnsi" w:hAnsiTheme="minorHAnsi"/>
        </w:rPr>
        <w:t xml:space="preserve">accreditation </w:t>
      </w:r>
      <w:r w:rsidRPr="005F5DB1">
        <w:rPr>
          <w:rFonts w:asciiTheme="minorHAnsi" w:hAnsiTheme="minorHAnsi"/>
        </w:rPr>
        <w:t xml:space="preserve">guidelines </w:t>
      </w:r>
      <w:proofErr w:type="gramStart"/>
      <w:r w:rsidRPr="005F5DB1">
        <w:rPr>
          <w:rFonts w:asciiTheme="minorHAnsi" w:hAnsiTheme="minorHAnsi"/>
        </w:rPr>
        <w:t>of  facilities</w:t>
      </w:r>
      <w:proofErr w:type="gramEnd"/>
      <w:r w:rsidR="002740EB" w:rsidRPr="005F5DB1">
        <w:rPr>
          <w:rFonts w:asciiTheme="minorHAnsi" w:hAnsiTheme="minorHAnsi"/>
        </w:rPr>
        <w:t xml:space="preserve"> to bring improvements in quality of care</w:t>
      </w:r>
      <w:r w:rsidR="00B478F2" w:rsidRPr="005F5DB1">
        <w:rPr>
          <w:rFonts w:asciiTheme="minorHAnsi" w:hAnsiTheme="minorHAnsi"/>
        </w:rPr>
        <w:t xml:space="preserve"> an</w:t>
      </w:r>
      <w:r w:rsidRPr="005F5DB1">
        <w:rPr>
          <w:rFonts w:asciiTheme="minorHAnsi" w:hAnsiTheme="minorHAnsi"/>
        </w:rPr>
        <w:t>d put basic regulations in place.</w:t>
      </w:r>
    </w:p>
    <w:p w:rsidR="00676A40" w:rsidRPr="00A35FB6" w:rsidRDefault="00676A40" w:rsidP="008237BF">
      <w:pPr>
        <w:pStyle w:val="ListParagraph"/>
        <w:numPr>
          <w:ilvl w:val="0"/>
          <w:numId w:val="2"/>
        </w:numPr>
        <w:ind w:left="360"/>
        <w:rPr>
          <w:rFonts w:asciiTheme="minorHAnsi" w:hAnsiTheme="minorHAnsi"/>
          <w:b/>
        </w:rPr>
      </w:pPr>
      <w:r w:rsidRPr="00A35FB6">
        <w:rPr>
          <w:rFonts w:asciiTheme="minorHAnsi" w:hAnsiTheme="minorHAnsi"/>
          <w:b/>
        </w:rPr>
        <w:t>Introduction</w:t>
      </w: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 xml:space="preserve">Since inception, Bangladesh has prioritised making public health services available and accessible to all its citizens through various interventions, including Health for All (HFA), Primary Health Care (PHC), </w:t>
      </w:r>
      <w:proofErr w:type="gramStart"/>
      <w:r w:rsidRPr="00A35FB6">
        <w:rPr>
          <w:rFonts w:asciiTheme="minorHAnsi" w:hAnsiTheme="minorHAnsi"/>
        </w:rPr>
        <w:t>Expanded</w:t>
      </w:r>
      <w:proofErr w:type="gramEnd"/>
      <w:r w:rsidRPr="00A35FB6">
        <w:rPr>
          <w:rFonts w:asciiTheme="minorHAnsi" w:hAnsiTheme="minorHAnsi"/>
        </w:rPr>
        <w:t xml:space="preserve"> Programme of Immunisation (EPI). For the first three decades of its life, the interventions were implemented through ‘project approach’ which led to a proliferation of projects under the Ministry of Health and Family Welfare (MOHFW) and resulted in inadequate efficiency and effectiveness, and fragmentation of services. MOHFW therefore embraced in 1998, a sector wide approach (</w:t>
      </w:r>
      <w:proofErr w:type="spellStart"/>
      <w:r w:rsidRPr="00A35FB6">
        <w:rPr>
          <w:rFonts w:asciiTheme="minorHAnsi" w:hAnsiTheme="minorHAnsi"/>
        </w:rPr>
        <w:t>SWAp</w:t>
      </w:r>
      <w:proofErr w:type="spellEnd"/>
      <w:r w:rsidRPr="00A35FB6">
        <w:rPr>
          <w:rFonts w:asciiTheme="minorHAnsi" w:hAnsiTheme="minorHAnsi"/>
        </w:rPr>
        <w:t xml:space="preserve">), through a five years’ Health and Population Sector Programme (HPSP). </w:t>
      </w:r>
    </w:p>
    <w:p w:rsidR="00676A40" w:rsidRPr="00A35FB6" w:rsidRDefault="00676A40" w:rsidP="00676A40">
      <w:pPr>
        <w:pStyle w:val="ListParagraph"/>
        <w:ind w:left="0"/>
        <w:jc w:val="both"/>
        <w:rPr>
          <w:rFonts w:asciiTheme="minorHAnsi" w:hAnsiTheme="minorHAnsi"/>
        </w:rPr>
      </w:pP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 xml:space="preserve">The current programme, Health, Population, Nutrition Sector Programme (HPNSP) is the fourth in the series of </w:t>
      </w:r>
      <w:proofErr w:type="spellStart"/>
      <w:r w:rsidRPr="00A35FB6">
        <w:rPr>
          <w:rFonts w:asciiTheme="minorHAnsi" w:hAnsiTheme="minorHAnsi"/>
        </w:rPr>
        <w:t>SWApsand</w:t>
      </w:r>
      <w:proofErr w:type="spellEnd"/>
      <w:r w:rsidRPr="00A35FB6">
        <w:rPr>
          <w:rFonts w:asciiTheme="minorHAnsi" w:hAnsiTheme="minorHAnsi"/>
        </w:rPr>
        <w:t xml:space="preserve"> covers the period of January 2017-June 2022. HPNSP is consistent with Government of Bangladesh (</w:t>
      </w:r>
      <w:proofErr w:type="spellStart"/>
      <w:r w:rsidRPr="00A35FB6">
        <w:rPr>
          <w:rFonts w:asciiTheme="minorHAnsi" w:hAnsiTheme="minorHAnsi"/>
        </w:rPr>
        <w:t>GoB</w:t>
      </w:r>
      <w:proofErr w:type="spellEnd"/>
      <w:r w:rsidRPr="00A35FB6">
        <w:rPr>
          <w:rFonts w:asciiTheme="minorHAnsi" w:hAnsiTheme="minorHAnsi"/>
        </w:rPr>
        <w:t>)’s 7</w:t>
      </w:r>
      <w:r w:rsidRPr="00A35FB6">
        <w:rPr>
          <w:rFonts w:asciiTheme="minorHAnsi" w:hAnsiTheme="minorHAnsi"/>
          <w:vertAlign w:val="superscript"/>
        </w:rPr>
        <w:t>th</w:t>
      </w:r>
      <w:r w:rsidRPr="00A35FB6">
        <w:rPr>
          <w:rFonts w:asciiTheme="minorHAnsi" w:hAnsiTheme="minorHAnsi"/>
        </w:rPr>
        <w:t>Five Year Plan (2016-20). Coinciding with Bangladesh’s adoption of the Sustainable Development Goals (SDGs)</w:t>
      </w:r>
      <w:proofErr w:type="gramStart"/>
      <w:r w:rsidRPr="00A35FB6">
        <w:rPr>
          <w:rFonts w:asciiTheme="minorHAnsi" w:hAnsiTheme="minorHAnsi"/>
        </w:rPr>
        <w:t>,HPNSP</w:t>
      </w:r>
      <w:proofErr w:type="gramEnd"/>
      <w:r w:rsidRPr="00A35FB6">
        <w:rPr>
          <w:rFonts w:asciiTheme="minorHAnsi" w:hAnsiTheme="minorHAnsi"/>
        </w:rPr>
        <w:t xml:space="preserve"> is designed to build upon the achievements of the previous three </w:t>
      </w:r>
      <w:proofErr w:type="spellStart"/>
      <w:r w:rsidRPr="00A35FB6">
        <w:rPr>
          <w:rFonts w:asciiTheme="minorHAnsi" w:hAnsiTheme="minorHAnsi"/>
        </w:rPr>
        <w:t>SWAps</w:t>
      </w:r>
      <w:proofErr w:type="spellEnd"/>
      <w:r w:rsidRPr="00A35FB6">
        <w:rPr>
          <w:rFonts w:asciiTheme="minorHAnsi" w:hAnsiTheme="minorHAnsi"/>
        </w:rPr>
        <w:t xml:space="preserve">, and pave the way for realising the health targets of the SDGs through Universal Health Coverage (UHC). Equity, efficiency and access to high quality </w:t>
      </w:r>
      <w:proofErr w:type="spellStart"/>
      <w:r w:rsidRPr="00A35FB6">
        <w:rPr>
          <w:rFonts w:asciiTheme="minorHAnsi" w:hAnsiTheme="minorHAnsi"/>
        </w:rPr>
        <w:t>serviceshave</w:t>
      </w:r>
      <w:proofErr w:type="spellEnd"/>
      <w:r w:rsidRPr="00A35FB6">
        <w:rPr>
          <w:rFonts w:asciiTheme="minorHAnsi" w:hAnsiTheme="minorHAnsi"/>
        </w:rPr>
        <w:t xml:space="preserve"> been identified as the three principles for achieving UHC. </w:t>
      </w:r>
    </w:p>
    <w:p w:rsidR="00676A40" w:rsidRPr="00A35FB6" w:rsidRDefault="00676A40" w:rsidP="00676A40">
      <w:pPr>
        <w:pStyle w:val="ListParagraph"/>
        <w:ind w:left="0"/>
        <w:jc w:val="both"/>
        <w:rPr>
          <w:rFonts w:asciiTheme="minorHAnsi" w:hAnsiTheme="minorHAnsi"/>
        </w:rPr>
      </w:pP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 xml:space="preserve">This Annual programme Review (APR) is a management instrument designed for both </w:t>
      </w:r>
      <w:proofErr w:type="spellStart"/>
      <w:r w:rsidRPr="00A35FB6">
        <w:rPr>
          <w:rFonts w:asciiTheme="minorHAnsi" w:hAnsiTheme="minorHAnsi"/>
        </w:rPr>
        <w:t>GoB</w:t>
      </w:r>
      <w:proofErr w:type="spellEnd"/>
      <w:r w:rsidRPr="00A35FB6">
        <w:rPr>
          <w:rFonts w:asciiTheme="minorHAnsi" w:hAnsiTheme="minorHAnsi"/>
        </w:rPr>
        <w:t xml:space="preserve"> and Development Partners (DPs) to monitor progress in implementation of HPNSP and monitor if the objectives of HPNSP are being met through the programme. There are 29 Operational Plans (OPs) in HPNSP’s Programme Implementation Plan (PIP), which have been clustered under four themes. This section of the APR report deals with the RMNCAH area under the third theme- Quality of Health-Care Services</w:t>
      </w:r>
      <w:r w:rsidR="00B478F2">
        <w:rPr>
          <w:rFonts w:asciiTheme="minorHAnsi" w:hAnsiTheme="minorHAnsi"/>
        </w:rPr>
        <w:t xml:space="preserve">, </w:t>
      </w:r>
      <w:r w:rsidRPr="00A35FB6">
        <w:rPr>
          <w:rFonts w:asciiTheme="minorHAnsi" w:hAnsiTheme="minorHAnsi"/>
        </w:rPr>
        <w:t xml:space="preserve">along with the fourth theme on Cross Cutting Issues- which includes public-private partnership, urban health, gender, equity, voice and accountability (GEVA), as relevant </w:t>
      </w:r>
      <w:proofErr w:type="spellStart"/>
      <w:r w:rsidRPr="00A35FB6">
        <w:rPr>
          <w:rFonts w:asciiTheme="minorHAnsi" w:hAnsiTheme="minorHAnsi"/>
        </w:rPr>
        <w:t>toRMNCAH</w:t>
      </w:r>
      <w:proofErr w:type="spellEnd"/>
      <w:r w:rsidRPr="00A35FB6">
        <w:rPr>
          <w:rFonts w:asciiTheme="minorHAnsi" w:hAnsiTheme="minorHAnsi"/>
        </w:rPr>
        <w:t>.</w:t>
      </w:r>
    </w:p>
    <w:p w:rsidR="00676A40" w:rsidRPr="00A35FB6" w:rsidRDefault="00676A40" w:rsidP="00676A40">
      <w:pPr>
        <w:pStyle w:val="ListParagraph"/>
        <w:ind w:left="0"/>
        <w:jc w:val="both"/>
        <w:rPr>
          <w:rFonts w:asciiTheme="minorHAnsi" w:hAnsiTheme="minorHAnsi"/>
        </w:rPr>
      </w:pPr>
    </w:p>
    <w:p w:rsidR="00676A40" w:rsidRPr="00A35FB6" w:rsidRDefault="00676A40" w:rsidP="008237BF">
      <w:pPr>
        <w:pStyle w:val="ListParagraph"/>
        <w:numPr>
          <w:ilvl w:val="0"/>
          <w:numId w:val="2"/>
        </w:numPr>
        <w:ind w:left="360"/>
        <w:jc w:val="both"/>
        <w:rPr>
          <w:rFonts w:asciiTheme="minorHAnsi" w:hAnsiTheme="minorHAnsi"/>
          <w:b/>
        </w:rPr>
      </w:pPr>
      <w:r w:rsidRPr="00A35FB6">
        <w:rPr>
          <w:rFonts w:asciiTheme="minorHAnsi" w:hAnsiTheme="minorHAnsi"/>
          <w:b/>
        </w:rPr>
        <w:t>The Context</w:t>
      </w: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Bangladesh has made remarkable progress in improving the health status of its citizens over the last few decades. In fact, this exceptional achievement of improving health status despite economic poverty has led it to being termed as ‘the Bangladesh paradox’ (</w:t>
      </w:r>
      <w:proofErr w:type="spellStart"/>
      <w:r w:rsidRPr="00A35FB6">
        <w:rPr>
          <w:rFonts w:asciiTheme="minorHAnsi" w:hAnsiTheme="minorHAnsi"/>
        </w:rPr>
        <w:t>Chowdhury</w:t>
      </w:r>
      <w:proofErr w:type="spellEnd"/>
      <w:r w:rsidRPr="00A35FB6">
        <w:rPr>
          <w:rFonts w:asciiTheme="minorHAnsi" w:hAnsiTheme="minorHAnsi"/>
        </w:rPr>
        <w:t xml:space="preserve"> AMR et al, The Lancet, Volume 382, </w:t>
      </w:r>
      <w:proofErr w:type="gramStart"/>
      <w:r w:rsidRPr="00A35FB6">
        <w:rPr>
          <w:rFonts w:asciiTheme="minorHAnsi" w:hAnsiTheme="minorHAnsi"/>
        </w:rPr>
        <w:t>Issue</w:t>
      </w:r>
      <w:proofErr w:type="gramEnd"/>
      <w:r w:rsidRPr="00A35FB6">
        <w:rPr>
          <w:rFonts w:asciiTheme="minorHAnsi" w:hAnsiTheme="minorHAnsi"/>
        </w:rPr>
        <w:t xml:space="preserve"> 9906). This is particularly true of the RMNCAH sector, where there has been remarkable improvement in reducing mortalities and improving health seeking behaviours.</w:t>
      </w:r>
    </w:p>
    <w:p w:rsidR="00676A40" w:rsidRPr="00A35FB6" w:rsidRDefault="00676A40" w:rsidP="00676A40">
      <w:pPr>
        <w:pStyle w:val="ListParagraph"/>
        <w:ind w:left="0"/>
        <w:jc w:val="both"/>
        <w:rPr>
          <w:rFonts w:asciiTheme="minorHAnsi" w:hAnsiTheme="minorHAnsi"/>
        </w:rPr>
      </w:pP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The maternal mortality ratio (MMR) has decreased from 322 in 2001 to about 196/100,000 live births (NIPORT et al, Bangladesh Maternal Mortality Survey Report</w:t>
      </w:r>
      <w:r w:rsidR="00B478F2">
        <w:rPr>
          <w:rFonts w:asciiTheme="minorHAnsi" w:hAnsiTheme="minorHAnsi"/>
        </w:rPr>
        <w:t>s</w:t>
      </w:r>
      <w:r w:rsidRPr="00A35FB6">
        <w:rPr>
          <w:rFonts w:asciiTheme="minorHAnsi" w:hAnsiTheme="minorHAnsi"/>
        </w:rPr>
        <w:t xml:space="preserve"> 2001,</w:t>
      </w:r>
      <w:r w:rsidR="00B478F2">
        <w:rPr>
          <w:rFonts w:asciiTheme="minorHAnsi" w:hAnsiTheme="minorHAnsi"/>
        </w:rPr>
        <w:t xml:space="preserve"> and </w:t>
      </w:r>
      <w:r w:rsidRPr="00A35FB6">
        <w:rPr>
          <w:rFonts w:asciiTheme="minorHAnsi" w:hAnsiTheme="minorHAnsi"/>
        </w:rPr>
        <w:t xml:space="preserve">Preliminary Report 2016)-an almost 40 </w:t>
      </w:r>
      <w:proofErr w:type="spellStart"/>
      <w:r w:rsidRPr="00A35FB6">
        <w:rPr>
          <w:rFonts w:asciiTheme="minorHAnsi" w:hAnsiTheme="minorHAnsi"/>
        </w:rPr>
        <w:t>percent</w:t>
      </w:r>
      <w:proofErr w:type="spellEnd"/>
      <w:r w:rsidRPr="00A35FB6">
        <w:rPr>
          <w:rFonts w:asciiTheme="minorHAnsi" w:hAnsiTheme="minorHAnsi"/>
        </w:rPr>
        <w:t xml:space="preserve"> decrease; the </w:t>
      </w:r>
      <w:proofErr w:type="spellStart"/>
      <w:r w:rsidRPr="00A35FB6">
        <w:rPr>
          <w:rFonts w:asciiTheme="minorHAnsi" w:hAnsiTheme="minorHAnsi"/>
        </w:rPr>
        <w:t>UNestimated</w:t>
      </w:r>
      <w:proofErr w:type="spellEnd"/>
      <w:r w:rsidRPr="00A35FB6">
        <w:rPr>
          <w:rFonts w:asciiTheme="minorHAnsi" w:hAnsiTheme="minorHAnsi"/>
        </w:rPr>
        <w:t xml:space="preserve"> MMR is 176 per 1000 live births (2015). Utilisation of services for maternal, neonatal and child health has shown significant increase over the years. Ante-natal care from a qualified provider was accessed by 82 </w:t>
      </w:r>
      <w:proofErr w:type="spellStart"/>
      <w:r w:rsidRPr="00A35FB6">
        <w:rPr>
          <w:rFonts w:asciiTheme="minorHAnsi" w:hAnsiTheme="minorHAnsi"/>
        </w:rPr>
        <w:t>percent</w:t>
      </w:r>
      <w:proofErr w:type="spellEnd"/>
      <w:r w:rsidRPr="00A35FB6">
        <w:rPr>
          <w:rFonts w:asciiTheme="minorHAnsi" w:hAnsiTheme="minorHAnsi"/>
        </w:rPr>
        <w:t xml:space="preserve"> of women and all four visits are completed by 47 </w:t>
      </w:r>
      <w:proofErr w:type="spellStart"/>
      <w:r w:rsidRPr="00A35FB6">
        <w:rPr>
          <w:rFonts w:asciiTheme="minorHAnsi" w:hAnsiTheme="minorHAnsi"/>
        </w:rPr>
        <w:t>percent</w:t>
      </w:r>
      <w:proofErr w:type="spellEnd"/>
      <w:r w:rsidRPr="00A35FB6">
        <w:rPr>
          <w:rFonts w:asciiTheme="minorHAnsi" w:hAnsiTheme="minorHAnsi"/>
        </w:rPr>
        <w:t xml:space="preserve">; 53 </w:t>
      </w:r>
      <w:proofErr w:type="spellStart"/>
      <w:r w:rsidRPr="00A35FB6">
        <w:rPr>
          <w:rFonts w:asciiTheme="minorHAnsi" w:hAnsiTheme="minorHAnsi"/>
        </w:rPr>
        <w:t>percent</w:t>
      </w:r>
      <w:proofErr w:type="spellEnd"/>
      <w:r w:rsidRPr="00A35FB6">
        <w:rPr>
          <w:rFonts w:asciiTheme="minorHAnsi" w:hAnsiTheme="minorHAnsi"/>
        </w:rPr>
        <w:t xml:space="preserve"> of women were attended by skilled providers at delivery, of whom 50 </w:t>
      </w:r>
      <w:proofErr w:type="spellStart"/>
      <w:r w:rsidRPr="00A35FB6">
        <w:rPr>
          <w:rFonts w:asciiTheme="minorHAnsi" w:hAnsiTheme="minorHAnsi"/>
        </w:rPr>
        <w:t>percent</w:t>
      </w:r>
      <w:proofErr w:type="spellEnd"/>
      <w:r w:rsidRPr="00A35FB6">
        <w:rPr>
          <w:rFonts w:asciiTheme="minorHAnsi" w:hAnsiTheme="minorHAnsi"/>
        </w:rPr>
        <w:t xml:space="preserve"> delivered in facilities. A little more than half the </w:t>
      </w:r>
      <w:proofErr w:type="gramStart"/>
      <w:r w:rsidRPr="00A35FB6">
        <w:rPr>
          <w:rFonts w:asciiTheme="minorHAnsi" w:hAnsiTheme="minorHAnsi"/>
        </w:rPr>
        <w:t>women</w:t>
      </w:r>
      <w:proofErr w:type="gramEnd"/>
      <w:r w:rsidRPr="00A35FB6">
        <w:rPr>
          <w:rFonts w:asciiTheme="minorHAnsi" w:hAnsiTheme="minorHAnsi"/>
        </w:rPr>
        <w:t xml:space="preserve"> and their babies received post natal </w:t>
      </w:r>
      <w:r w:rsidRPr="00A35FB6">
        <w:rPr>
          <w:rFonts w:asciiTheme="minorHAnsi" w:hAnsiTheme="minorHAnsi"/>
        </w:rPr>
        <w:lastRenderedPageBreak/>
        <w:t xml:space="preserve">care. At the same time, the </w:t>
      </w:r>
      <w:proofErr w:type="spellStart"/>
      <w:r w:rsidRPr="00A35FB6">
        <w:rPr>
          <w:rFonts w:asciiTheme="minorHAnsi" w:hAnsiTheme="minorHAnsi"/>
        </w:rPr>
        <w:t>rich</w:t>
      </w:r>
      <w:proofErr w:type="gramStart"/>
      <w:r w:rsidRPr="00A35FB6">
        <w:rPr>
          <w:rFonts w:asciiTheme="minorHAnsi" w:hAnsiTheme="minorHAnsi"/>
        </w:rPr>
        <w:t>:poor</w:t>
      </w:r>
      <w:proofErr w:type="spellEnd"/>
      <w:proofErr w:type="gramEnd"/>
      <w:r w:rsidRPr="00A35FB6">
        <w:rPr>
          <w:rFonts w:asciiTheme="minorHAnsi" w:hAnsiTheme="minorHAnsi"/>
        </w:rPr>
        <w:t xml:space="preserve"> and </w:t>
      </w:r>
      <w:proofErr w:type="spellStart"/>
      <w:r w:rsidRPr="00A35FB6">
        <w:rPr>
          <w:rFonts w:asciiTheme="minorHAnsi" w:hAnsiTheme="minorHAnsi"/>
        </w:rPr>
        <w:t>urban:rural</w:t>
      </w:r>
      <w:proofErr w:type="spellEnd"/>
      <w:r w:rsidRPr="00A35FB6">
        <w:rPr>
          <w:rFonts w:asciiTheme="minorHAnsi" w:hAnsiTheme="minorHAnsi"/>
        </w:rPr>
        <w:t xml:space="preserve"> differentials also showed gradual decrease. Areal discrepancies in this measure still persists with </w:t>
      </w:r>
      <w:proofErr w:type="spellStart"/>
      <w:r w:rsidRPr="00A35FB6">
        <w:rPr>
          <w:rFonts w:asciiTheme="minorHAnsi" w:hAnsiTheme="minorHAnsi"/>
        </w:rPr>
        <w:t>Sylhet</w:t>
      </w:r>
      <w:proofErr w:type="spellEnd"/>
      <w:r w:rsidRPr="00A35FB6">
        <w:rPr>
          <w:rFonts w:asciiTheme="minorHAnsi" w:hAnsiTheme="minorHAnsi"/>
        </w:rPr>
        <w:t xml:space="preserve"> division having the highest MMR (425 per 100,000 live births) and Khulna the lowest (64 per 100,000 live births (BMMS 2014). Private sector emerged as a major actor in</w:t>
      </w:r>
      <w:r w:rsidR="001842F2">
        <w:rPr>
          <w:rFonts w:asciiTheme="minorHAnsi" w:hAnsiTheme="minorHAnsi"/>
        </w:rPr>
        <w:t xml:space="preserve"> providing</w:t>
      </w:r>
      <w:r w:rsidRPr="00A35FB6">
        <w:rPr>
          <w:rFonts w:asciiTheme="minorHAnsi" w:hAnsiTheme="minorHAnsi"/>
        </w:rPr>
        <w:t xml:space="preserve"> delivery care with about a third of all deliveries taking place </w:t>
      </w:r>
      <w:proofErr w:type="gramStart"/>
      <w:r w:rsidRPr="00A35FB6">
        <w:rPr>
          <w:rFonts w:asciiTheme="minorHAnsi" w:hAnsiTheme="minorHAnsi"/>
        </w:rPr>
        <w:t>in  private</w:t>
      </w:r>
      <w:proofErr w:type="gramEnd"/>
      <w:r w:rsidRPr="00A35FB6">
        <w:rPr>
          <w:rFonts w:asciiTheme="minorHAnsi" w:hAnsiTheme="minorHAnsi"/>
        </w:rPr>
        <w:t xml:space="preserve"> facilities compared to only 14 </w:t>
      </w:r>
      <w:proofErr w:type="spellStart"/>
      <w:r w:rsidRPr="00A35FB6">
        <w:rPr>
          <w:rFonts w:asciiTheme="minorHAnsi" w:hAnsiTheme="minorHAnsi"/>
        </w:rPr>
        <w:t>percent</w:t>
      </w:r>
      <w:proofErr w:type="spellEnd"/>
      <w:r w:rsidRPr="00A35FB6">
        <w:rPr>
          <w:rFonts w:asciiTheme="minorHAnsi" w:hAnsiTheme="minorHAnsi"/>
        </w:rPr>
        <w:t xml:space="preserve"> in public ones.</w:t>
      </w:r>
      <w:r w:rsidR="005F5DB1">
        <w:rPr>
          <w:rFonts w:asciiTheme="minorHAnsi" w:hAnsiTheme="minorHAnsi"/>
        </w:rPr>
        <w:t xml:space="preserve"> </w:t>
      </w:r>
      <w:r w:rsidRPr="00A35FB6">
        <w:rPr>
          <w:rFonts w:asciiTheme="minorHAnsi" w:hAnsiTheme="minorHAnsi"/>
        </w:rPr>
        <w:t xml:space="preserve">Increase in </w:t>
      </w:r>
      <w:proofErr w:type="spellStart"/>
      <w:r w:rsidRPr="00A35FB6">
        <w:rPr>
          <w:rFonts w:asciiTheme="minorHAnsi" w:hAnsiTheme="minorHAnsi"/>
        </w:rPr>
        <w:t>Caesaren</w:t>
      </w:r>
      <w:proofErr w:type="spellEnd"/>
      <w:r w:rsidRPr="00A35FB6">
        <w:rPr>
          <w:rFonts w:asciiTheme="minorHAnsi" w:hAnsiTheme="minorHAnsi"/>
        </w:rPr>
        <w:t xml:space="preserve"> section deliveries though continues unabated with one third of all births taking place through C-section; 84 </w:t>
      </w:r>
      <w:proofErr w:type="spellStart"/>
      <w:r w:rsidRPr="00A35FB6">
        <w:rPr>
          <w:rFonts w:asciiTheme="minorHAnsi" w:hAnsiTheme="minorHAnsi"/>
        </w:rPr>
        <w:t>percent</w:t>
      </w:r>
      <w:proofErr w:type="spellEnd"/>
      <w:r w:rsidRPr="00A35FB6">
        <w:rPr>
          <w:rFonts w:asciiTheme="minorHAnsi" w:hAnsiTheme="minorHAnsi"/>
        </w:rPr>
        <w:t xml:space="preserve"> of deliveries in the private sector were through C-section (BDHS 201</w:t>
      </w:r>
      <w:r w:rsidR="00694896">
        <w:rPr>
          <w:rFonts w:asciiTheme="minorHAnsi" w:hAnsiTheme="minorHAnsi"/>
        </w:rPr>
        <w:t>7</w:t>
      </w:r>
      <w:r w:rsidRPr="00A35FB6">
        <w:rPr>
          <w:rFonts w:asciiTheme="minorHAnsi" w:hAnsiTheme="minorHAnsi"/>
        </w:rPr>
        <w:t xml:space="preserve">). This entails a huge financial burden on poorer households as C-Section in a private facility has been estimated to cost about </w:t>
      </w:r>
      <w:proofErr w:type="spellStart"/>
      <w:r w:rsidRPr="00A35FB6">
        <w:rPr>
          <w:rFonts w:asciiTheme="minorHAnsi" w:hAnsiTheme="minorHAnsi"/>
        </w:rPr>
        <w:t>Tk</w:t>
      </w:r>
      <w:proofErr w:type="spellEnd"/>
      <w:r w:rsidRPr="00A35FB6">
        <w:rPr>
          <w:rFonts w:asciiTheme="minorHAnsi" w:hAnsiTheme="minorHAnsi"/>
        </w:rPr>
        <w:t xml:space="preserve"> 20,000 </w:t>
      </w:r>
      <w:r w:rsidR="001842F2">
        <w:rPr>
          <w:rFonts w:asciiTheme="minorHAnsi" w:hAnsiTheme="minorHAnsi"/>
        </w:rPr>
        <w:t xml:space="preserve">compared </w:t>
      </w:r>
      <w:proofErr w:type="gramStart"/>
      <w:r w:rsidR="001842F2">
        <w:rPr>
          <w:rFonts w:asciiTheme="minorHAnsi" w:hAnsiTheme="minorHAnsi"/>
        </w:rPr>
        <w:t xml:space="preserve">to </w:t>
      </w:r>
      <w:r w:rsidRPr="00A35FB6">
        <w:rPr>
          <w:rFonts w:asciiTheme="minorHAnsi" w:hAnsiTheme="minorHAnsi"/>
        </w:rPr>
        <w:t xml:space="preserve"> </w:t>
      </w:r>
      <w:proofErr w:type="spellStart"/>
      <w:r w:rsidRPr="00A35FB6">
        <w:rPr>
          <w:rFonts w:asciiTheme="minorHAnsi" w:hAnsiTheme="minorHAnsi"/>
        </w:rPr>
        <w:t>Tk</w:t>
      </w:r>
      <w:proofErr w:type="spellEnd"/>
      <w:proofErr w:type="gramEnd"/>
      <w:r w:rsidRPr="00A35FB6">
        <w:rPr>
          <w:rFonts w:asciiTheme="minorHAnsi" w:hAnsiTheme="minorHAnsi"/>
        </w:rPr>
        <w:t xml:space="preserve"> 12,000 in public facilities</w:t>
      </w:r>
      <w:r w:rsidR="001842F2">
        <w:rPr>
          <w:rFonts w:asciiTheme="minorHAnsi" w:hAnsiTheme="minorHAnsi"/>
        </w:rPr>
        <w:t xml:space="preserve"> (Bangladesh Health Facilities Survey 2017).</w:t>
      </w:r>
    </w:p>
    <w:p w:rsidR="00676A40" w:rsidRPr="00A35FB6" w:rsidRDefault="00676A40" w:rsidP="00676A40">
      <w:pPr>
        <w:pStyle w:val="ListParagraph"/>
        <w:ind w:left="0"/>
        <w:jc w:val="both"/>
        <w:rPr>
          <w:rFonts w:asciiTheme="minorHAnsi" w:hAnsiTheme="minorHAnsi"/>
        </w:rPr>
      </w:pPr>
    </w:p>
    <w:p w:rsidR="00676A40" w:rsidRPr="00A35FB6" w:rsidRDefault="001D416C" w:rsidP="00676A40">
      <w:pPr>
        <w:pStyle w:val="ListParagraph"/>
        <w:ind w:left="0"/>
        <w:jc w:val="both"/>
        <w:rPr>
          <w:rFonts w:asciiTheme="minorHAnsi" w:hAnsiTheme="minorHAnsi"/>
        </w:rPr>
      </w:pPr>
      <w:r>
        <w:rPr>
          <w:rFonts w:asciiTheme="minorHAnsi" w:hAnsiTheme="minorHAnsi"/>
        </w:rPr>
        <w:t>Significant</w:t>
      </w:r>
      <w:r w:rsidR="00676A40" w:rsidRPr="00A35FB6">
        <w:rPr>
          <w:rFonts w:asciiTheme="minorHAnsi" w:hAnsiTheme="minorHAnsi"/>
        </w:rPr>
        <w:t xml:space="preserve"> decline has taken place in infant and under-five deaths </w:t>
      </w:r>
      <w:r w:rsidR="001842F2">
        <w:rPr>
          <w:rFonts w:asciiTheme="minorHAnsi" w:hAnsiTheme="minorHAnsi"/>
        </w:rPr>
        <w:t>in about the last ten years with (from 52</w:t>
      </w:r>
      <w:r w:rsidR="00676A40" w:rsidRPr="00A35FB6">
        <w:rPr>
          <w:rFonts w:asciiTheme="minorHAnsi" w:hAnsiTheme="minorHAnsi"/>
        </w:rPr>
        <w:t xml:space="preserve"> to 38 per 1000 live births and </w:t>
      </w:r>
      <w:r w:rsidR="001842F2">
        <w:rPr>
          <w:rFonts w:asciiTheme="minorHAnsi" w:hAnsiTheme="minorHAnsi"/>
        </w:rPr>
        <w:t>65</w:t>
      </w:r>
      <w:r w:rsidR="00676A40" w:rsidRPr="00A35FB6">
        <w:rPr>
          <w:rFonts w:asciiTheme="minorHAnsi" w:hAnsiTheme="minorHAnsi"/>
        </w:rPr>
        <w:t xml:space="preserve"> to 45 per 1000 live births)</w:t>
      </w:r>
      <w:r w:rsidR="001842F2">
        <w:rPr>
          <w:rFonts w:asciiTheme="minorHAnsi" w:hAnsiTheme="minorHAnsi"/>
        </w:rPr>
        <w:t>(BDHS 2017) though</w:t>
      </w:r>
      <w:r w:rsidR="00676A40" w:rsidRPr="00A35FB6">
        <w:rPr>
          <w:rFonts w:asciiTheme="minorHAnsi" w:hAnsiTheme="minorHAnsi"/>
        </w:rPr>
        <w:t xml:space="preserve"> the reduction in neonatal mort</w:t>
      </w:r>
      <w:r w:rsidR="001842F2">
        <w:rPr>
          <w:rFonts w:asciiTheme="minorHAnsi" w:hAnsiTheme="minorHAnsi"/>
        </w:rPr>
        <w:t>ality has been slower (37</w:t>
      </w:r>
      <w:r w:rsidR="00676A40" w:rsidRPr="00A35FB6">
        <w:rPr>
          <w:rFonts w:asciiTheme="minorHAnsi" w:hAnsiTheme="minorHAnsi"/>
        </w:rPr>
        <w:t xml:space="preserve"> to </w:t>
      </w:r>
      <w:r w:rsidR="00B37147">
        <w:rPr>
          <w:rFonts w:asciiTheme="minorHAnsi" w:hAnsiTheme="minorHAnsi"/>
        </w:rPr>
        <w:t>30</w:t>
      </w:r>
      <w:r w:rsidR="005F5DB1">
        <w:rPr>
          <w:rFonts w:asciiTheme="minorHAnsi" w:hAnsiTheme="minorHAnsi"/>
        </w:rPr>
        <w:t xml:space="preserve"> per 1000 live births): </w:t>
      </w:r>
      <w:proofErr w:type="spellStart"/>
      <w:r w:rsidR="005F5DB1">
        <w:rPr>
          <w:rFonts w:asciiTheme="minorHAnsi" w:hAnsiTheme="minorHAnsi"/>
        </w:rPr>
        <w:t>Bangaldesh</w:t>
      </w:r>
      <w:proofErr w:type="spellEnd"/>
      <w:r w:rsidR="005F5DB1">
        <w:rPr>
          <w:rFonts w:asciiTheme="minorHAnsi" w:hAnsiTheme="minorHAnsi"/>
        </w:rPr>
        <w:t xml:space="preserve"> was successful in achieving MDG 4. </w:t>
      </w:r>
      <w:r w:rsidR="00676A40" w:rsidRPr="00A35FB6">
        <w:rPr>
          <w:rFonts w:asciiTheme="minorHAnsi" w:hAnsiTheme="minorHAnsi"/>
        </w:rPr>
        <w:t xml:space="preserve">Majority of the neonatal deaths were from preventable causes (birth asphyxia, prematurity, severe infection and acute respiratory infection which together account for almost 75 </w:t>
      </w:r>
      <w:proofErr w:type="spellStart"/>
      <w:r w:rsidR="00676A40" w:rsidRPr="00A35FB6">
        <w:rPr>
          <w:rFonts w:asciiTheme="minorHAnsi" w:hAnsiTheme="minorHAnsi"/>
        </w:rPr>
        <w:t>percent</w:t>
      </w:r>
      <w:proofErr w:type="spellEnd"/>
      <w:r w:rsidR="00676A40" w:rsidRPr="00A35FB6">
        <w:rPr>
          <w:rFonts w:asciiTheme="minorHAnsi" w:hAnsiTheme="minorHAnsi"/>
        </w:rPr>
        <w:t xml:space="preserve"> of neonatal deaths). About 80 </w:t>
      </w:r>
      <w:proofErr w:type="spellStart"/>
      <w:r w:rsidR="00676A40" w:rsidRPr="00A35FB6">
        <w:rPr>
          <w:rFonts w:asciiTheme="minorHAnsi" w:hAnsiTheme="minorHAnsi"/>
        </w:rPr>
        <w:t>percent</w:t>
      </w:r>
      <w:proofErr w:type="spellEnd"/>
      <w:r w:rsidR="00676A40" w:rsidRPr="00A35FB6">
        <w:rPr>
          <w:rFonts w:asciiTheme="minorHAnsi" w:hAnsiTheme="minorHAnsi"/>
        </w:rPr>
        <w:t xml:space="preserve"> of these deaths occur during the first week of life, 50 </w:t>
      </w:r>
      <w:proofErr w:type="spellStart"/>
      <w:r w:rsidR="00676A40" w:rsidRPr="00A35FB6">
        <w:rPr>
          <w:rFonts w:asciiTheme="minorHAnsi" w:hAnsiTheme="minorHAnsi"/>
        </w:rPr>
        <w:t>percent</w:t>
      </w:r>
      <w:proofErr w:type="spellEnd"/>
      <w:r w:rsidR="00676A40" w:rsidRPr="00A35FB6">
        <w:rPr>
          <w:rFonts w:asciiTheme="minorHAnsi" w:hAnsiTheme="minorHAnsi"/>
        </w:rPr>
        <w:t xml:space="preserve"> within the first 24 hours. Estimated </w:t>
      </w:r>
      <w:proofErr w:type="gramStart"/>
      <w:r w:rsidR="00676A40" w:rsidRPr="00A35FB6">
        <w:rPr>
          <w:rFonts w:asciiTheme="minorHAnsi" w:hAnsiTheme="minorHAnsi"/>
        </w:rPr>
        <w:t>number of still births is si</w:t>
      </w:r>
      <w:r w:rsidR="00B37147">
        <w:rPr>
          <w:rFonts w:asciiTheme="minorHAnsi" w:hAnsiTheme="minorHAnsi"/>
        </w:rPr>
        <w:t>milar to neonatal deaths and are</w:t>
      </w:r>
      <w:proofErr w:type="gramEnd"/>
      <w:r w:rsidR="00676A40" w:rsidRPr="00A35FB6">
        <w:rPr>
          <w:rFonts w:asciiTheme="minorHAnsi" w:hAnsiTheme="minorHAnsi"/>
        </w:rPr>
        <w:t xml:space="preserve"> largely unrecorded. </w:t>
      </w:r>
    </w:p>
    <w:p w:rsidR="00676A40" w:rsidRPr="00A35FB6" w:rsidRDefault="00676A40" w:rsidP="00676A40">
      <w:pPr>
        <w:pStyle w:val="ListParagraph"/>
        <w:ind w:left="0"/>
        <w:jc w:val="both"/>
        <w:rPr>
          <w:rFonts w:asciiTheme="minorHAnsi" w:hAnsiTheme="minorHAnsi"/>
        </w:rPr>
      </w:pP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 xml:space="preserve"> Bangladesh has a successful immunisation (EPI) programme on the ground, which has played important role in averting childhood deaths. According to BDHS 201</w:t>
      </w:r>
      <w:r w:rsidR="001D416C">
        <w:rPr>
          <w:rFonts w:asciiTheme="minorHAnsi" w:hAnsiTheme="minorHAnsi"/>
        </w:rPr>
        <w:t>7</w:t>
      </w:r>
      <w:r w:rsidRPr="00A35FB6">
        <w:rPr>
          <w:rFonts w:asciiTheme="minorHAnsi" w:hAnsiTheme="minorHAnsi"/>
        </w:rPr>
        <w:t xml:space="preserve">, 86 </w:t>
      </w:r>
      <w:proofErr w:type="spellStart"/>
      <w:r w:rsidRPr="00A35FB6">
        <w:rPr>
          <w:rFonts w:asciiTheme="minorHAnsi" w:hAnsiTheme="minorHAnsi"/>
        </w:rPr>
        <w:t>percent</w:t>
      </w:r>
      <w:proofErr w:type="spellEnd"/>
      <w:r w:rsidRPr="00A35FB6">
        <w:rPr>
          <w:rFonts w:asciiTheme="minorHAnsi" w:hAnsiTheme="minorHAnsi"/>
        </w:rPr>
        <w:t xml:space="preserve"> of children have received the full range of vaccinations by their first birthday. Diarrhoea prevalence has decreased to the extent that only 5 </w:t>
      </w:r>
      <w:proofErr w:type="spellStart"/>
      <w:r w:rsidRPr="00A35FB6">
        <w:rPr>
          <w:rFonts w:asciiTheme="minorHAnsi" w:hAnsiTheme="minorHAnsi"/>
        </w:rPr>
        <w:t>percent</w:t>
      </w:r>
      <w:proofErr w:type="spellEnd"/>
      <w:r w:rsidRPr="00A35FB6">
        <w:rPr>
          <w:rFonts w:asciiTheme="minorHAnsi" w:hAnsiTheme="minorHAnsi"/>
        </w:rPr>
        <w:t xml:space="preserve"> of under-5 children had diarrhoea and use of oral ORS (oral rehydration salt</w:t>
      </w:r>
      <w:proofErr w:type="gramStart"/>
      <w:r w:rsidRPr="00A35FB6">
        <w:rPr>
          <w:rFonts w:asciiTheme="minorHAnsi" w:hAnsiTheme="minorHAnsi"/>
        </w:rPr>
        <w:t>)for</w:t>
      </w:r>
      <w:proofErr w:type="gramEnd"/>
      <w:r w:rsidRPr="00A35FB6">
        <w:rPr>
          <w:rFonts w:asciiTheme="minorHAnsi" w:hAnsiTheme="minorHAnsi"/>
        </w:rPr>
        <w:t xml:space="preserve"> treatment of diarrhoea stood at 83 </w:t>
      </w:r>
      <w:proofErr w:type="spellStart"/>
      <w:r w:rsidRPr="00A35FB6">
        <w:rPr>
          <w:rFonts w:asciiTheme="minorHAnsi" w:hAnsiTheme="minorHAnsi"/>
        </w:rPr>
        <w:t>percent</w:t>
      </w:r>
      <w:proofErr w:type="spellEnd"/>
      <w:r w:rsidRPr="00A35FB6">
        <w:rPr>
          <w:rFonts w:asciiTheme="minorHAnsi" w:hAnsiTheme="minorHAnsi"/>
        </w:rPr>
        <w:t xml:space="preserve">. Pneumonia, neonatal causes and drowning are the major causes of death among under-five, with pneumonia being the single most important cause (21 </w:t>
      </w:r>
      <w:proofErr w:type="spellStart"/>
      <w:r w:rsidRPr="00A35FB6">
        <w:rPr>
          <w:rFonts w:asciiTheme="minorHAnsi" w:hAnsiTheme="minorHAnsi"/>
        </w:rPr>
        <w:t>percent</w:t>
      </w:r>
      <w:proofErr w:type="spellEnd"/>
      <w:r w:rsidRPr="00A35FB6">
        <w:rPr>
          <w:rFonts w:asciiTheme="minorHAnsi" w:hAnsiTheme="minorHAnsi"/>
        </w:rPr>
        <w:t xml:space="preserve">). Death from drowning has increased from 26 to 42 </w:t>
      </w:r>
      <w:proofErr w:type="spellStart"/>
      <w:r w:rsidRPr="00A35FB6">
        <w:rPr>
          <w:rFonts w:asciiTheme="minorHAnsi" w:hAnsiTheme="minorHAnsi"/>
        </w:rPr>
        <w:t>percent</w:t>
      </w:r>
      <w:proofErr w:type="spellEnd"/>
      <w:r w:rsidRPr="00A35FB6">
        <w:rPr>
          <w:rFonts w:asciiTheme="minorHAnsi" w:hAnsiTheme="minorHAnsi"/>
        </w:rPr>
        <w:t xml:space="preserve"> from 2007 to 2011 in this group. </w:t>
      </w:r>
    </w:p>
    <w:p w:rsidR="00676A40" w:rsidRPr="00A35FB6" w:rsidRDefault="00676A40" w:rsidP="00676A40">
      <w:pPr>
        <w:pStyle w:val="ListParagraph"/>
        <w:ind w:left="0"/>
        <w:jc w:val="both"/>
        <w:rPr>
          <w:rFonts w:asciiTheme="minorHAnsi" w:hAnsiTheme="minorHAnsi"/>
        </w:rPr>
      </w:pP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These improvements in the maternal, neonatal and child health situation in the country can be attributed to fertility decline, better care seeking practices, improved access to services, with concomitant improvements in women’s education, employment  and perhaps decision making capacity as a result of access to information through, particularly, availability of mobile phones (2 out of 3 households own a mobile phone) (BDHS 201</w:t>
      </w:r>
      <w:r w:rsidR="00694896">
        <w:rPr>
          <w:rFonts w:asciiTheme="minorHAnsi" w:hAnsiTheme="minorHAnsi"/>
        </w:rPr>
        <w:t>7)</w:t>
      </w:r>
      <w:r w:rsidRPr="00A35FB6">
        <w:rPr>
          <w:rFonts w:asciiTheme="minorHAnsi" w:hAnsiTheme="minorHAnsi"/>
        </w:rPr>
        <w:t xml:space="preserve">.However, the improvements in the first part of the millennium has started to stall particularly in case of MMR and neonatal </w:t>
      </w:r>
      <w:proofErr w:type="spellStart"/>
      <w:r w:rsidRPr="00A35FB6">
        <w:rPr>
          <w:rFonts w:asciiTheme="minorHAnsi" w:hAnsiTheme="minorHAnsi"/>
        </w:rPr>
        <w:t>deaths.The</w:t>
      </w:r>
      <w:proofErr w:type="spellEnd"/>
      <w:r w:rsidRPr="00A35FB6">
        <w:rPr>
          <w:rFonts w:asciiTheme="minorHAnsi" w:hAnsiTheme="minorHAnsi"/>
        </w:rPr>
        <w:t xml:space="preserve"> distribution of main causes of maternal mortality over the years has not shown much change either; haemorrhage (31 </w:t>
      </w:r>
      <w:proofErr w:type="spellStart"/>
      <w:r w:rsidRPr="00A35FB6">
        <w:rPr>
          <w:rFonts w:asciiTheme="minorHAnsi" w:hAnsiTheme="minorHAnsi"/>
        </w:rPr>
        <w:t>percent</w:t>
      </w:r>
      <w:proofErr w:type="spellEnd"/>
      <w:r w:rsidRPr="00A35FB6">
        <w:rPr>
          <w:rFonts w:asciiTheme="minorHAnsi" w:hAnsiTheme="minorHAnsi"/>
        </w:rPr>
        <w:t xml:space="preserve">) and </w:t>
      </w:r>
      <w:proofErr w:type="spellStart"/>
      <w:r w:rsidRPr="00A35FB6">
        <w:rPr>
          <w:rFonts w:asciiTheme="minorHAnsi" w:hAnsiTheme="minorHAnsi"/>
        </w:rPr>
        <w:t>eclampsia</w:t>
      </w:r>
      <w:proofErr w:type="spellEnd"/>
      <w:r w:rsidRPr="00A35FB6">
        <w:rPr>
          <w:rFonts w:asciiTheme="minorHAnsi" w:hAnsiTheme="minorHAnsi"/>
        </w:rPr>
        <w:t xml:space="preserve"> (24 </w:t>
      </w:r>
      <w:proofErr w:type="spellStart"/>
      <w:r w:rsidRPr="00A35FB6">
        <w:rPr>
          <w:rFonts w:asciiTheme="minorHAnsi" w:hAnsiTheme="minorHAnsi"/>
        </w:rPr>
        <w:t>percent</w:t>
      </w:r>
      <w:proofErr w:type="spellEnd"/>
      <w:r w:rsidRPr="00A35FB6">
        <w:rPr>
          <w:rFonts w:asciiTheme="minorHAnsi" w:hAnsiTheme="minorHAnsi"/>
        </w:rPr>
        <w:t>) continue to account for more than half of maternal deaths (BDHS 201</w:t>
      </w:r>
      <w:r w:rsidR="00694896">
        <w:rPr>
          <w:rFonts w:asciiTheme="minorHAnsi" w:hAnsiTheme="minorHAnsi"/>
        </w:rPr>
        <w:t>7</w:t>
      </w:r>
      <w:r w:rsidR="001D416C">
        <w:rPr>
          <w:rFonts w:asciiTheme="minorHAnsi" w:hAnsiTheme="minorHAnsi"/>
        </w:rPr>
        <w:t xml:space="preserve">). </w:t>
      </w:r>
      <w:r w:rsidRPr="00A35FB6">
        <w:rPr>
          <w:rFonts w:asciiTheme="minorHAnsi" w:hAnsiTheme="minorHAnsi"/>
        </w:rPr>
        <w:t xml:space="preserve"> The proportion of deaths due to obstructed labour has halved and those due to indirect causes have decreased by more than 40 </w:t>
      </w:r>
      <w:proofErr w:type="spellStart"/>
      <w:r w:rsidRPr="00A35FB6">
        <w:rPr>
          <w:rFonts w:asciiTheme="minorHAnsi" w:hAnsiTheme="minorHAnsi"/>
        </w:rPr>
        <w:t>percent</w:t>
      </w:r>
      <w:proofErr w:type="spellEnd"/>
      <w:r w:rsidRPr="00A35FB6">
        <w:rPr>
          <w:rFonts w:asciiTheme="minorHAnsi" w:hAnsiTheme="minorHAnsi"/>
        </w:rPr>
        <w:t xml:space="preserve"> between BDHS 2014 and 201</w:t>
      </w:r>
      <w:r w:rsidR="00694896">
        <w:rPr>
          <w:rFonts w:asciiTheme="minorHAnsi" w:hAnsiTheme="minorHAnsi"/>
        </w:rPr>
        <w:t>7</w:t>
      </w:r>
      <w:r w:rsidRPr="00A35FB6">
        <w:rPr>
          <w:rFonts w:asciiTheme="minorHAnsi" w:hAnsiTheme="minorHAnsi"/>
        </w:rPr>
        <w:t>.</w:t>
      </w:r>
    </w:p>
    <w:p w:rsidR="00676A40" w:rsidRPr="00A35FB6" w:rsidRDefault="00676A40" w:rsidP="00676A40">
      <w:pPr>
        <w:pStyle w:val="ListParagraph"/>
        <w:ind w:left="0"/>
        <w:jc w:val="both"/>
        <w:rPr>
          <w:rFonts w:asciiTheme="minorHAnsi" w:hAnsiTheme="minorHAnsi"/>
        </w:rPr>
      </w:pP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 xml:space="preserve">Reproductive health of women has been a cornerstone of interventions for improving the health status of Bangladeshi women. The Bangladesh government has, since its very inception, supported the provision of menstrual regulation (MR) services which are available in most public health facilities and a number </w:t>
      </w:r>
      <w:proofErr w:type="gramStart"/>
      <w:r w:rsidRPr="00A35FB6">
        <w:rPr>
          <w:rFonts w:asciiTheme="minorHAnsi" w:hAnsiTheme="minorHAnsi"/>
        </w:rPr>
        <w:t>of ,</w:t>
      </w:r>
      <w:proofErr w:type="gramEnd"/>
      <w:r w:rsidRPr="00A35FB6">
        <w:rPr>
          <w:rFonts w:asciiTheme="minorHAnsi" w:hAnsiTheme="minorHAnsi"/>
        </w:rPr>
        <w:t xml:space="preserve"> NGO and private clinics/hospitals. In 2014, access to termination of pregnancy services </w:t>
      </w:r>
      <w:r w:rsidRPr="00A35FB6">
        <w:rPr>
          <w:rFonts w:asciiTheme="minorHAnsi" w:hAnsiTheme="minorHAnsi"/>
        </w:rPr>
        <w:lastRenderedPageBreak/>
        <w:t xml:space="preserve">further increased when </w:t>
      </w:r>
      <w:proofErr w:type="spellStart"/>
      <w:r w:rsidRPr="00A35FB6">
        <w:rPr>
          <w:rFonts w:asciiTheme="minorHAnsi" w:hAnsiTheme="minorHAnsi"/>
        </w:rPr>
        <w:t>GoB</w:t>
      </w:r>
      <w:proofErr w:type="spellEnd"/>
      <w:r w:rsidRPr="00A35FB6">
        <w:rPr>
          <w:rFonts w:asciiTheme="minorHAnsi" w:hAnsiTheme="minorHAnsi"/>
        </w:rPr>
        <w:t xml:space="preserve"> </w:t>
      </w:r>
      <w:r w:rsidR="007B43CD" w:rsidRPr="00A35FB6">
        <w:rPr>
          <w:rFonts w:asciiTheme="minorHAnsi" w:hAnsiTheme="minorHAnsi"/>
        </w:rPr>
        <w:t>approved introduction</w:t>
      </w:r>
      <w:r w:rsidRPr="00A35FB6">
        <w:rPr>
          <w:rFonts w:asciiTheme="minorHAnsi" w:hAnsiTheme="minorHAnsi"/>
        </w:rPr>
        <w:t xml:space="preserve"> of MRM (MR with medication) using misoprostol. By now, misoprostol</w:t>
      </w:r>
      <w:r w:rsidR="005F5DB1">
        <w:rPr>
          <w:rFonts w:asciiTheme="minorHAnsi" w:hAnsiTheme="minorHAnsi"/>
        </w:rPr>
        <w:t xml:space="preserve"> </w:t>
      </w:r>
      <w:r w:rsidR="00247B21">
        <w:rPr>
          <w:rFonts w:asciiTheme="minorHAnsi" w:hAnsiTheme="minorHAnsi"/>
        </w:rPr>
        <w:t xml:space="preserve">is </w:t>
      </w:r>
      <w:r w:rsidRPr="00A35FB6">
        <w:rPr>
          <w:rFonts w:asciiTheme="minorHAnsi" w:hAnsiTheme="minorHAnsi"/>
        </w:rPr>
        <w:t xml:space="preserve">widely available in drug shops/pharmacies and service delivery outlets. A </w:t>
      </w:r>
      <w:proofErr w:type="spellStart"/>
      <w:r w:rsidRPr="00A35FB6">
        <w:rPr>
          <w:rFonts w:asciiTheme="minorHAnsi" w:hAnsiTheme="minorHAnsi"/>
        </w:rPr>
        <w:t>Guttmacher</w:t>
      </w:r>
      <w:proofErr w:type="spellEnd"/>
      <w:r w:rsidRPr="00A35FB6">
        <w:rPr>
          <w:rFonts w:asciiTheme="minorHAnsi" w:hAnsiTheme="minorHAnsi"/>
        </w:rPr>
        <w:t xml:space="preserve"> study in 2014 reported 430,000 MR procedures that year- a 34 </w:t>
      </w:r>
      <w:proofErr w:type="spellStart"/>
      <w:r w:rsidRPr="00A35FB6">
        <w:rPr>
          <w:rFonts w:asciiTheme="minorHAnsi" w:hAnsiTheme="minorHAnsi"/>
        </w:rPr>
        <w:t>percent</w:t>
      </w:r>
      <w:proofErr w:type="spellEnd"/>
      <w:r w:rsidRPr="00A35FB6">
        <w:rPr>
          <w:rFonts w:asciiTheme="minorHAnsi" w:hAnsiTheme="minorHAnsi"/>
        </w:rPr>
        <w:t xml:space="preserve"> decline since 2010. </w:t>
      </w:r>
      <w:proofErr w:type="gramStart"/>
      <w:r w:rsidRPr="00A35FB6">
        <w:rPr>
          <w:rFonts w:asciiTheme="minorHAnsi" w:hAnsiTheme="minorHAnsi"/>
        </w:rPr>
        <w:t>Additionally1.2 million terminations were performed, many of them using MRM, and some likely in unsafe conditions or by untrained providers.</w:t>
      </w:r>
      <w:proofErr w:type="gramEnd"/>
      <w:r w:rsidR="005F5DB1">
        <w:rPr>
          <w:rFonts w:asciiTheme="minorHAnsi" w:hAnsiTheme="minorHAnsi"/>
        </w:rPr>
        <w:t xml:space="preserve"> Performance of MR has</w:t>
      </w:r>
      <w:r w:rsidRPr="00A35FB6">
        <w:rPr>
          <w:rFonts w:asciiTheme="minorHAnsi" w:hAnsiTheme="minorHAnsi"/>
        </w:rPr>
        <w:t xml:space="preserve"> decreased at all level of public facilities especially in </w:t>
      </w:r>
      <w:proofErr w:type="spellStart"/>
      <w:r w:rsidRPr="00A35FB6">
        <w:rPr>
          <w:rFonts w:asciiTheme="minorHAnsi" w:hAnsiTheme="minorHAnsi"/>
        </w:rPr>
        <w:t>GoB’s</w:t>
      </w:r>
      <w:proofErr w:type="spellEnd"/>
      <w:r w:rsidRPr="00A35FB6">
        <w:rPr>
          <w:rFonts w:asciiTheme="minorHAnsi" w:hAnsiTheme="minorHAnsi"/>
        </w:rPr>
        <w:t xml:space="preserve"> union health centres with only half of them (instead of two-thirds in 2010) providing the service. The proportion of patients with haemorrhage increased from 27 to 48 </w:t>
      </w:r>
      <w:proofErr w:type="spellStart"/>
      <w:r w:rsidRPr="00A35FB6">
        <w:rPr>
          <w:rFonts w:asciiTheme="minorHAnsi" w:hAnsiTheme="minorHAnsi"/>
        </w:rPr>
        <w:t>percent</w:t>
      </w:r>
      <w:proofErr w:type="spellEnd"/>
      <w:r w:rsidRPr="00A35FB6">
        <w:rPr>
          <w:rFonts w:asciiTheme="minorHAnsi" w:hAnsiTheme="minorHAnsi"/>
        </w:rPr>
        <w:t xml:space="preserve"> between 2010 and 2014, perhaps related to incorrect use of misoprostol (</w:t>
      </w:r>
      <w:proofErr w:type="spellStart"/>
      <w:r w:rsidRPr="00A35FB6">
        <w:rPr>
          <w:rFonts w:asciiTheme="minorHAnsi" w:hAnsiTheme="minorHAnsi"/>
        </w:rPr>
        <w:t>Hossain</w:t>
      </w:r>
      <w:proofErr w:type="spellEnd"/>
      <w:r w:rsidRPr="00A35FB6">
        <w:rPr>
          <w:rFonts w:asciiTheme="minorHAnsi" w:hAnsiTheme="minorHAnsi"/>
        </w:rPr>
        <w:t xml:space="preserve"> A et al, Access to and Quality of Menstrual Regulation Services and Post Abortion Care in Bangladesh, 2014, </w:t>
      </w:r>
      <w:proofErr w:type="spellStart"/>
      <w:r w:rsidRPr="00A35FB6">
        <w:rPr>
          <w:rFonts w:asciiTheme="minorHAnsi" w:hAnsiTheme="minorHAnsi"/>
        </w:rPr>
        <w:t>Guttmacher</w:t>
      </w:r>
      <w:proofErr w:type="spellEnd"/>
      <w:r w:rsidRPr="00A35FB6">
        <w:rPr>
          <w:rFonts w:asciiTheme="minorHAnsi" w:hAnsiTheme="minorHAnsi"/>
        </w:rPr>
        <w:t xml:space="preserve"> Institute 2017). More recently, cervical cancer and breast cancer have become important issues of reproductive health as these are the two most common cancers among reproductiv</w:t>
      </w:r>
      <w:r w:rsidR="00A04BEF">
        <w:rPr>
          <w:rFonts w:asciiTheme="minorHAnsi" w:hAnsiTheme="minorHAnsi"/>
        </w:rPr>
        <w:t>e aged women, responsible for a</w:t>
      </w:r>
      <w:r w:rsidRPr="00A35FB6">
        <w:rPr>
          <w:rFonts w:asciiTheme="minorHAnsi" w:hAnsiTheme="minorHAnsi"/>
        </w:rPr>
        <w:t xml:space="preserve"> significant proportion of the 24 </w:t>
      </w:r>
      <w:proofErr w:type="spellStart"/>
      <w:r w:rsidRPr="00A35FB6">
        <w:rPr>
          <w:rFonts w:asciiTheme="minorHAnsi" w:hAnsiTheme="minorHAnsi"/>
        </w:rPr>
        <w:t>percent</w:t>
      </w:r>
      <w:proofErr w:type="spellEnd"/>
      <w:r w:rsidRPr="00A35FB6">
        <w:rPr>
          <w:rFonts w:asciiTheme="minorHAnsi" w:hAnsiTheme="minorHAnsi"/>
        </w:rPr>
        <w:t xml:space="preserve"> cancer deaths of reproductive aged women.</w:t>
      </w:r>
    </w:p>
    <w:p w:rsidR="00676A40" w:rsidRPr="00A35FB6" w:rsidRDefault="00676A40" w:rsidP="00676A40">
      <w:pPr>
        <w:pStyle w:val="ListParagraph"/>
        <w:ind w:left="0"/>
        <w:jc w:val="both"/>
        <w:rPr>
          <w:rFonts w:asciiTheme="minorHAnsi" w:hAnsiTheme="minorHAnsi"/>
        </w:rPr>
      </w:pP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Adolescents comprise more than one fifth of the country’s population. Given the special vulnerability of this group, there ha</w:t>
      </w:r>
      <w:r w:rsidR="00EF5CBB">
        <w:rPr>
          <w:rFonts w:asciiTheme="minorHAnsi" w:hAnsiTheme="minorHAnsi"/>
        </w:rPr>
        <w:t>ve</w:t>
      </w:r>
      <w:r w:rsidRPr="00A35FB6">
        <w:rPr>
          <w:rFonts w:asciiTheme="minorHAnsi" w:hAnsiTheme="minorHAnsi"/>
        </w:rPr>
        <w:t xml:space="preserve"> been efforts by the government to undertake initiatives to support their growth and development. The Bangladesh Population Policy of 2012, National Health Policy of 2011, the Bangladesh National Children Policy of 2013 all support adolescent health through promotion of awareness and knowledge, provision of good quality services and adolescents’ development. Early marriage is a norm in the country, with 59 </w:t>
      </w:r>
      <w:proofErr w:type="spellStart"/>
      <w:r w:rsidRPr="00A35FB6">
        <w:rPr>
          <w:rFonts w:asciiTheme="minorHAnsi" w:hAnsiTheme="minorHAnsi"/>
        </w:rPr>
        <w:t>percent</w:t>
      </w:r>
      <w:proofErr w:type="spellEnd"/>
      <w:r w:rsidRPr="00A35FB6">
        <w:rPr>
          <w:rFonts w:asciiTheme="minorHAnsi" w:hAnsiTheme="minorHAnsi"/>
        </w:rPr>
        <w:t xml:space="preserve"> of adolescent girls being married by age 18 and21 </w:t>
      </w:r>
      <w:proofErr w:type="spellStart"/>
      <w:r w:rsidRPr="00A35FB6">
        <w:rPr>
          <w:rFonts w:asciiTheme="minorHAnsi" w:hAnsiTheme="minorHAnsi"/>
        </w:rPr>
        <w:t>percent</w:t>
      </w:r>
      <w:proofErr w:type="spellEnd"/>
      <w:r w:rsidRPr="00A35FB6">
        <w:rPr>
          <w:rFonts w:asciiTheme="minorHAnsi" w:hAnsiTheme="minorHAnsi"/>
        </w:rPr>
        <w:t xml:space="preserve"> by age 15 (MOHFW, 2006). Adolescent childbearing entail a high risk of maternal death and higher level of mortality (UN World Population Monitoring 2002- Reproductive Rights and Reproductive Health: Selected Aspects). Almost twice as many </w:t>
      </w:r>
      <w:proofErr w:type="spellStart"/>
      <w:r w:rsidRPr="00A35FB6">
        <w:rPr>
          <w:rFonts w:asciiTheme="minorHAnsi" w:hAnsiTheme="minorHAnsi"/>
        </w:rPr>
        <w:t>newborn</w:t>
      </w:r>
      <w:proofErr w:type="spellEnd"/>
      <w:r w:rsidRPr="00A35FB6">
        <w:rPr>
          <w:rFonts w:asciiTheme="minorHAnsi" w:hAnsiTheme="minorHAnsi"/>
        </w:rPr>
        <w:t xml:space="preserve"> deaths occur among women less than 20 years old compared to older ones (BDHS 2011).</w:t>
      </w:r>
    </w:p>
    <w:p w:rsidR="00676A40" w:rsidRPr="00A35FB6" w:rsidRDefault="00676A40" w:rsidP="00676A40">
      <w:pPr>
        <w:pStyle w:val="ListParagraph"/>
        <w:ind w:left="0"/>
        <w:jc w:val="both"/>
        <w:rPr>
          <w:rFonts w:asciiTheme="minorHAnsi" w:hAnsiTheme="minorHAnsi"/>
        </w:rPr>
      </w:pP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 xml:space="preserve">In order to lend vision and direction and accelerate improvements, </w:t>
      </w:r>
      <w:proofErr w:type="spellStart"/>
      <w:r w:rsidRPr="00A35FB6">
        <w:rPr>
          <w:rFonts w:asciiTheme="minorHAnsi" w:hAnsiTheme="minorHAnsi"/>
        </w:rPr>
        <w:t>GoB</w:t>
      </w:r>
      <w:proofErr w:type="spellEnd"/>
      <w:r w:rsidRPr="00A35FB6">
        <w:rPr>
          <w:rFonts w:asciiTheme="minorHAnsi" w:hAnsiTheme="minorHAnsi"/>
        </w:rPr>
        <w:t xml:space="preserve"> has also, over the last three years worked to develop a number of strategies including the National Maternal Health Strategy</w:t>
      </w:r>
      <w:proofErr w:type="gramStart"/>
      <w:r w:rsidRPr="00A35FB6">
        <w:rPr>
          <w:rFonts w:asciiTheme="minorHAnsi" w:hAnsiTheme="minorHAnsi"/>
        </w:rPr>
        <w:t>,  the</w:t>
      </w:r>
      <w:proofErr w:type="gramEnd"/>
      <w:r w:rsidRPr="00A35FB6">
        <w:rPr>
          <w:rFonts w:asciiTheme="minorHAnsi" w:hAnsiTheme="minorHAnsi"/>
        </w:rPr>
        <w:t xml:space="preserve"> National Strategy for Adolescent Health and the </w:t>
      </w:r>
      <w:r w:rsidR="007B43CD" w:rsidRPr="00A35FB6">
        <w:rPr>
          <w:rFonts w:asciiTheme="minorHAnsi" w:hAnsiTheme="minorHAnsi"/>
        </w:rPr>
        <w:t>National Child</w:t>
      </w:r>
      <w:r w:rsidRPr="00A35FB6">
        <w:rPr>
          <w:rFonts w:asciiTheme="minorHAnsi" w:hAnsiTheme="minorHAnsi"/>
        </w:rPr>
        <w:t xml:space="preserve"> Health Strategy. </w:t>
      </w:r>
      <w:proofErr w:type="spellStart"/>
      <w:r w:rsidRPr="00A35FB6">
        <w:rPr>
          <w:rFonts w:asciiTheme="minorHAnsi" w:hAnsiTheme="minorHAnsi"/>
        </w:rPr>
        <w:t>Operationalising</w:t>
      </w:r>
      <w:proofErr w:type="spellEnd"/>
      <w:r w:rsidRPr="00A35FB6">
        <w:rPr>
          <w:rFonts w:asciiTheme="minorHAnsi" w:hAnsiTheme="minorHAnsi"/>
        </w:rPr>
        <w:t xml:space="preserve"> these strategies fall within the purview of HPNSP. However, the </w:t>
      </w:r>
      <w:proofErr w:type="gramStart"/>
      <w:r w:rsidRPr="00A35FB6">
        <w:rPr>
          <w:rFonts w:asciiTheme="minorHAnsi" w:hAnsiTheme="minorHAnsi"/>
        </w:rPr>
        <w:t>ecosystem  within</w:t>
      </w:r>
      <w:proofErr w:type="gramEnd"/>
      <w:r w:rsidRPr="00A35FB6">
        <w:rPr>
          <w:rFonts w:asciiTheme="minorHAnsi" w:hAnsiTheme="minorHAnsi"/>
        </w:rPr>
        <w:t xml:space="preserve"> which HPNSP and the strategies are being implemented is also evolving. Some of the more important elements of this evolving ecosystem are:</w:t>
      </w:r>
    </w:p>
    <w:p w:rsidR="00676A40" w:rsidRPr="00A35FB6" w:rsidRDefault="00676A40" w:rsidP="00676A40">
      <w:pPr>
        <w:pStyle w:val="ListParagraph"/>
        <w:ind w:left="0"/>
        <w:jc w:val="both"/>
        <w:rPr>
          <w:rFonts w:asciiTheme="minorHAnsi" w:hAnsiTheme="minorHAnsi"/>
        </w:rPr>
      </w:pPr>
    </w:p>
    <w:p w:rsidR="00676A40" w:rsidRPr="00A35FB6" w:rsidRDefault="00676A40" w:rsidP="00676A40">
      <w:pPr>
        <w:pStyle w:val="ListParagraph"/>
        <w:numPr>
          <w:ilvl w:val="0"/>
          <w:numId w:val="5"/>
        </w:numPr>
        <w:ind w:left="360"/>
        <w:jc w:val="both"/>
        <w:rPr>
          <w:rFonts w:asciiTheme="minorHAnsi" w:hAnsiTheme="minorHAnsi"/>
        </w:rPr>
      </w:pPr>
      <w:r w:rsidRPr="00A35FB6">
        <w:rPr>
          <w:rFonts w:asciiTheme="minorHAnsi" w:hAnsiTheme="minorHAnsi"/>
        </w:rPr>
        <w:t xml:space="preserve">The bifurcation of MOHFW into two divisions: This bifurcation had existed at the field level before, but with the establishment of two divisions at the Ministry level (Health Services Division and Medical Education &amp; Family Planning Division), even central level planning, implementation and monitoring </w:t>
      </w:r>
      <w:r w:rsidR="00EF5CBB">
        <w:rPr>
          <w:rFonts w:asciiTheme="minorHAnsi" w:hAnsiTheme="minorHAnsi"/>
        </w:rPr>
        <w:t xml:space="preserve">are </w:t>
      </w:r>
      <w:r w:rsidRPr="00A35FB6">
        <w:rPr>
          <w:rFonts w:asciiTheme="minorHAnsi" w:hAnsiTheme="minorHAnsi"/>
        </w:rPr>
        <w:t xml:space="preserve">under two different wings with no apparent mechanism for coordination and harmony. </w:t>
      </w:r>
    </w:p>
    <w:p w:rsidR="00676A40" w:rsidRPr="00A35FB6" w:rsidRDefault="00676A40" w:rsidP="00676A40">
      <w:pPr>
        <w:pStyle w:val="ListParagraph"/>
        <w:numPr>
          <w:ilvl w:val="0"/>
          <w:numId w:val="5"/>
        </w:numPr>
        <w:ind w:left="360"/>
        <w:jc w:val="both"/>
        <w:rPr>
          <w:rFonts w:asciiTheme="minorHAnsi" w:hAnsiTheme="minorHAnsi"/>
        </w:rPr>
      </w:pPr>
      <w:r w:rsidRPr="00A35FB6">
        <w:rPr>
          <w:rFonts w:asciiTheme="minorHAnsi" w:hAnsiTheme="minorHAnsi"/>
        </w:rPr>
        <w:t xml:space="preserve">The changing socio-economic situation: The economic gains of the last decade or so during which the GDP grew annually by an average of 6-7 </w:t>
      </w:r>
      <w:proofErr w:type="spellStart"/>
      <w:r w:rsidRPr="00A35FB6">
        <w:rPr>
          <w:rFonts w:asciiTheme="minorHAnsi" w:hAnsiTheme="minorHAnsi"/>
        </w:rPr>
        <w:t>percent</w:t>
      </w:r>
      <w:proofErr w:type="spellEnd"/>
      <w:r w:rsidRPr="00A35FB6">
        <w:rPr>
          <w:rFonts w:asciiTheme="minorHAnsi" w:hAnsiTheme="minorHAnsi"/>
        </w:rPr>
        <w:t xml:space="preserve"> and the per-capita income rose to USD 1,466 in 2018 (Daily Star, Sep 25 2018), massive expansion of use of internet with  internet penetration of about 50 </w:t>
      </w:r>
      <w:proofErr w:type="spellStart"/>
      <w:r w:rsidRPr="00A35FB6">
        <w:rPr>
          <w:rFonts w:asciiTheme="minorHAnsi" w:hAnsiTheme="minorHAnsi"/>
        </w:rPr>
        <w:t>percent</w:t>
      </w:r>
      <w:proofErr w:type="spellEnd"/>
      <w:r w:rsidRPr="00A35FB6">
        <w:rPr>
          <w:rFonts w:asciiTheme="minorHAnsi" w:hAnsiTheme="minorHAnsi"/>
        </w:rPr>
        <w:t xml:space="preserve"> (Daily Star, Sep 20, 2018)  and two in three households possessing a mobile phone, has enabled MOHFW to harness digital based technology to strengthen its programme implementation (e.g. use of MIS, e-tenders) and  disseminate health education </w:t>
      </w:r>
      <w:proofErr w:type="spellStart"/>
      <w:r w:rsidRPr="00A35FB6">
        <w:rPr>
          <w:rFonts w:asciiTheme="minorHAnsi" w:hAnsiTheme="minorHAnsi"/>
        </w:rPr>
        <w:t>messages.With</w:t>
      </w:r>
      <w:proofErr w:type="spellEnd"/>
      <w:r w:rsidRPr="00A35FB6">
        <w:rPr>
          <w:rFonts w:asciiTheme="minorHAnsi" w:hAnsiTheme="minorHAnsi"/>
        </w:rPr>
        <w:t xml:space="preserve"> </w:t>
      </w:r>
      <w:r w:rsidRPr="00A35FB6">
        <w:rPr>
          <w:rFonts w:asciiTheme="minorHAnsi" w:hAnsiTheme="minorHAnsi"/>
        </w:rPr>
        <w:lastRenderedPageBreak/>
        <w:t xml:space="preserve">increased affordability, the private sector is gradually become a bigger actor in service delivery, with the risk of putting poor households under economic crises. Expectations of communities from health care facilities is increasing, and in few cases dissatisfaction with service quality is being expressed through violence at health care centres, creating a sense of insecurity among health care providers and managers. </w:t>
      </w:r>
    </w:p>
    <w:p w:rsidR="00676A40" w:rsidRPr="00A35FB6" w:rsidRDefault="00676A40" w:rsidP="00676A40">
      <w:pPr>
        <w:pStyle w:val="ListParagraph"/>
        <w:numPr>
          <w:ilvl w:val="0"/>
          <w:numId w:val="5"/>
        </w:numPr>
        <w:ind w:left="360"/>
        <w:jc w:val="both"/>
        <w:rPr>
          <w:rFonts w:asciiTheme="minorHAnsi" w:hAnsiTheme="minorHAnsi"/>
        </w:rPr>
      </w:pPr>
      <w:r w:rsidRPr="00A35FB6">
        <w:rPr>
          <w:rFonts w:asciiTheme="minorHAnsi" w:hAnsiTheme="minorHAnsi"/>
        </w:rPr>
        <w:t xml:space="preserve">Diminishing Role of Developing Partners (DPs) post 2021: Bangladesh is set to transition into a middle income country in 2021, which would perhaps see a further reduction in DP contribution to the future sector programmes and off-budget projects leaving </w:t>
      </w:r>
      <w:proofErr w:type="spellStart"/>
      <w:r w:rsidRPr="00A35FB6">
        <w:rPr>
          <w:rFonts w:asciiTheme="minorHAnsi" w:hAnsiTheme="minorHAnsi"/>
        </w:rPr>
        <w:t>GoB</w:t>
      </w:r>
      <w:proofErr w:type="spellEnd"/>
      <w:r w:rsidRPr="00A35FB6">
        <w:rPr>
          <w:rFonts w:asciiTheme="minorHAnsi" w:hAnsiTheme="minorHAnsi"/>
        </w:rPr>
        <w:t xml:space="preserve"> with no option but to find ways to increase efficiency.</w:t>
      </w:r>
    </w:p>
    <w:p w:rsidR="00676A40" w:rsidRDefault="00676A40" w:rsidP="00676A40">
      <w:pPr>
        <w:pStyle w:val="ListParagraph"/>
        <w:numPr>
          <w:ilvl w:val="0"/>
          <w:numId w:val="5"/>
        </w:numPr>
        <w:ind w:left="360"/>
        <w:jc w:val="both"/>
        <w:rPr>
          <w:rFonts w:asciiTheme="minorHAnsi" w:hAnsiTheme="minorHAnsi"/>
        </w:rPr>
      </w:pPr>
      <w:r w:rsidRPr="00A35FB6">
        <w:rPr>
          <w:rFonts w:asciiTheme="minorHAnsi" w:hAnsiTheme="minorHAnsi"/>
        </w:rPr>
        <w:t xml:space="preserve">The </w:t>
      </w:r>
      <w:proofErr w:type="spellStart"/>
      <w:r w:rsidRPr="00A35FB6">
        <w:rPr>
          <w:rFonts w:asciiTheme="minorHAnsi" w:hAnsiTheme="minorHAnsi"/>
        </w:rPr>
        <w:t>Rohingya</w:t>
      </w:r>
      <w:proofErr w:type="spellEnd"/>
      <w:r w:rsidRPr="00A35FB6">
        <w:rPr>
          <w:rFonts w:asciiTheme="minorHAnsi" w:hAnsiTheme="minorHAnsi"/>
        </w:rPr>
        <w:t xml:space="preserve"> crisis: </w:t>
      </w:r>
      <w:proofErr w:type="gramStart"/>
      <w:r w:rsidRPr="00A35FB6">
        <w:rPr>
          <w:rFonts w:asciiTheme="minorHAnsi" w:hAnsiTheme="minorHAnsi"/>
        </w:rPr>
        <w:t>Between 2017-2018,</w:t>
      </w:r>
      <w:proofErr w:type="gramEnd"/>
      <w:r w:rsidRPr="00A35FB6">
        <w:rPr>
          <w:rFonts w:asciiTheme="minorHAnsi" w:hAnsiTheme="minorHAnsi"/>
        </w:rPr>
        <w:t xml:space="preserve"> a huge population of 750,000 </w:t>
      </w:r>
      <w:proofErr w:type="spellStart"/>
      <w:r w:rsidRPr="00A35FB6">
        <w:rPr>
          <w:rFonts w:asciiTheme="minorHAnsi" w:hAnsiTheme="minorHAnsi"/>
        </w:rPr>
        <w:t>Rohingyas</w:t>
      </w:r>
      <w:proofErr w:type="spellEnd"/>
      <w:r w:rsidRPr="00A35FB6">
        <w:rPr>
          <w:rFonts w:asciiTheme="minorHAnsi" w:hAnsiTheme="minorHAnsi"/>
        </w:rPr>
        <w:t xml:space="preserve">- the FDMNs (Forcibly Displaced Myanmar Nationals) took refuge in Bangladesh. The huge new </w:t>
      </w:r>
      <w:proofErr w:type="gramStart"/>
      <w:r w:rsidRPr="00A35FB6">
        <w:rPr>
          <w:rFonts w:asciiTheme="minorHAnsi" w:hAnsiTheme="minorHAnsi"/>
        </w:rPr>
        <w:t>exodus  strained</w:t>
      </w:r>
      <w:proofErr w:type="gramEnd"/>
      <w:r w:rsidRPr="00A35FB6">
        <w:rPr>
          <w:rFonts w:asciiTheme="minorHAnsi" w:hAnsiTheme="minorHAnsi"/>
        </w:rPr>
        <w:t xml:space="preserve"> the local health system in 2 districts of Chittagong Division where the FDMNs had settled down. The health status of this population was precarious on arrival, and there w</w:t>
      </w:r>
      <w:r w:rsidR="00EF5CBB">
        <w:rPr>
          <w:rFonts w:asciiTheme="minorHAnsi" w:hAnsiTheme="minorHAnsi"/>
        </w:rPr>
        <w:t xml:space="preserve">ere threats of outbreak </w:t>
      </w:r>
      <w:proofErr w:type="gramStart"/>
      <w:r w:rsidR="00EF5CBB">
        <w:rPr>
          <w:rFonts w:asciiTheme="minorHAnsi" w:hAnsiTheme="minorHAnsi"/>
        </w:rPr>
        <w:t xml:space="preserve">of </w:t>
      </w:r>
      <w:r w:rsidRPr="00A35FB6">
        <w:rPr>
          <w:rFonts w:asciiTheme="minorHAnsi" w:hAnsiTheme="minorHAnsi"/>
        </w:rPr>
        <w:t xml:space="preserve"> major</w:t>
      </w:r>
      <w:proofErr w:type="gramEnd"/>
      <w:r w:rsidRPr="00A35FB6">
        <w:rPr>
          <w:rFonts w:asciiTheme="minorHAnsi" w:hAnsiTheme="minorHAnsi"/>
        </w:rPr>
        <w:t xml:space="preserve"> epidemics which were successfully managed. Although </w:t>
      </w:r>
      <w:proofErr w:type="spellStart"/>
      <w:r w:rsidRPr="00A35FB6">
        <w:rPr>
          <w:rFonts w:asciiTheme="minorHAnsi" w:hAnsiTheme="minorHAnsi"/>
        </w:rPr>
        <w:t>GoB</w:t>
      </w:r>
      <w:proofErr w:type="spellEnd"/>
      <w:r w:rsidRPr="00A35FB6">
        <w:rPr>
          <w:rFonts w:asciiTheme="minorHAnsi" w:hAnsiTheme="minorHAnsi"/>
        </w:rPr>
        <w:t xml:space="preserve"> has responded effectively to the challenge of setting up services for this group, meeting continued health needs of this population will impose an additional burden on health financing and local health infrastructure, which will implications for the entire health sector, including implementation of RMNCAH activities through competition for financial and programme management resources. </w:t>
      </w:r>
    </w:p>
    <w:p w:rsidR="0089193C" w:rsidRDefault="0089193C" w:rsidP="0089193C">
      <w:pPr>
        <w:pStyle w:val="ListParagraph"/>
        <w:ind w:hanging="630"/>
        <w:jc w:val="both"/>
        <w:rPr>
          <w:rFonts w:asciiTheme="minorHAnsi" w:hAnsiTheme="minorHAnsi"/>
        </w:rPr>
      </w:pPr>
    </w:p>
    <w:p w:rsidR="0089193C" w:rsidRPr="0089193C" w:rsidRDefault="0089193C" w:rsidP="0089193C">
      <w:pPr>
        <w:pStyle w:val="ListParagraph"/>
        <w:numPr>
          <w:ilvl w:val="0"/>
          <w:numId w:val="2"/>
        </w:numPr>
        <w:ind w:left="360"/>
        <w:jc w:val="both"/>
        <w:rPr>
          <w:rFonts w:asciiTheme="minorHAnsi" w:hAnsiTheme="minorHAnsi"/>
          <w:b/>
        </w:rPr>
      </w:pPr>
      <w:r>
        <w:rPr>
          <w:rFonts w:asciiTheme="minorHAnsi" w:hAnsiTheme="minorHAnsi"/>
          <w:b/>
        </w:rPr>
        <w:t>Methodology</w:t>
      </w:r>
    </w:p>
    <w:p w:rsidR="00676A40" w:rsidRPr="00A35FB6" w:rsidRDefault="00EF5CBB" w:rsidP="0089193C">
      <w:pPr>
        <w:jc w:val="both"/>
        <w:rPr>
          <w:rFonts w:asciiTheme="minorHAnsi" w:hAnsiTheme="minorHAnsi"/>
        </w:rPr>
      </w:pPr>
      <w:r>
        <w:rPr>
          <w:rFonts w:asciiTheme="minorHAnsi" w:hAnsiTheme="minorHAnsi"/>
        </w:rPr>
        <w:t xml:space="preserve">APR 2018 was conducted during January 20-February 20 2019. The </w:t>
      </w:r>
      <w:r w:rsidR="005D2F28">
        <w:rPr>
          <w:rFonts w:asciiTheme="minorHAnsi" w:hAnsiTheme="minorHAnsi"/>
        </w:rPr>
        <w:t xml:space="preserve">RMNCAH </w:t>
      </w:r>
      <w:r>
        <w:rPr>
          <w:rFonts w:asciiTheme="minorHAnsi" w:hAnsiTheme="minorHAnsi"/>
        </w:rPr>
        <w:t xml:space="preserve">component involved five OPs- NMES, MNCAH, MRCAH, CBHC and </w:t>
      </w:r>
      <w:proofErr w:type="spellStart"/>
      <w:r>
        <w:rPr>
          <w:rFonts w:asciiTheme="minorHAnsi" w:hAnsiTheme="minorHAnsi"/>
        </w:rPr>
        <w:t>HSM.</w:t>
      </w:r>
      <w:r w:rsidR="0089193C">
        <w:rPr>
          <w:rFonts w:asciiTheme="minorHAnsi" w:hAnsiTheme="minorHAnsi"/>
        </w:rPr>
        <w:t>Progress</w:t>
      </w:r>
      <w:proofErr w:type="spellEnd"/>
      <w:r w:rsidR="0089193C">
        <w:rPr>
          <w:rFonts w:asciiTheme="minorHAnsi" w:hAnsiTheme="minorHAnsi"/>
        </w:rPr>
        <w:t xml:space="preserve"> </w:t>
      </w:r>
      <w:proofErr w:type="spellStart"/>
      <w:r w:rsidR="00A82284">
        <w:rPr>
          <w:rFonts w:asciiTheme="minorHAnsi" w:hAnsiTheme="minorHAnsi"/>
        </w:rPr>
        <w:t>was</w:t>
      </w:r>
      <w:r w:rsidR="0089193C">
        <w:rPr>
          <w:rFonts w:asciiTheme="minorHAnsi" w:hAnsiTheme="minorHAnsi"/>
        </w:rPr>
        <w:t>assessed</w:t>
      </w:r>
      <w:proofErr w:type="spellEnd"/>
      <w:r w:rsidR="00F91AC4">
        <w:rPr>
          <w:rFonts w:asciiTheme="minorHAnsi" w:hAnsiTheme="minorHAnsi"/>
        </w:rPr>
        <w:t xml:space="preserve"> and challenges identified</w:t>
      </w:r>
      <w:r w:rsidR="0089193C">
        <w:rPr>
          <w:rFonts w:asciiTheme="minorHAnsi" w:hAnsiTheme="minorHAnsi"/>
        </w:rPr>
        <w:t xml:space="preserve"> on the basis of the APIR </w:t>
      </w:r>
      <w:r w:rsidR="00F91AC4">
        <w:rPr>
          <w:rFonts w:asciiTheme="minorHAnsi" w:hAnsiTheme="minorHAnsi"/>
        </w:rPr>
        <w:t xml:space="preserve">report </w:t>
      </w:r>
      <w:r w:rsidR="0089193C">
        <w:rPr>
          <w:rFonts w:asciiTheme="minorHAnsi" w:hAnsiTheme="minorHAnsi"/>
        </w:rPr>
        <w:t>prepared by Project Management and Monitoring Unit, an independent arm of the MOHFW</w:t>
      </w:r>
      <w:r w:rsidR="00A82284">
        <w:rPr>
          <w:rFonts w:asciiTheme="minorHAnsi" w:hAnsiTheme="minorHAnsi"/>
        </w:rPr>
        <w:t xml:space="preserve">. The </w:t>
      </w:r>
      <w:r>
        <w:rPr>
          <w:rFonts w:asciiTheme="minorHAnsi" w:hAnsiTheme="minorHAnsi"/>
        </w:rPr>
        <w:t xml:space="preserve">IRT (Independent Review Team) </w:t>
      </w:r>
      <w:r w:rsidR="00A82284">
        <w:rPr>
          <w:rFonts w:asciiTheme="minorHAnsi" w:hAnsiTheme="minorHAnsi"/>
        </w:rPr>
        <w:t>Consultant also</w:t>
      </w:r>
      <w:r w:rsidR="0089193C">
        <w:rPr>
          <w:rFonts w:asciiTheme="minorHAnsi" w:hAnsiTheme="minorHAnsi"/>
        </w:rPr>
        <w:t xml:space="preserve"> review</w:t>
      </w:r>
      <w:r w:rsidR="00A82284">
        <w:rPr>
          <w:rFonts w:asciiTheme="minorHAnsi" w:hAnsiTheme="minorHAnsi"/>
        </w:rPr>
        <w:t>ed a</w:t>
      </w:r>
      <w:r w:rsidR="0089193C">
        <w:rPr>
          <w:rFonts w:asciiTheme="minorHAnsi" w:hAnsiTheme="minorHAnsi"/>
        </w:rPr>
        <w:t xml:space="preserve"> wide range of documents and websites, </w:t>
      </w:r>
      <w:proofErr w:type="spellStart"/>
      <w:r w:rsidR="0089193C">
        <w:rPr>
          <w:rFonts w:asciiTheme="minorHAnsi" w:hAnsiTheme="minorHAnsi"/>
        </w:rPr>
        <w:t>and</w:t>
      </w:r>
      <w:r w:rsidR="00A82284">
        <w:rPr>
          <w:rFonts w:asciiTheme="minorHAnsi" w:hAnsiTheme="minorHAnsi"/>
        </w:rPr>
        <w:t>conducted</w:t>
      </w:r>
      <w:proofErr w:type="spellEnd"/>
      <w:r w:rsidR="00A82284">
        <w:rPr>
          <w:rFonts w:asciiTheme="minorHAnsi" w:hAnsiTheme="minorHAnsi"/>
        </w:rPr>
        <w:t xml:space="preserve"> </w:t>
      </w:r>
      <w:r w:rsidR="0089193C">
        <w:rPr>
          <w:rFonts w:asciiTheme="minorHAnsi" w:hAnsiTheme="minorHAnsi"/>
        </w:rPr>
        <w:t xml:space="preserve">key informant interviews. A field visit was </w:t>
      </w:r>
      <w:r>
        <w:rPr>
          <w:rFonts w:asciiTheme="minorHAnsi" w:hAnsiTheme="minorHAnsi"/>
        </w:rPr>
        <w:t>to</w:t>
      </w:r>
      <w:r w:rsidR="0089193C">
        <w:rPr>
          <w:rFonts w:asciiTheme="minorHAnsi" w:hAnsiTheme="minorHAnsi"/>
        </w:rPr>
        <w:t xml:space="preserve"> </w:t>
      </w:r>
      <w:proofErr w:type="spellStart"/>
      <w:r w:rsidR="0089193C">
        <w:rPr>
          <w:rFonts w:asciiTheme="minorHAnsi" w:hAnsiTheme="minorHAnsi"/>
        </w:rPr>
        <w:t>Sylhet</w:t>
      </w:r>
      <w:proofErr w:type="spellEnd"/>
      <w:r w:rsidR="0089193C">
        <w:rPr>
          <w:rFonts w:asciiTheme="minorHAnsi" w:hAnsiTheme="minorHAnsi"/>
        </w:rPr>
        <w:t xml:space="preserve"> and </w:t>
      </w:r>
      <w:proofErr w:type="spellStart"/>
      <w:r w:rsidR="0089193C">
        <w:rPr>
          <w:rFonts w:asciiTheme="minorHAnsi" w:hAnsiTheme="minorHAnsi"/>
        </w:rPr>
        <w:t>Sunamganj</w:t>
      </w:r>
      <w:proofErr w:type="spellEnd"/>
      <w:r w:rsidR="0089193C">
        <w:rPr>
          <w:rFonts w:asciiTheme="minorHAnsi" w:hAnsiTheme="minorHAnsi"/>
        </w:rPr>
        <w:t xml:space="preserve"> district </w:t>
      </w:r>
      <w:r>
        <w:rPr>
          <w:rFonts w:asciiTheme="minorHAnsi" w:hAnsiTheme="minorHAnsi"/>
        </w:rPr>
        <w:t xml:space="preserve">was undertaken </w:t>
      </w:r>
      <w:r w:rsidR="0089193C">
        <w:rPr>
          <w:rFonts w:asciiTheme="minorHAnsi" w:hAnsiTheme="minorHAnsi"/>
        </w:rPr>
        <w:t>to observe various levels of government and NGO service delivery facilities first hand</w:t>
      </w:r>
      <w:r w:rsidR="00F91AC4">
        <w:rPr>
          <w:rFonts w:asciiTheme="minorHAnsi" w:hAnsiTheme="minorHAnsi"/>
        </w:rPr>
        <w:t xml:space="preserve"> and interact with </w:t>
      </w:r>
      <w:proofErr w:type="gramStart"/>
      <w:r w:rsidR="00A82284">
        <w:rPr>
          <w:rFonts w:asciiTheme="minorHAnsi" w:hAnsiTheme="minorHAnsi"/>
        </w:rPr>
        <w:t>providers</w:t>
      </w:r>
      <w:proofErr w:type="gramEnd"/>
      <w:r w:rsidR="00A82284">
        <w:rPr>
          <w:rFonts w:asciiTheme="minorHAnsi" w:hAnsiTheme="minorHAnsi"/>
        </w:rPr>
        <w:t xml:space="preserve"> </w:t>
      </w:r>
      <w:r w:rsidR="00F91AC4">
        <w:rPr>
          <w:rFonts w:asciiTheme="minorHAnsi" w:hAnsiTheme="minorHAnsi"/>
        </w:rPr>
        <w:t xml:space="preserve">beneficiaries. The </w:t>
      </w:r>
      <w:r w:rsidR="00A82284">
        <w:rPr>
          <w:rFonts w:asciiTheme="minorHAnsi" w:hAnsiTheme="minorHAnsi"/>
        </w:rPr>
        <w:t xml:space="preserve">preliminary </w:t>
      </w:r>
      <w:r w:rsidR="00F91AC4">
        <w:rPr>
          <w:rFonts w:asciiTheme="minorHAnsi" w:hAnsiTheme="minorHAnsi"/>
        </w:rPr>
        <w:t xml:space="preserve">findings were shared in a </w:t>
      </w:r>
      <w:proofErr w:type="spellStart"/>
      <w:r w:rsidR="00F91AC4">
        <w:rPr>
          <w:rFonts w:asciiTheme="minorHAnsi" w:hAnsiTheme="minorHAnsi"/>
        </w:rPr>
        <w:t>GoB</w:t>
      </w:r>
      <w:proofErr w:type="spellEnd"/>
      <w:r w:rsidR="00F91AC4">
        <w:rPr>
          <w:rFonts w:asciiTheme="minorHAnsi" w:hAnsiTheme="minorHAnsi"/>
        </w:rPr>
        <w:t>-DPs’ Task Group meeting initially. A Policy Dialogue was held towards the end of the assignment to collect feedback f</w:t>
      </w:r>
      <w:r>
        <w:rPr>
          <w:rFonts w:asciiTheme="minorHAnsi" w:hAnsiTheme="minorHAnsi"/>
        </w:rPr>
        <w:t>rom</w:t>
      </w:r>
      <w:r w:rsidR="00F91AC4">
        <w:rPr>
          <w:rFonts w:asciiTheme="minorHAnsi" w:hAnsiTheme="minorHAnsi"/>
        </w:rPr>
        <w:t xml:space="preserve"> a wide</w:t>
      </w:r>
      <w:r w:rsidR="00A82284">
        <w:rPr>
          <w:rFonts w:asciiTheme="minorHAnsi" w:hAnsiTheme="minorHAnsi"/>
        </w:rPr>
        <w:t>r</w:t>
      </w:r>
      <w:r w:rsidR="00F91AC4">
        <w:rPr>
          <w:rFonts w:asciiTheme="minorHAnsi" w:hAnsiTheme="minorHAnsi"/>
        </w:rPr>
        <w:t xml:space="preserve"> range of stakeholders including MOHFW</w:t>
      </w:r>
      <w:r w:rsidR="00A82284">
        <w:rPr>
          <w:rFonts w:asciiTheme="minorHAnsi" w:hAnsiTheme="minorHAnsi"/>
        </w:rPr>
        <w:t>, DGHS and DGFP</w:t>
      </w:r>
      <w:r w:rsidR="00F91AC4">
        <w:rPr>
          <w:rFonts w:asciiTheme="minorHAnsi" w:hAnsiTheme="minorHAnsi"/>
        </w:rPr>
        <w:t xml:space="preserve"> officials and DP representatives and finalised with incorporation of comments and suggestions from the audience. The entire exercise was carried out </w:t>
      </w:r>
      <w:proofErr w:type="gramStart"/>
      <w:r w:rsidR="00F91AC4">
        <w:rPr>
          <w:rFonts w:asciiTheme="minorHAnsi" w:hAnsiTheme="minorHAnsi"/>
        </w:rPr>
        <w:t>between January 20-February 20, 2019</w:t>
      </w:r>
      <w:proofErr w:type="gramEnd"/>
      <w:r w:rsidR="00F91AC4">
        <w:rPr>
          <w:rFonts w:asciiTheme="minorHAnsi" w:hAnsiTheme="minorHAnsi"/>
        </w:rPr>
        <w:t>.</w:t>
      </w:r>
    </w:p>
    <w:p w:rsidR="00676A40" w:rsidRPr="00A35FB6" w:rsidRDefault="00676A40" w:rsidP="008237BF">
      <w:pPr>
        <w:pStyle w:val="ListParagraph"/>
        <w:numPr>
          <w:ilvl w:val="0"/>
          <w:numId w:val="2"/>
        </w:numPr>
        <w:ind w:left="360"/>
        <w:jc w:val="both"/>
        <w:rPr>
          <w:rFonts w:asciiTheme="minorHAnsi" w:hAnsiTheme="minorHAnsi"/>
          <w:b/>
        </w:rPr>
      </w:pPr>
      <w:r w:rsidRPr="00A35FB6">
        <w:rPr>
          <w:rFonts w:asciiTheme="minorHAnsi" w:hAnsiTheme="minorHAnsi"/>
          <w:b/>
        </w:rPr>
        <w:t>Progress</w:t>
      </w:r>
    </w:p>
    <w:p w:rsidR="00676A40" w:rsidRDefault="00676A40" w:rsidP="00676A40">
      <w:pPr>
        <w:pStyle w:val="ListParagraph"/>
        <w:ind w:left="0"/>
        <w:jc w:val="both"/>
        <w:rPr>
          <w:rFonts w:asciiTheme="minorHAnsi" w:hAnsiTheme="minorHAnsi"/>
        </w:rPr>
      </w:pPr>
      <w:r w:rsidRPr="00A35FB6">
        <w:rPr>
          <w:rFonts w:asciiTheme="minorHAnsi" w:hAnsiTheme="minorHAnsi"/>
        </w:rPr>
        <w:t>Five OPs were included under the RMNCAH thematic area: Nursing and Midwifery Education Services (NMES), Maternal, Neonatal, Child and Adolescent Health (MNCAH), Maternal, Child, Reproductive and Adolescent Health (MCRAH), Community based Health Care (CBHC) and Hospital Services management (HSM). All of these O</w:t>
      </w:r>
      <w:r w:rsidR="00694896">
        <w:rPr>
          <w:rFonts w:asciiTheme="minorHAnsi" w:hAnsiTheme="minorHAnsi"/>
        </w:rPr>
        <w:t>P</w:t>
      </w:r>
      <w:r w:rsidRPr="00A35FB6">
        <w:rPr>
          <w:rFonts w:asciiTheme="minorHAnsi" w:hAnsiTheme="minorHAnsi"/>
        </w:rPr>
        <w:t xml:space="preserve">s, except MCRAH </w:t>
      </w:r>
      <w:r w:rsidR="00455E07">
        <w:rPr>
          <w:rFonts w:asciiTheme="minorHAnsi" w:hAnsiTheme="minorHAnsi"/>
        </w:rPr>
        <w:t xml:space="preserve">are </w:t>
      </w:r>
      <w:r w:rsidRPr="00A35FB6">
        <w:rPr>
          <w:rFonts w:asciiTheme="minorHAnsi" w:hAnsiTheme="minorHAnsi"/>
        </w:rPr>
        <w:t xml:space="preserve">within the purview of DGHS/HSD; MCRAH </w:t>
      </w:r>
      <w:proofErr w:type="gramStart"/>
      <w:r w:rsidRPr="00A35FB6">
        <w:rPr>
          <w:rFonts w:asciiTheme="minorHAnsi" w:hAnsiTheme="minorHAnsi"/>
        </w:rPr>
        <w:t>is  within</w:t>
      </w:r>
      <w:proofErr w:type="gramEnd"/>
      <w:r w:rsidRPr="00A35FB6">
        <w:rPr>
          <w:rFonts w:asciiTheme="minorHAnsi" w:hAnsiTheme="minorHAnsi"/>
        </w:rPr>
        <w:t xml:space="preserve"> the purview of DGFP/ME&amp;FW Division.</w:t>
      </w:r>
    </w:p>
    <w:p w:rsidR="0089193C" w:rsidRDefault="0089193C" w:rsidP="00676A40">
      <w:pPr>
        <w:pStyle w:val="ListParagraph"/>
        <w:ind w:left="0"/>
        <w:jc w:val="both"/>
        <w:rPr>
          <w:rFonts w:asciiTheme="minorHAnsi" w:hAnsiTheme="minorHAnsi"/>
        </w:rPr>
      </w:pPr>
    </w:p>
    <w:p w:rsidR="00B752DB" w:rsidRDefault="00B752DB" w:rsidP="00676A40">
      <w:pPr>
        <w:pStyle w:val="ListParagraph"/>
        <w:ind w:left="0"/>
        <w:jc w:val="both"/>
        <w:rPr>
          <w:rFonts w:asciiTheme="minorHAnsi" w:hAnsiTheme="minorHAnsi"/>
        </w:rPr>
      </w:pPr>
    </w:p>
    <w:p w:rsidR="00B752DB" w:rsidRDefault="00B752DB" w:rsidP="00676A40">
      <w:pPr>
        <w:pStyle w:val="ListParagraph"/>
        <w:ind w:left="0"/>
        <w:jc w:val="both"/>
        <w:rPr>
          <w:rFonts w:asciiTheme="minorHAnsi" w:hAnsiTheme="minorHAnsi"/>
        </w:rPr>
      </w:pPr>
    </w:p>
    <w:p w:rsidR="00676A40" w:rsidRPr="00A35FB6" w:rsidRDefault="00676A40" w:rsidP="008237BF">
      <w:pPr>
        <w:pStyle w:val="ListParagraph"/>
        <w:numPr>
          <w:ilvl w:val="1"/>
          <w:numId w:val="2"/>
        </w:numPr>
        <w:ind w:left="360" w:hanging="360"/>
        <w:jc w:val="both"/>
        <w:rPr>
          <w:rFonts w:asciiTheme="minorHAnsi" w:hAnsiTheme="minorHAnsi"/>
          <w:b/>
          <w:i/>
        </w:rPr>
      </w:pPr>
      <w:r w:rsidRPr="00A35FB6">
        <w:rPr>
          <w:rFonts w:asciiTheme="minorHAnsi" w:hAnsiTheme="minorHAnsi"/>
          <w:b/>
          <w:i/>
        </w:rPr>
        <w:lastRenderedPageBreak/>
        <w:t>Progress in general</w:t>
      </w: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 xml:space="preserve">This APR covers the initial 18 months of a five and half years programme (January 2017-June 2018). There were two streams of activities in this phase- </w:t>
      </w:r>
    </w:p>
    <w:p w:rsidR="00676A40" w:rsidRPr="00A35FB6" w:rsidRDefault="00676A40" w:rsidP="00676A40">
      <w:pPr>
        <w:pStyle w:val="ListParagraph"/>
        <w:numPr>
          <w:ilvl w:val="0"/>
          <w:numId w:val="3"/>
        </w:numPr>
        <w:jc w:val="both"/>
        <w:rPr>
          <w:rFonts w:asciiTheme="minorHAnsi" w:hAnsiTheme="minorHAnsi"/>
        </w:rPr>
      </w:pPr>
      <w:r w:rsidRPr="00A35FB6">
        <w:rPr>
          <w:rFonts w:asciiTheme="minorHAnsi" w:hAnsiTheme="minorHAnsi"/>
        </w:rPr>
        <w:t xml:space="preserve">closing the erstwhile Health, Population, Nutrition Sector Development Programme (HPNSDP)and , prepare for launching of HPNSP </w:t>
      </w:r>
    </w:p>
    <w:p w:rsidR="00676A40" w:rsidRPr="00A35FB6" w:rsidRDefault="00676A40" w:rsidP="00676A40">
      <w:pPr>
        <w:pStyle w:val="ListParagraph"/>
        <w:numPr>
          <w:ilvl w:val="0"/>
          <w:numId w:val="3"/>
        </w:numPr>
        <w:jc w:val="both"/>
        <w:rPr>
          <w:rFonts w:asciiTheme="minorHAnsi" w:hAnsiTheme="minorHAnsi"/>
        </w:rPr>
      </w:pPr>
      <w:r w:rsidRPr="00A35FB6">
        <w:rPr>
          <w:rFonts w:asciiTheme="minorHAnsi" w:hAnsiTheme="minorHAnsi"/>
        </w:rPr>
        <w:t xml:space="preserve">preparation for, and in some cases introduction of new initiatives under HPNSP </w:t>
      </w:r>
    </w:p>
    <w:p w:rsidR="00676A40" w:rsidRPr="00A35FB6" w:rsidRDefault="00676A40" w:rsidP="00676A40">
      <w:pPr>
        <w:jc w:val="both"/>
        <w:rPr>
          <w:rFonts w:asciiTheme="minorHAnsi" w:hAnsiTheme="minorHAnsi"/>
        </w:rPr>
      </w:pPr>
      <w:r w:rsidRPr="00A35FB6">
        <w:rPr>
          <w:rFonts w:asciiTheme="minorHAnsi" w:hAnsiTheme="minorHAnsi"/>
        </w:rPr>
        <w:t xml:space="preserve">The first six months of HPNSP focussed on closing HPNSDP and getting the ground ready for implementation of HPNSP. Although HPNSP began in January 2017, the Strategic Implementation Plan (SIP) was approved in March 2016 and the OPs in May 2016. This paved the way for release of the first tranche of funds for the programme in May 2017. The next tranche of funds for various OPs were released in July/August and implementation of HPNSP began </w:t>
      </w:r>
      <w:r w:rsidRPr="00A35FB6">
        <w:rPr>
          <w:rFonts w:asciiTheme="minorHAnsi" w:hAnsiTheme="minorHAnsi"/>
          <w:i/>
        </w:rPr>
        <w:t>in earnest</w:t>
      </w:r>
      <w:r w:rsidRPr="00A35FB6">
        <w:rPr>
          <w:rFonts w:asciiTheme="minorHAnsi" w:hAnsiTheme="minorHAnsi"/>
        </w:rPr>
        <w:t xml:space="preserve">. </w:t>
      </w:r>
      <w:proofErr w:type="gramStart"/>
      <w:r w:rsidRPr="00A35FB6">
        <w:rPr>
          <w:rFonts w:asciiTheme="minorHAnsi" w:hAnsiTheme="minorHAnsi"/>
        </w:rPr>
        <w:t>Between July 2017 to June 2018,</w:t>
      </w:r>
      <w:proofErr w:type="gramEnd"/>
      <w:r w:rsidRPr="00A35FB6">
        <w:rPr>
          <w:rFonts w:asciiTheme="minorHAnsi" w:hAnsiTheme="minorHAnsi"/>
        </w:rPr>
        <w:t xml:space="preserve"> several important initiatives were undertaken in the RMNCAH area which formed the foundation </w:t>
      </w:r>
      <w:proofErr w:type="spellStart"/>
      <w:r w:rsidRPr="00A35FB6">
        <w:rPr>
          <w:rFonts w:asciiTheme="minorHAnsi" w:hAnsiTheme="minorHAnsi"/>
        </w:rPr>
        <w:t>forimplementingspecific</w:t>
      </w:r>
      <w:proofErr w:type="spellEnd"/>
      <w:r w:rsidRPr="00A35FB6">
        <w:rPr>
          <w:rFonts w:asciiTheme="minorHAnsi" w:hAnsiTheme="minorHAnsi"/>
        </w:rPr>
        <w:t xml:space="preserve"> interventions later. These included:</w:t>
      </w:r>
    </w:p>
    <w:p w:rsidR="00676A40" w:rsidRPr="00A35FB6" w:rsidRDefault="00676A40" w:rsidP="00676A40">
      <w:pPr>
        <w:pStyle w:val="ListParagraph"/>
        <w:numPr>
          <w:ilvl w:val="0"/>
          <w:numId w:val="4"/>
        </w:numPr>
        <w:jc w:val="both"/>
        <w:rPr>
          <w:rFonts w:asciiTheme="minorHAnsi" w:hAnsiTheme="minorHAnsi"/>
        </w:rPr>
      </w:pPr>
      <w:r w:rsidRPr="00A35FB6">
        <w:rPr>
          <w:rFonts w:asciiTheme="minorHAnsi" w:hAnsiTheme="minorHAnsi"/>
        </w:rPr>
        <w:t xml:space="preserve">A range of technical and management training/orientations/workshops </w:t>
      </w:r>
    </w:p>
    <w:p w:rsidR="00676A40" w:rsidRPr="00A35FB6" w:rsidRDefault="00676A40" w:rsidP="00676A40">
      <w:pPr>
        <w:pStyle w:val="ListParagraph"/>
        <w:numPr>
          <w:ilvl w:val="0"/>
          <w:numId w:val="4"/>
        </w:numPr>
        <w:jc w:val="both"/>
        <w:rPr>
          <w:rFonts w:asciiTheme="minorHAnsi" w:hAnsiTheme="minorHAnsi"/>
        </w:rPr>
      </w:pPr>
      <w:r w:rsidRPr="00A35FB6">
        <w:rPr>
          <w:rFonts w:asciiTheme="minorHAnsi" w:hAnsiTheme="minorHAnsi"/>
        </w:rPr>
        <w:t xml:space="preserve">Procurement of a range of clinical and non-clinical equipment and supplies </w:t>
      </w:r>
    </w:p>
    <w:p w:rsidR="00676A40" w:rsidRPr="00A35FB6" w:rsidRDefault="00676A40" w:rsidP="00676A40">
      <w:pPr>
        <w:pStyle w:val="ListParagraph"/>
        <w:numPr>
          <w:ilvl w:val="0"/>
          <w:numId w:val="4"/>
        </w:numPr>
        <w:jc w:val="both"/>
        <w:rPr>
          <w:rFonts w:asciiTheme="minorHAnsi" w:hAnsiTheme="minorHAnsi"/>
        </w:rPr>
      </w:pPr>
      <w:r w:rsidRPr="00A35FB6">
        <w:rPr>
          <w:rFonts w:asciiTheme="minorHAnsi" w:hAnsiTheme="minorHAnsi"/>
        </w:rPr>
        <w:t>Developing/finalisation of guidelines (e.g.  facility readiness, geriatric care, standard laboratory services)</w:t>
      </w:r>
    </w:p>
    <w:p w:rsidR="00676A40" w:rsidRPr="00A35FB6" w:rsidRDefault="00676A40" w:rsidP="00676A40">
      <w:pPr>
        <w:pStyle w:val="ListParagraph"/>
        <w:numPr>
          <w:ilvl w:val="0"/>
          <w:numId w:val="4"/>
        </w:numPr>
        <w:jc w:val="both"/>
        <w:rPr>
          <w:rFonts w:asciiTheme="minorHAnsi" w:hAnsiTheme="minorHAnsi"/>
        </w:rPr>
      </w:pPr>
      <w:r w:rsidRPr="00A35FB6">
        <w:rPr>
          <w:rFonts w:asciiTheme="minorHAnsi" w:hAnsiTheme="minorHAnsi"/>
        </w:rPr>
        <w:t>Development/design of systems (e.g. referral system between from CCs to UHCs, adolescent friendly services)</w:t>
      </w:r>
    </w:p>
    <w:p w:rsidR="00676A40" w:rsidRPr="00A35FB6" w:rsidRDefault="00676A40" w:rsidP="00676A40">
      <w:pPr>
        <w:pStyle w:val="ListParagraph"/>
        <w:numPr>
          <w:ilvl w:val="0"/>
          <w:numId w:val="4"/>
        </w:numPr>
        <w:jc w:val="both"/>
        <w:rPr>
          <w:rFonts w:asciiTheme="minorHAnsi" w:hAnsiTheme="minorHAnsi"/>
        </w:rPr>
      </w:pPr>
      <w:r w:rsidRPr="00A35FB6">
        <w:rPr>
          <w:rFonts w:asciiTheme="minorHAnsi" w:hAnsiTheme="minorHAnsi"/>
        </w:rPr>
        <w:t xml:space="preserve">Development  of Maternal Health Strategy, </w:t>
      </w:r>
      <w:r w:rsidR="00455E07">
        <w:rPr>
          <w:rFonts w:asciiTheme="minorHAnsi" w:hAnsiTheme="minorHAnsi"/>
        </w:rPr>
        <w:t xml:space="preserve">Adolescent </w:t>
      </w:r>
      <w:r w:rsidRPr="00A35FB6">
        <w:rPr>
          <w:rFonts w:asciiTheme="minorHAnsi" w:hAnsiTheme="minorHAnsi"/>
        </w:rPr>
        <w:t>Health Strategy</w:t>
      </w:r>
    </w:p>
    <w:p w:rsidR="00676A40" w:rsidRPr="00A35FB6" w:rsidRDefault="00676A40" w:rsidP="00676A40">
      <w:pPr>
        <w:pStyle w:val="ListParagraph"/>
        <w:numPr>
          <w:ilvl w:val="0"/>
          <w:numId w:val="4"/>
        </w:numPr>
        <w:jc w:val="both"/>
        <w:rPr>
          <w:rFonts w:asciiTheme="minorHAnsi" w:hAnsiTheme="minorHAnsi"/>
        </w:rPr>
      </w:pPr>
      <w:r w:rsidRPr="00A35FB6">
        <w:rPr>
          <w:rFonts w:asciiTheme="minorHAnsi" w:hAnsiTheme="minorHAnsi"/>
        </w:rPr>
        <w:t xml:space="preserve">Recruitment and licensing of first and second batches of direct entry midwives </w:t>
      </w:r>
      <w:r w:rsidR="00455E07">
        <w:rPr>
          <w:rFonts w:asciiTheme="minorHAnsi" w:hAnsiTheme="minorHAnsi"/>
        </w:rPr>
        <w:t>(</w:t>
      </w:r>
      <w:r w:rsidRPr="00A35FB6">
        <w:rPr>
          <w:rFonts w:asciiTheme="minorHAnsi" w:hAnsiTheme="minorHAnsi"/>
        </w:rPr>
        <w:t>who however could not be deployed immediately due to long process of obtaining police clearance, necessary before deployment</w:t>
      </w:r>
      <w:r w:rsidR="00455E07">
        <w:rPr>
          <w:rFonts w:asciiTheme="minorHAnsi" w:hAnsiTheme="minorHAnsi"/>
        </w:rPr>
        <w:t>)</w:t>
      </w:r>
      <w:r w:rsidRPr="00A35FB6">
        <w:rPr>
          <w:rFonts w:asciiTheme="minorHAnsi" w:hAnsiTheme="minorHAnsi"/>
        </w:rPr>
        <w:t>.</w:t>
      </w:r>
    </w:p>
    <w:p w:rsidR="00676A40" w:rsidRPr="00A35FB6" w:rsidRDefault="00676A40" w:rsidP="00676A40">
      <w:pPr>
        <w:jc w:val="both"/>
        <w:rPr>
          <w:rFonts w:asciiTheme="minorHAnsi" w:hAnsiTheme="minorHAnsi"/>
        </w:rPr>
      </w:pPr>
      <w:r w:rsidRPr="00A35FB6">
        <w:rPr>
          <w:rFonts w:asciiTheme="minorHAnsi" w:hAnsiTheme="minorHAnsi"/>
        </w:rPr>
        <w:t xml:space="preserve">The </w:t>
      </w:r>
      <w:proofErr w:type="spellStart"/>
      <w:r w:rsidRPr="00A35FB6">
        <w:rPr>
          <w:rFonts w:asciiTheme="minorHAnsi" w:hAnsiTheme="minorHAnsi"/>
        </w:rPr>
        <w:t>Rohingya</w:t>
      </w:r>
      <w:proofErr w:type="spellEnd"/>
      <w:r w:rsidRPr="00A35FB6">
        <w:rPr>
          <w:rFonts w:asciiTheme="minorHAnsi" w:hAnsiTheme="minorHAnsi"/>
        </w:rPr>
        <w:t xml:space="preserve"> crisis which started to unfold from late August created additional management challenge for concerned officials across the sector as services had to be set up almost overnight to respond to their urgent RMNCAH and other health needs. It was apparent that </w:t>
      </w:r>
      <w:proofErr w:type="spellStart"/>
      <w:r w:rsidRPr="00A35FB6">
        <w:rPr>
          <w:rFonts w:asciiTheme="minorHAnsi" w:hAnsiTheme="minorHAnsi"/>
        </w:rPr>
        <w:t>GoB’s</w:t>
      </w:r>
      <w:proofErr w:type="spellEnd"/>
      <w:r w:rsidRPr="00A35FB6">
        <w:rPr>
          <w:rFonts w:asciiTheme="minorHAnsi" w:hAnsiTheme="minorHAnsi"/>
        </w:rPr>
        <w:t xml:space="preserve"> health workforce, infrastructure and resources were inadequate to meet the challenges o</w:t>
      </w:r>
      <w:r w:rsidR="00487CFD">
        <w:rPr>
          <w:rFonts w:asciiTheme="minorHAnsi" w:hAnsiTheme="minorHAnsi"/>
        </w:rPr>
        <w:t>f the sudden and massive influx.</w:t>
      </w:r>
    </w:p>
    <w:p w:rsidR="00676A40" w:rsidRPr="00A35FB6" w:rsidRDefault="00676A40" w:rsidP="00676A40">
      <w:pPr>
        <w:jc w:val="both"/>
        <w:rPr>
          <w:rFonts w:asciiTheme="minorHAnsi" w:hAnsiTheme="minorHAnsi"/>
        </w:rPr>
      </w:pPr>
      <w:proofErr w:type="spellStart"/>
      <w:r w:rsidRPr="00A35FB6">
        <w:rPr>
          <w:rFonts w:asciiTheme="minorHAnsi" w:hAnsiTheme="minorHAnsi"/>
        </w:rPr>
        <w:t>GoB’s</w:t>
      </w:r>
      <w:proofErr w:type="spellEnd"/>
      <w:r w:rsidRPr="00A35FB6">
        <w:rPr>
          <w:rFonts w:asciiTheme="minorHAnsi" w:hAnsiTheme="minorHAnsi"/>
        </w:rPr>
        <w:t xml:space="preserve"> response to the crisis quickly evolved from an </w:t>
      </w:r>
      <w:proofErr w:type="spellStart"/>
      <w:r w:rsidRPr="00A35FB6">
        <w:rPr>
          <w:rFonts w:asciiTheme="minorHAnsi" w:hAnsiTheme="minorHAnsi"/>
        </w:rPr>
        <w:t>adhoc</w:t>
      </w:r>
      <w:proofErr w:type="spellEnd"/>
      <w:r w:rsidRPr="00A35FB6">
        <w:rPr>
          <w:rFonts w:asciiTheme="minorHAnsi" w:hAnsiTheme="minorHAnsi"/>
        </w:rPr>
        <w:t xml:space="preserve">, reactive one to a more organised response. An early warning and surveillance system was set up and extensive vaccination programmes were carried out including </w:t>
      </w:r>
      <w:r w:rsidR="00455E07">
        <w:rPr>
          <w:rFonts w:asciiTheme="minorHAnsi" w:hAnsiTheme="minorHAnsi"/>
        </w:rPr>
        <w:t xml:space="preserve">dispensing </w:t>
      </w:r>
      <w:r w:rsidRPr="00A35FB6">
        <w:rPr>
          <w:rFonts w:asciiTheme="minorHAnsi" w:hAnsiTheme="minorHAnsi"/>
        </w:rPr>
        <w:t>900,000 doses of Oral Cholera Vaccine, 136,000 measles-rubella vaccines255</w:t>
      </w:r>
      <w:proofErr w:type="gramStart"/>
      <w:r w:rsidRPr="00A35FB6">
        <w:rPr>
          <w:rFonts w:asciiTheme="minorHAnsi" w:hAnsiTheme="minorHAnsi"/>
        </w:rPr>
        <w:t>,000</w:t>
      </w:r>
      <w:proofErr w:type="gramEnd"/>
      <w:r w:rsidRPr="00A35FB6">
        <w:rPr>
          <w:rFonts w:asciiTheme="minorHAnsi" w:hAnsiTheme="minorHAnsi"/>
        </w:rPr>
        <w:t xml:space="preserve"> diphtheria vaccines which helped avert major outbreaks of communicable diseases. During August 2017 to July 2018, 3000 babies were delivered, over 800 obstetrics and </w:t>
      </w:r>
      <w:proofErr w:type="spellStart"/>
      <w:r w:rsidRPr="00A35FB6">
        <w:rPr>
          <w:rFonts w:asciiTheme="minorHAnsi" w:hAnsiTheme="minorHAnsi"/>
        </w:rPr>
        <w:t>newborn</w:t>
      </w:r>
      <w:proofErr w:type="spellEnd"/>
      <w:r w:rsidRPr="00A35FB6">
        <w:rPr>
          <w:rFonts w:asciiTheme="minorHAnsi" w:hAnsiTheme="minorHAnsi"/>
        </w:rPr>
        <w:t xml:space="preserve"> emergencies were handled 14,000 gender based violence cases received facility based care. Alongside intensive health education and other preventive interventions were implanted.</w:t>
      </w:r>
    </w:p>
    <w:p w:rsidR="00676A40" w:rsidRPr="00A35FB6" w:rsidRDefault="00487CFD" w:rsidP="00676A40">
      <w:pPr>
        <w:jc w:val="both"/>
        <w:rPr>
          <w:rFonts w:asciiTheme="minorHAnsi" w:hAnsiTheme="minorHAnsi"/>
        </w:rPr>
      </w:pPr>
      <w:r>
        <w:rPr>
          <w:rFonts w:asciiTheme="minorHAnsi" w:hAnsiTheme="minorHAnsi"/>
        </w:rPr>
        <w:t>Managing this crisis stretched</w:t>
      </w:r>
      <w:r w:rsidR="00676A40" w:rsidRPr="00A35FB6">
        <w:rPr>
          <w:rFonts w:asciiTheme="minorHAnsi" w:hAnsiTheme="minorHAnsi"/>
        </w:rPr>
        <w:t xml:space="preserve"> the health management structure</w:t>
      </w:r>
      <w:r>
        <w:rPr>
          <w:rFonts w:asciiTheme="minorHAnsi" w:hAnsiTheme="minorHAnsi"/>
        </w:rPr>
        <w:t xml:space="preserve"> both centrally as well as locally</w:t>
      </w:r>
      <w:r w:rsidR="00676A40" w:rsidRPr="00A35FB6">
        <w:rPr>
          <w:rFonts w:asciiTheme="minorHAnsi" w:hAnsiTheme="minorHAnsi"/>
        </w:rPr>
        <w:t xml:space="preserve">. The crisis unfolded at a critical time </w:t>
      </w:r>
      <w:r>
        <w:rPr>
          <w:rFonts w:asciiTheme="minorHAnsi" w:hAnsiTheme="minorHAnsi"/>
        </w:rPr>
        <w:t xml:space="preserve">when </w:t>
      </w:r>
      <w:r w:rsidR="00676A40" w:rsidRPr="00A35FB6">
        <w:rPr>
          <w:rFonts w:asciiTheme="minorHAnsi" w:hAnsiTheme="minorHAnsi"/>
        </w:rPr>
        <w:t>HPNSP evolv</w:t>
      </w:r>
      <w:r>
        <w:rPr>
          <w:rFonts w:asciiTheme="minorHAnsi" w:hAnsiTheme="minorHAnsi"/>
        </w:rPr>
        <w:t>ing</w:t>
      </w:r>
      <w:r w:rsidR="00676A40" w:rsidRPr="00A35FB6">
        <w:rPr>
          <w:rFonts w:asciiTheme="minorHAnsi" w:hAnsiTheme="minorHAnsi"/>
        </w:rPr>
        <w:t xml:space="preserve">. Subsequently the speed of implementation of activities was somewhat hindered </w:t>
      </w:r>
      <w:r>
        <w:rPr>
          <w:rFonts w:asciiTheme="minorHAnsi" w:hAnsiTheme="minorHAnsi"/>
        </w:rPr>
        <w:t>also by the bifurcation of MOHFW</w:t>
      </w:r>
      <w:r w:rsidR="00676A40" w:rsidRPr="00A35FB6">
        <w:rPr>
          <w:rFonts w:asciiTheme="minorHAnsi" w:hAnsiTheme="minorHAnsi"/>
        </w:rPr>
        <w:t xml:space="preserve">. Many of the DP supported </w:t>
      </w:r>
      <w:r w:rsidR="00676A40" w:rsidRPr="00A35FB6">
        <w:rPr>
          <w:rFonts w:asciiTheme="minorHAnsi" w:hAnsiTheme="minorHAnsi"/>
        </w:rPr>
        <w:lastRenderedPageBreak/>
        <w:t xml:space="preserve">projects also came to an end during this time and new programmes were yet to be started (World Bank’s IDA funding could only be disbursed in </w:t>
      </w:r>
      <w:proofErr w:type="spellStart"/>
      <w:r w:rsidR="00676A40" w:rsidRPr="00A35FB6">
        <w:rPr>
          <w:rFonts w:asciiTheme="minorHAnsi" w:hAnsiTheme="minorHAnsi"/>
        </w:rPr>
        <w:t>Decemebr</w:t>
      </w:r>
      <w:proofErr w:type="spellEnd"/>
      <w:r w:rsidR="00676A40" w:rsidRPr="00A35FB6">
        <w:rPr>
          <w:rFonts w:asciiTheme="minorHAnsi" w:hAnsiTheme="minorHAnsi"/>
        </w:rPr>
        <w:t xml:space="preserve"> 2017.</w:t>
      </w:r>
    </w:p>
    <w:p w:rsidR="00676A40" w:rsidRPr="00A35FB6" w:rsidRDefault="00F91AC4" w:rsidP="00676A40">
      <w:pPr>
        <w:jc w:val="both"/>
        <w:rPr>
          <w:rFonts w:asciiTheme="minorHAnsi" w:hAnsiTheme="minorHAnsi"/>
          <w:b/>
          <w:i/>
        </w:rPr>
      </w:pPr>
      <w:r>
        <w:rPr>
          <w:rFonts w:asciiTheme="minorHAnsi" w:hAnsiTheme="minorHAnsi"/>
          <w:b/>
          <w:i/>
        </w:rPr>
        <w:t>5</w:t>
      </w:r>
      <w:r w:rsidR="00676A40" w:rsidRPr="00A35FB6">
        <w:rPr>
          <w:rFonts w:asciiTheme="minorHAnsi" w:hAnsiTheme="minorHAnsi"/>
          <w:b/>
          <w:i/>
        </w:rPr>
        <w:t>.</w:t>
      </w:r>
      <w:r w:rsidR="00487CFD">
        <w:rPr>
          <w:rFonts w:asciiTheme="minorHAnsi" w:hAnsiTheme="minorHAnsi"/>
          <w:b/>
          <w:i/>
        </w:rPr>
        <w:t>2</w:t>
      </w:r>
      <w:r w:rsidR="00676A40" w:rsidRPr="00A35FB6">
        <w:rPr>
          <w:rFonts w:asciiTheme="minorHAnsi" w:hAnsiTheme="minorHAnsi"/>
          <w:b/>
          <w:i/>
        </w:rPr>
        <w:t xml:space="preserve">    Progress </w:t>
      </w:r>
      <w:r w:rsidR="00487CFD">
        <w:rPr>
          <w:rFonts w:asciiTheme="minorHAnsi" w:hAnsiTheme="minorHAnsi"/>
          <w:b/>
          <w:i/>
        </w:rPr>
        <w:t>against</w:t>
      </w:r>
      <w:r w:rsidR="00676A40" w:rsidRPr="00A35FB6">
        <w:rPr>
          <w:rFonts w:asciiTheme="minorHAnsi" w:hAnsiTheme="minorHAnsi"/>
          <w:b/>
          <w:i/>
        </w:rPr>
        <w:t xml:space="preserve"> indicators of Results Framework (RFW)</w:t>
      </w:r>
    </w:p>
    <w:p w:rsidR="00676A40" w:rsidRPr="00A35FB6" w:rsidRDefault="00676A40" w:rsidP="00676A40">
      <w:pPr>
        <w:jc w:val="both"/>
        <w:rPr>
          <w:rFonts w:asciiTheme="minorHAnsi" w:hAnsiTheme="minorHAnsi"/>
        </w:rPr>
      </w:pPr>
      <w:r w:rsidRPr="00A35FB6">
        <w:rPr>
          <w:rFonts w:asciiTheme="minorHAnsi" w:hAnsiTheme="minorHAnsi"/>
        </w:rPr>
        <w:t>The RMNCAH thematic area is relevant to a number of indicators u</w:t>
      </w:r>
      <w:r w:rsidR="00D50807">
        <w:rPr>
          <w:rFonts w:asciiTheme="minorHAnsi" w:hAnsiTheme="minorHAnsi"/>
        </w:rPr>
        <w:t>nder Component 3, Results 3.2 (5 indicators)</w:t>
      </w:r>
      <w:r w:rsidRPr="00A35FB6">
        <w:rPr>
          <w:rFonts w:asciiTheme="minorHAnsi" w:hAnsiTheme="minorHAnsi"/>
        </w:rPr>
        <w:t xml:space="preserve"> and 3.4 (2 indicators) of the RFW. Progress in these indicators #3.2.3-3.2.6 (antenatal care coverage, delivery by SBAs, postnatal care for non-institutional deliveries, births in health facilities by wealth quintiles) can be derived from 2017 BDHS data. The following table shows the status of these indicators based upon BDHS 2017</w:t>
      </w:r>
      <w:r w:rsidR="009E7B36">
        <w:rPr>
          <w:rFonts w:asciiTheme="minorHAnsi" w:hAnsiTheme="minorHAnsi"/>
        </w:rPr>
        <w:t xml:space="preserve"> (</w:t>
      </w:r>
      <w:r w:rsidR="00487CFD">
        <w:rPr>
          <w:rFonts w:asciiTheme="minorHAnsi" w:hAnsiTheme="minorHAnsi"/>
        </w:rPr>
        <w:t>to be published)</w:t>
      </w:r>
      <w:r w:rsidRPr="00A35FB6">
        <w:rPr>
          <w:rFonts w:asciiTheme="minorHAnsi" w:hAnsiTheme="minorHAnsi"/>
        </w:rPr>
        <w:t xml:space="preserve">. </w:t>
      </w:r>
    </w:p>
    <w:p w:rsidR="00676A40" w:rsidRPr="00A35FB6" w:rsidRDefault="00676A40" w:rsidP="00676A40">
      <w:pPr>
        <w:jc w:val="both"/>
        <w:rPr>
          <w:rFonts w:asciiTheme="minorHAnsi" w:hAnsiTheme="minorHAnsi"/>
          <w:b/>
        </w:rPr>
      </w:pPr>
      <w:r w:rsidRPr="00A35FB6">
        <w:rPr>
          <w:rFonts w:asciiTheme="minorHAnsi" w:hAnsiTheme="minorHAnsi"/>
          <w:b/>
        </w:rPr>
        <w:t>Table 1: Progress in RFW indicators in RMNCAH area</w:t>
      </w:r>
    </w:p>
    <w:tbl>
      <w:tblPr>
        <w:tblStyle w:val="TableGrid"/>
        <w:tblW w:w="9360" w:type="dxa"/>
        <w:tblInd w:w="108" w:type="dxa"/>
        <w:tblLook w:val="04A0" w:firstRow="1" w:lastRow="0" w:firstColumn="1" w:lastColumn="0" w:noHBand="0" w:noVBand="1"/>
      </w:tblPr>
      <w:tblGrid>
        <w:gridCol w:w="1710"/>
        <w:gridCol w:w="3870"/>
        <w:gridCol w:w="1710"/>
        <w:gridCol w:w="2070"/>
      </w:tblGrid>
      <w:tr w:rsidR="00676A40" w:rsidRPr="008237BF" w:rsidTr="007B43CD">
        <w:trPr>
          <w:trHeight w:val="381"/>
        </w:trPr>
        <w:tc>
          <w:tcPr>
            <w:tcW w:w="1710" w:type="dxa"/>
            <w:vAlign w:val="center"/>
            <w:hideMark/>
          </w:tcPr>
          <w:p w:rsidR="00676A40" w:rsidRPr="008237BF" w:rsidRDefault="00676A40" w:rsidP="007B43CD">
            <w:pPr>
              <w:jc w:val="center"/>
              <w:rPr>
                <w:rFonts w:asciiTheme="minorHAnsi" w:eastAsia="Times New Roman" w:hAnsiTheme="minorHAnsi" w:cs="Arial"/>
                <w:b/>
                <w:color w:val="000000"/>
                <w:kern w:val="24"/>
                <w:lang w:val="en-US"/>
              </w:rPr>
            </w:pPr>
            <w:r w:rsidRPr="008237BF">
              <w:rPr>
                <w:rFonts w:asciiTheme="minorHAnsi" w:eastAsia="Times New Roman" w:hAnsiTheme="minorHAnsi" w:cs="Arial"/>
                <w:b/>
                <w:color w:val="000000"/>
                <w:kern w:val="24"/>
                <w:lang w:val="en-US"/>
              </w:rPr>
              <w:t>Result</w:t>
            </w:r>
          </w:p>
        </w:tc>
        <w:tc>
          <w:tcPr>
            <w:tcW w:w="3870" w:type="dxa"/>
            <w:vAlign w:val="center"/>
            <w:hideMark/>
          </w:tcPr>
          <w:p w:rsidR="00676A40" w:rsidRPr="008237BF" w:rsidRDefault="00676A40" w:rsidP="007B43CD">
            <w:pPr>
              <w:jc w:val="center"/>
              <w:rPr>
                <w:rFonts w:asciiTheme="minorHAnsi" w:eastAsia="Times New Roman" w:hAnsiTheme="minorHAnsi" w:cs="Arial"/>
                <w:b/>
                <w:color w:val="000000"/>
                <w:kern w:val="24"/>
                <w:lang w:val="en-US"/>
              </w:rPr>
            </w:pPr>
            <w:r w:rsidRPr="008237BF">
              <w:rPr>
                <w:rFonts w:asciiTheme="minorHAnsi" w:eastAsia="Times New Roman" w:hAnsiTheme="minorHAnsi" w:cs="Arial"/>
                <w:b/>
                <w:color w:val="000000"/>
                <w:kern w:val="24"/>
                <w:lang w:val="en-US"/>
              </w:rPr>
              <w:t>Indicator</w:t>
            </w:r>
          </w:p>
        </w:tc>
        <w:tc>
          <w:tcPr>
            <w:tcW w:w="1710" w:type="dxa"/>
            <w:vAlign w:val="center"/>
          </w:tcPr>
          <w:p w:rsidR="00676A40" w:rsidRPr="008237BF" w:rsidRDefault="00676A40" w:rsidP="007B43CD">
            <w:pPr>
              <w:jc w:val="center"/>
              <w:rPr>
                <w:rFonts w:asciiTheme="minorHAnsi" w:eastAsia="Times New Roman" w:hAnsiTheme="minorHAnsi" w:cs="Arial"/>
                <w:b/>
                <w:color w:val="000000"/>
                <w:kern w:val="24"/>
                <w:lang w:val="en-US"/>
              </w:rPr>
            </w:pPr>
            <w:r w:rsidRPr="008237BF">
              <w:rPr>
                <w:rFonts w:asciiTheme="minorHAnsi" w:eastAsia="Times New Roman" w:hAnsiTheme="minorHAnsi" w:cs="Arial"/>
                <w:b/>
                <w:color w:val="000000"/>
                <w:kern w:val="24"/>
                <w:lang w:val="en-US"/>
              </w:rPr>
              <w:t>Baseline- %</w:t>
            </w:r>
          </w:p>
          <w:p w:rsidR="00676A40" w:rsidRPr="008237BF" w:rsidRDefault="00676A40" w:rsidP="007B43CD">
            <w:pPr>
              <w:jc w:val="center"/>
              <w:rPr>
                <w:rFonts w:asciiTheme="minorHAnsi" w:eastAsia="Times New Roman" w:hAnsiTheme="minorHAnsi" w:cs="Arial"/>
                <w:b/>
                <w:color w:val="000000"/>
                <w:kern w:val="24"/>
                <w:lang w:val="en-US"/>
              </w:rPr>
            </w:pPr>
            <w:r w:rsidRPr="008237BF">
              <w:rPr>
                <w:rFonts w:asciiTheme="minorHAnsi" w:eastAsia="Times New Roman" w:hAnsiTheme="minorHAnsi" w:cs="Arial"/>
                <w:b/>
                <w:color w:val="000000"/>
                <w:kern w:val="24"/>
                <w:lang w:val="en-US"/>
              </w:rPr>
              <w:t>(BDHS 2014)</w:t>
            </w:r>
          </w:p>
        </w:tc>
        <w:tc>
          <w:tcPr>
            <w:tcW w:w="2070" w:type="dxa"/>
            <w:vAlign w:val="center"/>
            <w:hideMark/>
          </w:tcPr>
          <w:p w:rsidR="00676A40" w:rsidRPr="008237BF" w:rsidRDefault="00676A40" w:rsidP="007B43CD">
            <w:pPr>
              <w:jc w:val="center"/>
              <w:rPr>
                <w:rFonts w:asciiTheme="minorHAnsi" w:eastAsia="Times New Roman" w:hAnsiTheme="minorHAnsi" w:cs="Arial"/>
                <w:b/>
                <w:color w:val="000000"/>
                <w:kern w:val="24"/>
                <w:lang w:val="en-US"/>
              </w:rPr>
            </w:pPr>
            <w:r w:rsidRPr="008237BF">
              <w:rPr>
                <w:rFonts w:asciiTheme="minorHAnsi" w:eastAsia="Times New Roman" w:hAnsiTheme="minorHAnsi" w:cs="Arial"/>
                <w:b/>
                <w:color w:val="000000"/>
                <w:kern w:val="24"/>
                <w:lang w:val="en-US"/>
              </w:rPr>
              <w:t>Progress %</w:t>
            </w:r>
          </w:p>
          <w:p w:rsidR="00676A40" w:rsidRPr="008237BF" w:rsidRDefault="00676A40" w:rsidP="007B43CD">
            <w:pPr>
              <w:jc w:val="center"/>
              <w:rPr>
                <w:rFonts w:asciiTheme="minorHAnsi" w:eastAsia="Times New Roman" w:hAnsiTheme="minorHAnsi" w:cs="Arial"/>
                <w:b/>
                <w:color w:val="000000"/>
                <w:kern w:val="24"/>
                <w:lang w:val="en-US"/>
              </w:rPr>
            </w:pPr>
            <w:r w:rsidRPr="008237BF">
              <w:rPr>
                <w:rFonts w:asciiTheme="minorHAnsi" w:eastAsia="Times New Roman" w:hAnsiTheme="minorHAnsi" w:cs="Arial"/>
                <w:b/>
                <w:color w:val="000000"/>
                <w:kern w:val="24"/>
                <w:lang w:val="en-US"/>
              </w:rPr>
              <w:t>(BDHS 2017)</w:t>
            </w:r>
          </w:p>
        </w:tc>
      </w:tr>
      <w:tr w:rsidR="00676A40" w:rsidRPr="00A35FB6" w:rsidTr="007B43CD">
        <w:trPr>
          <w:trHeight w:val="381"/>
        </w:trPr>
        <w:tc>
          <w:tcPr>
            <w:tcW w:w="1710" w:type="dxa"/>
            <w:vMerge w:val="restart"/>
            <w:hideMark/>
          </w:tcPr>
          <w:p w:rsidR="00676A40" w:rsidRPr="00A35FB6" w:rsidRDefault="00676A40" w:rsidP="00D96CA9">
            <w:pPr>
              <w:jc w:val="both"/>
              <w:rPr>
                <w:rFonts w:asciiTheme="minorHAnsi" w:eastAsia="Times New Roman" w:hAnsiTheme="minorHAnsi" w:cs="Arial"/>
                <w:lang w:val="en-US"/>
              </w:rPr>
            </w:pPr>
            <w:r w:rsidRPr="00A35FB6">
              <w:rPr>
                <w:rFonts w:asciiTheme="minorHAnsi" w:eastAsia="Times New Roman" w:hAnsiTheme="minorHAnsi" w:cs="Arial"/>
                <w:color w:val="000000"/>
                <w:kern w:val="24"/>
                <w:lang w:val="en-US"/>
              </w:rPr>
              <w:t xml:space="preserve">3.1.PH services strengthened </w:t>
            </w:r>
          </w:p>
        </w:tc>
        <w:tc>
          <w:tcPr>
            <w:tcW w:w="3870" w:type="dxa"/>
            <w:vAlign w:val="center"/>
            <w:hideMark/>
          </w:tcPr>
          <w:p w:rsidR="00676A40" w:rsidRPr="00A35FB6" w:rsidRDefault="00676A40" w:rsidP="007B43CD">
            <w:pPr>
              <w:rPr>
                <w:rFonts w:asciiTheme="minorHAnsi" w:eastAsia="Times New Roman" w:hAnsiTheme="minorHAnsi" w:cs="Arial"/>
                <w:lang w:val="en-US"/>
              </w:rPr>
            </w:pPr>
            <w:r w:rsidRPr="00A35FB6">
              <w:rPr>
                <w:rFonts w:asciiTheme="minorHAnsi" w:eastAsia="Times New Roman" w:hAnsiTheme="minorHAnsi" w:cs="Arial"/>
                <w:color w:val="000000"/>
                <w:kern w:val="24"/>
                <w:lang w:val="en-US"/>
              </w:rPr>
              <w:t xml:space="preserve">3.1.1- % newborn received ENC </w:t>
            </w:r>
          </w:p>
        </w:tc>
        <w:tc>
          <w:tcPr>
            <w:tcW w:w="1710" w:type="dxa"/>
            <w:vAlign w:val="center"/>
          </w:tcPr>
          <w:p w:rsidR="00676A40" w:rsidRPr="00A35FB6" w:rsidRDefault="00676A40" w:rsidP="007B43CD">
            <w:pPr>
              <w:rPr>
                <w:rFonts w:asciiTheme="minorHAnsi" w:eastAsia="Times New Roman" w:hAnsiTheme="minorHAnsi" w:cs="Arial"/>
                <w:color w:val="000000"/>
                <w:kern w:val="24"/>
                <w:lang w:val="en-US"/>
              </w:rPr>
            </w:pPr>
            <w:r w:rsidRPr="00A35FB6">
              <w:rPr>
                <w:rFonts w:asciiTheme="minorHAnsi" w:eastAsia="Times New Roman" w:hAnsiTheme="minorHAnsi" w:cs="Arial"/>
                <w:color w:val="000000"/>
                <w:kern w:val="24"/>
                <w:lang w:val="en-US"/>
              </w:rPr>
              <w:t>6.1</w:t>
            </w:r>
          </w:p>
        </w:tc>
        <w:tc>
          <w:tcPr>
            <w:tcW w:w="2070" w:type="dxa"/>
            <w:vAlign w:val="center"/>
            <w:hideMark/>
          </w:tcPr>
          <w:p w:rsidR="00676A40" w:rsidRPr="00A35FB6" w:rsidRDefault="00676A40" w:rsidP="007B43CD">
            <w:pPr>
              <w:rPr>
                <w:rFonts w:asciiTheme="minorHAnsi" w:eastAsia="Times New Roman" w:hAnsiTheme="minorHAnsi" w:cs="Arial"/>
                <w:lang w:val="en-US"/>
              </w:rPr>
            </w:pPr>
            <w:r w:rsidRPr="00A35FB6">
              <w:rPr>
                <w:rFonts w:asciiTheme="minorHAnsi" w:eastAsia="Times New Roman" w:hAnsiTheme="minorHAnsi" w:cs="Arial"/>
                <w:color w:val="000000"/>
                <w:kern w:val="24"/>
                <w:lang w:val="en-US"/>
              </w:rPr>
              <w:t xml:space="preserve"> 7.4</w:t>
            </w:r>
          </w:p>
        </w:tc>
      </w:tr>
      <w:tr w:rsidR="00676A40" w:rsidRPr="00A35FB6" w:rsidTr="007B43CD">
        <w:trPr>
          <w:trHeight w:val="376"/>
        </w:trPr>
        <w:tc>
          <w:tcPr>
            <w:tcW w:w="1710" w:type="dxa"/>
            <w:vMerge/>
            <w:hideMark/>
          </w:tcPr>
          <w:p w:rsidR="00676A40" w:rsidRPr="00A35FB6" w:rsidRDefault="00676A40" w:rsidP="00D96CA9">
            <w:pPr>
              <w:jc w:val="both"/>
              <w:rPr>
                <w:rFonts w:asciiTheme="minorHAnsi" w:eastAsia="Times New Roman" w:hAnsiTheme="minorHAnsi" w:cs="Arial"/>
                <w:lang w:val="en-US"/>
              </w:rPr>
            </w:pPr>
          </w:p>
        </w:tc>
        <w:tc>
          <w:tcPr>
            <w:tcW w:w="3870" w:type="dxa"/>
            <w:vAlign w:val="center"/>
            <w:hideMark/>
          </w:tcPr>
          <w:p w:rsidR="00676A40" w:rsidRPr="00A35FB6" w:rsidRDefault="00676A40" w:rsidP="007B43CD">
            <w:pPr>
              <w:rPr>
                <w:rFonts w:asciiTheme="minorHAnsi" w:eastAsia="Times New Roman" w:hAnsiTheme="minorHAnsi" w:cs="Arial"/>
                <w:lang w:val="en-US"/>
              </w:rPr>
            </w:pPr>
            <w:r w:rsidRPr="00A35FB6">
              <w:rPr>
                <w:rFonts w:asciiTheme="minorHAnsi" w:eastAsia="Times New Roman" w:hAnsiTheme="minorHAnsi" w:cs="Arial"/>
                <w:color w:val="000000"/>
                <w:kern w:val="24"/>
                <w:lang w:val="en-US"/>
              </w:rPr>
              <w:t xml:space="preserve">3.1.2- 6-23 months fed acceptable diet </w:t>
            </w:r>
          </w:p>
        </w:tc>
        <w:tc>
          <w:tcPr>
            <w:tcW w:w="1710" w:type="dxa"/>
            <w:vAlign w:val="center"/>
          </w:tcPr>
          <w:p w:rsidR="00676A40" w:rsidRPr="00A35FB6" w:rsidRDefault="00676A40" w:rsidP="007B43CD">
            <w:pPr>
              <w:rPr>
                <w:rFonts w:asciiTheme="minorHAnsi" w:eastAsia="Times New Roman" w:hAnsiTheme="minorHAnsi" w:cs="Arial"/>
                <w:color w:val="000000"/>
                <w:kern w:val="24"/>
                <w:lang w:val="en-US"/>
              </w:rPr>
            </w:pPr>
            <w:r w:rsidRPr="00A35FB6">
              <w:rPr>
                <w:rFonts w:asciiTheme="minorHAnsi" w:eastAsia="Times New Roman" w:hAnsiTheme="minorHAnsi" w:cs="Arial"/>
                <w:color w:val="000000"/>
                <w:kern w:val="24"/>
                <w:lang w:val="en-US"/>
              </w:rPr>
              <w:t>22.8</w:t>
            </w:r>
          </w:p>
        </w:tc>
        <w:tc>
          <w:tcPr>
            <w:tcW w:w="2070" w:type="dxa"/>
            <w:vAlign w:val="center"/>
            <w:hideMark/>
          </w:tcPr>
          <w:p w:rsidR="00676A40" w:rsidRPr="00A35FB6" w:rsidRDefault="00676A40" w:rsidP="007B43CD">
            <w:pPr>
              <w:rPr>
                <w:rFonts w:asciiTheme="minorHAnsi" w:eastAsia="Times New Roman" w:hAnsiTheme="minorHAnsi" w:cs="Arial"/>
                <w:lang w:val="en-US"/>
              </w:rPr>
            </w:pPr>
            <w:r w:rsidRPr="00A35FB6">
              <w:rPr>
                <w:rFonts w:asciiTheme="minorHAnsi" w:eastAsia="Times New Roman" w:hAnsiTheme="minorHAnsi" w:cs="Arial"/>
                <w:color w:val="000000"/>
                <w:kern w:val="24"/>
                <w:lang w:val="en-US"/>
              </w:rPr>
              <w:t xml:space="preserve">34.0 </w:t>
            </w:r>
          </w:p>
        </w:tc>
      </w:tr>
      <w:tr w:rsidR="00676A40" w:rsidRPr="00A35FB6" w:rsidTr="007B43CD">
        <w:trPr>
          <w:trHeight w:val="376"/>
        </w:trPr>
        <w:tc>
          <w:tcPr>
            <w:tcW w:w="1710" w:type="dxa"/>
            <w:vMerge/>
            <w:hideMark/>
          </w:tcPr>
          <w:p w:rsidR="00676A40" w:rsidRPr="00A35FB6" w:rsidRDefault="00676A40" w:rsidP="00D96CA9">
            <w:pPr>
              <w:jc w:val="both"/>
              <w:rPr>
                <w:rFonts w:asciiTheme="minorHAnsi" w:eastAsia="Times New Roman" w:hAnsiTheme="minorHAnsi" w:cs="Arial"/>
                <w:lang w:val="en-US"/>
              </w:rPr>
            </w:pPr>
          </w:p>
        </w:tc>
        <w:tc>
          <w:tcPr>
            <w:tcW w:w="3870" w:type="dxa"/>
            <w:vAlign w:val="center"/>
            <w:hideMark/>
          </w:tcPr>
          <w:p w:rsidR="00676A40" w:rsidRPr="00A35FB6" w:rsidRDefault="00676A40" w:rsidP="007B43CD">
            <w:pPr>
              <w:rPr>
                <w:rFonts w:asciiTheme="minorHAnsi" w:eastAsia="Times New Roman" w:hAnsiTheme="minorHAnsi" w:cs="Arial"/>
                <w:lang w:val="en-US"/>
              </w:rPr>
            </w:pPr>
            <w:r w:rsidRPr="00A35FB6">
              <w:rPr>
                <w:rFonts w:asciiTheme="minorHAnsi" w:eastAsia="Times New Roman" w:hAnsiTheme="minorHAnsi" w:cs="Arial"/>
                <w:color w:val="000000"/>
                <w:kern w:val="24"/>
                <w:lang w:val="en-US"/>
              </w:rPr>
              <w:t xml:space="preserve">3.1.3- % 15-19 </w:t>
            </w:r>
            <w:proofErr w:type="spellStart"/>
            <w:r w:rsidRPr="00A35FB6">
              <w:rPr>
                <w:rFonts w:asciiTheme="minorHAnsi" w:eastAsia="Times New Roman" w:hAnsiTheme="minorHAnsi" w:cs="Arial"/>
                <w:color w:val="000000"/>
                <w:kern w:val="24"/>
                <w:lang w:val="en-US"/>
              </w:rPr>
              <w:t>yr</w:t>
            </w:r>
            <w:proofErr w:type="spellEnd"/>
            <w:r w:rsidRPr="00A35FB6">
              <w:rPr>
                <w:rFonts w:asciiTheme="minorHAnsi" w:eastAsia="Times New Roman" w:hAnsiTheme="minorHAnsi" w:cs="Arial"/>
                <w:color w:val="000000"/>
                <w:kern w:val="24"/>
                <w:lang w:val="en-US"/>
              </w:rPr>
              <w:t xml:space="preserve"> old started childbearing </w:t>
            </w:r>
          </w:p>
        </w:tc>
        <w:tc>
          <w:tcPr>
            <w:tcW w:w="1710" w:type="dxa"/>
            <w:vAlign w:val="center"/>
          </w:tcPr>
          <w:p w:rsidR="00676A40" w:rsidRPr="00A35FB6" w:rsidRDefault="00676A40" w:rsidP="007B43CD">
            <w:pPr>
              <w:rPr>
                <w:rFonts w:asciiTheme="minorHAnsi" w:eastAsia="Times New Roman" w:hAnsiTheme="minorHAnsi" w:cs="Arial"/>
                <w:color w:val="000000"/>
                <w:kern w:val="24"/>
                <w:lang w:val="en-US"/>
              </w:rPr>
            </w:pPr>
            <w:r w:rsidRPr="00A35FB6">
              <w:rPr>
                <w:rFonts w:asciiTheme="minorHAnsi" w:eastAsia="Times New Roman" w:hAnsiTheme="minorHAnsi" w:cs="Arial"/>
                <w:color w:val="000000"/>
                <w:kern w:val="24"/>
                <w:lang w:val="en-US"/>
              </w:rPr>
              <w:t>30.8</w:t>
            </w:r>
          </w:p>
        </w:tc>
        <w:tc>
          <w:tcPr>
            <w:tcW w:w="2070" w:type="dxa"/>
            <w:vAlign w:val="center"/>
            <w:hideMark/>
          </w:tcPr>
          <w:p w:rsidR="00676A40" w:rsidRPr="00A35FB6" w:rsidRDefault="00676A40" w:rsidP="007B43CD">
            <w:pPr>
              <w:rPr>
                <w:rFonts w:asciiTheme="minorHAnsi" w:eastAsia="Times New Roman" w:hAnsiTheme="minorHAnsi" w:cs="Arial"/>
                <w:lang w:val="en-US"/>
              </w:rPr>
            </w:pPr>
            <w:r w:rsidRPr="00A35FB6">
              <w:rPr>
                <w:rFonts w:asciiTheme="minorHAnsi" w:eastAsia="Times New Roman" w:hAnsiTheme="minorHAnsi" w:cs="Arial"/>
                <w:color w:val="000000"/>
                <w:kern w:val="24"/>
                <w:lang w:val="en-US"/>
              </w:rPr>
              <w:t>28.0</w:t>
            </w:r>
          </w:p>
        </w:tc>
      </w:tr>
      <w:tr w:rsidR="00676A40" w:rsidRPr="00A35FB6" w:rsidTr="007B43CD">
        <w:trPr>
          <w:trHeight w:val="376"/>
        </w:trPr>
        <w:tc>
          <w:tcPr>
            <w:tcW w:w="1710" w:type="dxa"/>
            <w:vMerge w:val="restart"/>
            <w:hideMark/>
          </w:tcPr>
          <w:p w:rsidR="00676A40" w:rsidRPr="00A35FB6" w:rsidRDefault="00676A40" w:rsidP="00D96CA9">
            <w:pPr>
              <w:jc w:val="both"/>
              <w:rPr>
                <w:rFonts w:asciiTheme="minorHAnsi" w:eastAsia="Times New Roman" w:hAnsiTheme="minorHAnsi" w:cs="Arial"/>
                <w:lang w:val="en-US"/>
              </w:rPr>
            </w:pPr>
            <w:r w:rsidRPr="00A35FB6">
              <w:rPr>
                <w:rFonts w:asciiTheme="minorHAnsi" w:eastAsia="Times New Roman" w:hAnsiTheme="minorHAnsi" w:cs="Arial"/>
                <w:color w:val="000000"/>
                <w:kern w:val="24"/>
                <w:lang w:val="en-US"/>
              </w:rPr>
              <w:t xml:space="preserve">3.2.Equitable coverage of ESP </w:t>
            </w:r>
          </w:p>
        </w:tc>
        <w:tc>
          <w:tcPr>
            <w:tcW w:w="3870" w:type="dxa"/>
            <w:vAlign w:val="center"/>
            <w:hideMark/>
          </w:tcPr>
          <w:p w:rsidR="00676A40" w:rsidRPr="00A35FB6" w:rsidRDefault="00676A40" w:rsidP="007B43CD">
            <w:pPr>
              <w:rPr>
                <w:rFonts w:asciiTheme="minorHAnsi" w:eastAsia="Times New Roman" w:hAnsiTheme="minorHAnsi" w:cs="Arial"/>
                <w:lang w:val="en-US"/>
              </w:rPr>
            </w:pPr>
            <w:r w:rsidRPr="00A35FB6">
              <w:rPr>
                <w:rFonts w:asciiTheme="minorHAnsi" w:eastAsia="Times New Roman" w:hAnsiTheme="minorHAnsi" w:cs="Arial"/>
                <w:color w:val="000000"/>
                <w:kern w:val="24"/>
                <w:lang w:val="en-US"/>
              </w:rPr>
              <w:t xml:space="preserve">3.2.3 -ANC four visits </w:t>
            </w:r>
          </w:p>
        </w:tc>
        <w:tc>
          <w:tcPr>
            <w:tcW w:w="1710" w:type="dxa"/>
            <w:vAlign w:val="center"/>
          </w:tcPr>
          <w:p w:rsidR="00676A40" w:rsidRPr="00A35FB6" w:rsidRDefault="00676A40" w:rsidP="007B43CD">
            <w:pPr>
              <w:rPr>
                <w:rFonts w:asciiTheme="minorHAnsi" w:eastAsia="Times New Roman" w:hAnsiTheme="minorHAnsi" w:cs="Arial"/>
                <w:color w:val="000000"/>
                <w:kern w:val="24"/>
                <w:lang w:val="en-US"/>
              </w:rPr>
            </w:pPr>
            <w:r w:rsidRPr="00A35FB6">
              <w:rPr>
                <w:rFonts w:asciiTheme="minorHAnsi" w:eastAsia="Times New Roman" w:hAnsiTheme="minorHAnsi" w:cs="Arial"/>
                <w:color w:val="000000"/>
                <w:kern w:val="24"/>
                <w:lang w:val="en-US"/>
              </w:rPr>
              <w:t>31.2</w:t>
            </w:r>
          </w:p>
        </w:tc>
        <w:tc>
          <w:tcPr>
            <w:tcW w:w="2070" w:type="dxa"/>
            <w:vAlign w:val="center"/>
            <w:hideMark/>
          </w:tcPr>
          <w:p w:rsidR="00676A40" w:rsidRPr="00A35FB6" w:rsidRDefault="00676A40" w:rsidP="007B43CD">
            <w:pPr>
              <w:rPr>
                <w:rFonts w:asciiTheme="minorHAnsi" w:eastAsia="Times New Roman" w:hAnsiTheme="minorHAnsi" w:cs="Arial"/>
                <w:lang w:val="en-US"/>
              </w:rPr>
            </w:pPr>
            <w:r w:rsidRPr="00A35FB6">
              <w:rPr>
                <w:rFonts w:asciiTheme="minorHAnsi" w:eastAsia="Times New Roman" w:hAnsiTheme="minorHAnsi" w:cs="Arial"/>
                <w:color w:val="000000"/>
                <w:kern w:val="24"/>
                <w:lang w:val="en-US"/>
              </w:rPr>
              <w:t>47.0</w:t>
            </w:r>
          </w:p>
        </w:tc>
      </w:tr>
      <w:tr w:rsidR="00676A40" w:rsidRPr="00A35FB6" w:rsidTr="007B43CD">
        <w:trPr>
          <w:trHeight w:val="376"/>
        </w:trPr>
        <w:tc>
          <w:tcPr>
            <w:tcW w:w="1710" w:type="dxa"/>
            <w:vMerge/>
            <w:hideMark/>
          </w:tcPr>
          <w:p w:rsidR="00676A40" w:rsidRPr="00A35FB6" w:rsidRDefault="00676A40" w:rsidP="00D96CA9">
            <w:pPr>
              <w:jc w:val="both"/>
              <w:rPr>
                <w:rFonts w:asciiTheme="minorHAnsi" w:eastAsia="Times New Roman" w:hAnsiTheme="minorHAnsi" w:cs="Arial"/>
                <w:lang w:val="en-US"/>
              </w:rPr>
            </w:pPr>
          </w:p>
        </w:tc>
        <w:tc>
          <w:tcPr>
            <w:tcW w:w="3870" w:type="dxa"/>
            <w:vAlign w:val="center"/>
            <w:hideMark/>
          </w:tcPr>
          <w:p w:rsidR="00676A40" w:rsidRPr="00A35FB6" w:rsidRDefault="00676A40" w:rsidP="007B43CD">
            <w:pPr>
              <w:rPr>
                <w:rFonts w:asciiTheme="minorHAnsi" w:eastAsia="Times New Roman" w:hAnsiTheme="minorHAnsi" w:cs="Arial"/>
                <w:lang w:val="en-US"/>
              </w:rPr>
            </w:pPr>
            <w:r w:rsidRPr="00A35FB6">
              <w:rPr>
                <w:rFonts w:asciiTheme="minorHAnsi" w:eastAsia="Times New Roman" w:hAnsiTheme="minorHAnsi" w:cs="Arial"/>
                <w:color w:val="000000"/>
                <w:kern w:val="24"/>
                <w:lang w:val="en-US"/>
              </w:rPr>
              <w:t xml:space="preserve">3.2.4 -% delivery by SBA </w:t>
            </w:r>
          </w:p>
        </w:tc>
        <w:tc>
          <w:tcPr>
            <w:tcW w:w="1710" w:type="dxa"/>
            <w:vAlign w:val="center"/>
          </w:tcPr>
          <w:p w:rsidR="00676A40" w:rsidRPr="00A35FB6" w:rsidRDefault="00676A40" w:rsidP="007B43CD">
            <w:pPr>
              <w:rPr>
                <w:rFonts w:asciiTheme="minorHAnsi" w:eastAsia="Times New Roman" w:hAnsiTheme="minorHAnsi" w:cs="Arial"/>
                <w:color w:val="000000"/>
                <w:kern w:val="24"/>
                <w:lang w:val="en-US"/>
              </w:rPr>
            </w:pPr>
            <w:r w:rsidRPr="00A35FB6">
              <w:rPr>
                <w:rFonts w:asciiTheme="minorHAnsi" w:eastAsia="Times New Roman" w:hAnsiTheme="minorHAnsi" w:cs="Arial"/>
                <w:color w:val="000000"/>
                <w:kern w:val="24"/>
                <w:lang w:val="en-US"/>
              </w:rPr>
              <w:t>42.1</w:t>
            </w:r>
          </w:p>
        </w:tc>
        <w:tc>
          <w:tcPr>
            <w:tcW w:w="2070" w:type="dxa"/>
            <w:vAlign w:val="center"/>
            <w:hideMark/>
          </w:tcPr>
          <w:p w:rsidR="00676A40" w:rsidRPr="00A35FB6" w:rsidRDefault="00676A40" w:rsidP="007B43CD">
            <w:pPr>
              <w:rPr>
                <w:rFonts w:asciiTheme="minorHAnsi" w:eastAsia="Times New Roman" w:hAnsiTheme="minorHAnsi" w:cs="Arial"/>
                <w:lang w:val="en-US"/>
              </w:rPr>
            </w:pPr>
            <w:r w:rsidRPr="00A35FB6">
              <w:rPr>
                <w:rFonts w:asciiTheme="minorHAnsi" w:eastAsia="Times New Roman" w:hAnsiTheme="minorHAnsi" w:cs="Arial"/>
                <w:color w:val="000000"/>
                <w:kern w:val="24"/>
                <w:lang w:val="en-US"/>
              </w:rPr>
              <w:t>53.1</w:t>
            </w:r>
          </w:p>
        </w:tc>
      </w:tr>
      <w:tr w:rsidR="00676A40" w:rsidRPr="00A35FB6" w:rsidTr="007B43CD">
        <w:trPr>
          <w:trHeight w:val="556"/>
        </w:trPr>
        <w:tc>
          <w:tcPr>
            <w:tcW w:w="1710" w:type="dxa"/>
            <w:vMerge/>
            <w:hideMark/>
          </w:tcPr>
          <w:p w:rsidR="00676A40" w:rsidRPr="00A35FB6" w:rsidRDefault="00676A40" w:rsidP="00D96CA9">
            <w:pPr>
              <w:jc w:val="both"/>
              <w:rPr>
                <w:rFonts w:asciiTheme="minorHAnsi" w:eastAsia="Times New Roman" w:hAnsiTheme="minorHAnsi" w:cs="Arial"/>
                <w:lang w:val="en-US"/>
              </w:rPr>
            </w:pPr>
          </w:p>
        </w:tc>
        <w:tc>
          <w:tcPr>
            <w:tcW w:w="3870" w:type="dxa"/>
            <w:vAlign w:val="center"/>
            <w:hideMark/>
          </w:tcPr>
          <w:p w:rsidR="00676A40" w:rsidRPr="00A35FB6" w:rsidRDefault="00676A40" w:rsidP="007B43CD">
            <w:pPr>
              <w:rPr>
                <w:rFonts w:asciiTheme="minorHAnsi" w:eastAsia="Times New Roman" w:hAnsiTheme="minorHAnsi" w:cs="Arial"/>
                <w:lang w:val="en-US"/>
              </w:rPr>
            </w:pPr>
            <w:r w:rsidRPr="00A35FB6">
              <w:rPr>
                <w:rFonts w:asciiTheme="minorHAnsi" w:eastAsia="Times New Roman" w:hAnsiTheme="minorHAnsi" w:cs="Arial"/>
                <w:color w:val="000000"/>
                <w:kern w:val="24"/>
                <w:lang w:val="en-US"/>
              </w:rPr>
              <w:t xml:space="preserve">3.2.5- %  non-institutional deliveries receiving PNC </w:t>
            </w:r>
          </w:p>
        </w:tc>
        <w:tc>
          <w:tcPr>
            <w:tcW w:w="1710" w:type="dxa"/>
            <w:vAlign w:val="center"/>
          </w:tcPr>
          <w:p w:rsidR="00676A40" w:rsidRPr="00A35FB6" w:rsidRDefault="00676A40" w:rsidP="007B43CD">
            <w:pPr>
              <w:rPr>
                <w:rFonts w:asciiTheme="minorHAnsi" w:eastAsia="Times New Roman" w:hAnsiTheme="minorHAnsi" w:cs="Arial"/>
                <w:color w:val="000000"/>
                <w:kern w:val="24"/>
                <w:lang w:val="en-US"/>
              </w:rPr>
            </w:pPr>
            <w:r w:rsidRPr="00A35FB6">
              <w:rPr>
                <w:rFonts w:asciiTheme="minorHAnsi" w:eastAsia="Times New Roman" w:hAnsiTheme="minorHAnsi" w:cs="Arial"/>
                <w:color w:val="000000"/>
                <w:kern w:val="24"/>
                <w:lang w:val="en-US"/>
              </w:rPr>
              <w:t>5.4</w:t>
            </w:r>
          </w:p>
        </w:tc>
        <w:tc>
          <w:tcPr>
            <w:tcW w:w="2070" w:type="dxa"/>
            <w:vAlign w:val="center"/>
            <w:hideMark/>
          </w:tcPr>
          <w:p w:rsidR="00676A40" w:rsidRPr="00A35FB6" w:rsidRDefault="00676A40" w:rsidP="007B43CD">
            <w:pPr>
              <w:rPr>
                <w:rFonts w:asciiTheme="minorHAnsi" w:eastAsia="Times New Roman" w:hAnsiTheme="minorHAnsi" w:cs="Arial"/>
                <w:lang w:val="en-US"/>
              </w:rPr>
            </w:pPr>
            <w:r w:rsidRPr="00A35FB6">
              <w:rPr>
                <w:rFonts w:asciiTheme="minorHAnsi" w:eastAsia="Times New Roman" w:hAnsiTheme="minorHAnsi" w:cs="Arial"/>
                <w:lang w:val="en-US"/>
              </w:rPr>
              <w:t>7.0</w:t>
            </w:r>
          </w:p>
        </w:tc>
      </w:tr>
      <w:tr w:rsidR="00676A40" w:rsidRPr="00A35FB6" w:rsidTr="007B43CD">
        <w:trPr>
          <w:trHeight w:val="368"/>
        </w:trPr>
        <w:tc>
          <w:tcPr>
            <w:tcW w:w="1710" w:type="dxa"/>
            <w:vMerge/>
            <w:hideMark/>
          </w:tcPr>
          <w:p w:rsidR="00676A40" w:rsidRPr="00A35FB6" w:rsidRDefault="00676A40" w:rsidP="00D96CA9">
            <w:pPr>
              <w:jc w:val="both"/>
              <w:rPr>
                <w:rFonts w:asciiTheme="minorHAnsi" w:eastAsia="Times New Roman" w:hAnsiTheme="minorHAnsi" w:cs="Arial"/>
                <w:lang w:val="en-US"/>
              </w:rPr>
            </w:pPr>
          </w:p>
        </w:tc>
        <w:tc>
          <w:tcPr>
            <w:tcW w:w="3870" w:type="dxa"/>
            <w:vAlign w:val="center"/>
            <w:hideMark/>
          </w:tcPr>
          <w:p w:rsidR="00676A40" w:rsidRPr="00A35FB6" w:rsidRDefault="00676A40" w:rsidP="007B43CD">
            <w:pPr>
              <w:rPr>
                <w:rFonts w:asciiTheme="minorHAnsi" w:eastAsia="Times New Roman" w:hAnsiTheme="minorHAnsi" w:cs="Arial"/>
                <w:lang w:val="en-US"/>
              </w:rPr>
            </w:pPr>
            <w:r w:rsidRPr="00A35FB6">
              <w:rPr>
                <w:rFonts w:asciiTheme="minorHAnsi" w:eastAsia="Times New Roman" w:hAnsiTheme="minorHAnsi" w:cs="Arial"/>
                <w:color w:val="000000"/>
                <w:kern w:val="24"/>
                <w:lang w:val="en-US"/>
              </w:rPr>
              <w:t xml:space="preserve">3.2.6- Facility </w:t>
            </w:r>
            <w:proofErr w:type="spellStart"/>
            <w:r w:rsidRPr="00A35FB6">
              <w:rPr>
                <w:rFonts w:asciiTheme="minorHAnsi" w:eastAsia="Times New Roman" w:hAnsiTheme="minorHAnsi" w:cs="Arial"/>
                <w:color w:val="000000"/>
                <w:kern w:val="24"/>
                <w:lang w:val="en-US"/>
              </w:rPr>
              <w:t>births-poorest:richest</w:t>
            </w:r>
            <w:proofErr w:type="spellEnd"/>
          </w:p>
        </w:tc>
        <w:tc>
          <w:tcPr>
            <w:tcW w:w="1710" w:type="dxa"/>
            <w:vAlign w:val="center"/>
          </w:tcPr>
          <w:p w:rsidR="00676A40" w:rsidRPr="00A35FB6" w:rsidRDefault="00676A40" w:rsidP="007B43CD">
            <w:pPr>
              <w:rPr>
                <w:rFonts w:asciiTheme="minorHAnsi" w:eastAsia="Times New Roman" w:hAnsiTheme="minorHAnsi" w:cs="Arial"/>
                <w:color w:val="000000"/>
                <w:kern w:val="24"/>
                <w:lang w:val="en-US"/>
              </w:rPr>
            </w:pPr>
            <w:r w:rsidRPr="00A35FB6">
              <w:rPr>
                <w:rFonts w:asciiTheme="minorHAnsi" w:eastAsia="Times New Roman" w:hAnsiTheme="minorHAnsi" w:cs="Arial"/>
                <w:color w:val="000000"/>
                <w:kern w:val="24"/>
                <w:lang w:val="en-US"/>
              </w:rPr>
              <w:t>1:4.7</w:t>
            </w:r>
          </w:p>
        </w:tc>
        <w:tc>
          <w:tcPr>
            <w:tcW w:w="2070" w:type="dxa"/>
            <w:vAlign w:val="center"/>
            <w:hideMark/>
          </w:tcPr>
          <w:p w:rsidR="00676A40" w:rsidRPr="00A35FB6" w:rsidRDefault="00676A40" w:rsidP="007B43CD">
            <w:pPr>
              <w:rPr>
                <w:rFonts w:asciiTheme="minorHAnsi" w:eastAsia="Times New Roman" w:hAnsiTheme="minorHAnsi" w:cs="Arial"/>
                <w:lang w:val="en-US"/>
              </w:rPr>
            </w:pPr>
            <w:r w:rsidRPr="00A35FB6">
              <w:rPr>
                <w:rFonts w:asciiTheme="minorHAnsi" w:eastAsia="Times New Roman" w:hAnsiTheme="minorHAnsi" w:cs="Arial"/>
                <w:color w:val="000000"/>
                <w:kern w:val="24"/>
                <w:lang w:val="en-US"/>
              </w:rPr>
              <w:t>1:1.9</w:t>
            </w:r>
          </w:p>
        </w:tc>
      </w:tr>
      <w:tr w:rsidR="00676A40" w:rsidRPr="00A35FB6" w:rsidTr="007B43CD">
        <w:trPr>
          <w:trHeight w:val="368"/>
        </w:trPr>
        <w:tc>
          <w:tcPr>
            <w:tcW w:w="1710" w:type="dxa"/>
            <w:vMerge/>
            <w:hideMark/>
          </w:tcPr>
          <w:p w:rsidR="00676A40" w:rsidRPr="00A35FB6" w:rsidRDefault="00676A40" w:rsidP="00D96CA9">
            <w:pPr>
              <w:jc w:val="both"/>
              <w:rPr>
                <w:rFonts w:asciiTheme="minorHAnsi" w:eastAsia="Times New Roman" w:hAnsiTheme="minorHAnsi" w:cs="Arial"/>
                <w:lang w:val="en-US"/>
              </w:rPr>
            </w:pPr>
          </w:p>
        </w:tc>
        <w:tc>
          <w:tcPr>
            <w:tcW w:w="3870" w:type="dxa"/>
            <w:vAlign w:val="center"/>
            <w:hideMark/>
          </w:tcPr>
          <w:p w:rsidR="00676A40" w:rsidRPr="00A35FB6" w:rsidRDefault="00676A40" w:rsidP="007B43CD">
            <w:pPr>
              <w:rPr>
                <w:rFonts w:asciiTheme="minorHAnsi" w:eastAsia="Times New Roman" w:hAnsiTheme="minorHAnsi" w:cs="Arial"/>
                <w:color w:val="000000"/>
                <w:kern w:val="24"/>
                <w:lang w:val="en-US"/>
              </w:rPr>
            </w:pPr>
            <w:r w:rsidRPr="00A35FB6">
              <w:rPr>
                <w:rFonts w:asciiTheme="minorHAnsi" w:eastAsia="Times New Roman" w:hAnsiTheme="minorHAnsi" w:cs="Arial"/>
                <w:color w:val="000000"/>
                <w:kern w:val="24"/>
                <w:lang w:val="en-US"/>
              </w:rPr>
              <w:t>3.2.9 -MR immunization among children under 12 months</w:t>
            </w:r>
          </w:p>
        </w:tc>
        <w:tc>
          <w:tcPr>
            <w:tcW w:w="1710" w:type="dxa"/>
            <w:vAlign w:val="center"/>
          </w:tcPr>
          <w:p w:rsidR="00676A40" w:rsidRPr="00A35FB6" w:rsidRDefault="00676A40" w:rsidP="007B43CD">
            <w:pPr>
              <w:rPr>
                <w:rFonts w:asciiTheme="minorHAnsi" w:eastAsia="Times New Roman" w:hAnsiTheme="minorHAnsi" w:cs="Arial"/>
                <w:color w:val="000000"/>
                <w:kern w:val="24"/>
                <w:lang w:val="en-US"/>
              </w:rPr>
            </w:pPr>
            <w:r w:rsidRPr="00A35FB6">
              <w:rPr>
                <w:rFonts w:asciiTheme="minorHAnsi" w:eastAsia="Times New Roman" w:hAnsiTheme="minorHAnsi" w:cs="Arial"/>
                <w:color w:val="000000"/>
                <w:kern w:val="24"/>
                <w:lang w:val="en-US"/>
              </w:rPr>
              <w:t>86.6% (CES)</w:t>
            </w:r>
          </w:p>
        </w:tc>
        <w:tc>
          <w:tcPr>
            <w:tcW w:w="2070" w:type="dxa"/>
            <w:vAlign w:val="center"/>
            <w:hideMark/>
          </w:tcPr>
          <w:p w:rsidR="00676A40" w:rsidRPr="00A35FB6" w:rsidRDefault="00676A40" w:rsidP="007B43CD">
            <w:pPr>
              <w:rPr>
                <w:rFonts w:asciiTheme="minorHAnsi" w:eastAsia="Times New Roman" w:hAnsiTheme="minorHAnsi" w:cs="Arial"/>
                <w:color w:val="000000"/>
                <w:kern w:val="24"/>
                <w:lang w:val="en-US"/>
              </w:rPr>
            </w:pPr>
            <w:r w:rsidRPr="00A35FB6">
              <w:rPr>
                <w:rFonts w:asciiTheme="minorHAnsi" w:eastAsia="Times New Roman" w:hAnsiTheme="minorHAnsi" w:cs="Arial"/>
                <w:color w:val="000000"/>
                <w:kern w:val="24"/>
                <w:lang w:val="en-US"/>
              </w:rPr>
              <w:t xml:space="preserve">88.0 </w:t>
            </w:r>
          </w:p>
        </w:tc>
      </w:tr>
      <w:tr w:rsidR="00676A40" w:rsidRPr="00A35FB6" w:rsidTr="007B43CD">
        <w:trPr>
          <w:trHeight w:val="368"/>
        </w:trPr>
        <w:tc>
          <w:tcPr>
            <w:tcW w:w="1710" w:type="dxa"/>
            <w:hideMark/>
          </w:tcPr>
          <w:p w:rsidR="00676A40" w:rsidRPr="00A35FB6" w:rsidRDefault="00676A40" w:rsidP="00D96CA9">
            <w:pPr>
              <w:jc w:val="both"/>
              <w:rPr>
                <w:rFonts w:asciiTheme="minorHAnsi" w:eastAsia="Times New Roman" w:hAnsiTheme="minorHAnsi" w:cs="Arial"/>
                <w:lang w:val="en-US"/>
              </w:rPr>
            </w:pPr>
          </w:p>
        </w:tc>
        <w:tc>
          <w:tcPr>
            <w:tcW w:w="3870" w:type="dxa"/>
            <w:hideMark/>
          </w:tcPr>
          <w:p w:rsidR="00676A40" w:rsidRPr="00A35FB6" w:rsidRDefault="00676A40" w:rsidP="00D96CA9">
            <w:pPr>
              <w:jc w:val="both"/>
              <w:rPr>
                <w:rFonts w:asciiTheme="minorHAnsi" w:eastAsia="Times New Roman" w:hAnsiTheme="minorHAnsi" w:cs="Arial"/>
                <w:color w:val="000000"/>
                <w:kern w:val="24"/>
                <w:lang w:val="en-US"/>
              </w:rPr>
            </w:pPr>
          </w:p>
        </w:tc>
        <w:tc>
          <w:tcPr>
            <w:tcW w:w="1710" w:type="dxa"/>
          </w:tcPr>
          <w:p w:rsidR="00676A40" w:rsidRPr="00A35FB6" w:rsidRDefault="00676A40" w:rsidP="00D96CA9">
            <w:pPr>
              <w:jc w:val="both"/>
              <w:rPr>
                <w:rFonts w:asciiTheme="minorHAnsi" w:eastAsia="Times New Roman" w:hAnsiTheme="minorHAnsi" w:cs="Arial"/>
                <w:color w:val="000000"/>
                <w:kern w:val="24"/>
                <w:lang w:val="en-US"/>
              </w:rPr>
            </w:pPr>
          </w:p>
        </w:tc>
        <w:tc>
          <w:tcPr>
            <w:tcW w:w="2070" w:type="dxa"/>
            <w:hideMark/>
          </w:tcPr>
          <w:p w:rsidR="00676A40" w:rsidRPr="00A35FB6" w:rsidRDefault="00676A40" w:rsidP="00D96CA9">
            <w:pPr>
              <w:jc w:val="both"/>
              <w:rPr>
                <w:rFonts w:asciiTheme="minorHAnsi" w:eastAsia="Times New Roman" w:hAnsiTheme="minorHAnsi" w:cs="Arial"/>
                <w:color w:val="000000"/>
                <w:kern w:val="24"/>
                <w:lang w:val="en-US"/>
              </w:rPr>
            </w:pPr>
          </w:p>
        </w:tc>
      </w:tr>
      <w:tr w:rsidR="00676A40" w:rsidRPr="00A35FB6" w:rsidTr="007B43CD">
        <w:trPr>
          <w:trHeight w:val="368"/>
        </w:trPr>
        <w:tc>
          <w:tcPr>
            <w:tcW w:w="1710" w:type="dxa"/>
            <w:vMerge w:val="restart"/>
            <w:hideMark/>
          </w:tcPr>
          <w:p w:rsidR="00676A40" w:rsidRPr="00A35FB6" w:rsidRDefault="00676A40" w:rsidP="00D96CA9">
            <w:pPr>
              <w:jc w:val="both"/>
              <w:rPr>
                <w:rFonts w:asciiTheme="minorHAnsi" w:eastAsia="Times New Roman" w:hAnsiTheme="minorHAnsi" w:cs="Arial"/>
                <w:lang w:val="en-US"/>
              </w:rPr>
            </w:pPr>
            <w:r w:rsidRPr="00A35FB6">
              <w:rPr>
                <w:rFonts w:asciiTheme="minorHAnsi" w:eastAsia="Times New Roman" w:hAnsiTheme="minorHAnsi" w:cs="Arial"/>
                <w:lang w:val="en-US"/>
              </w:rPr>
              <w:t>3.3.Quality of care improved</w:t>
            </w:r>
          </w:p>
        </w:tc>
        <w:tc>
          <w:tcPr>
            <w:tcW w:w="3870" w:type="dxa"/>
            <w:hideMark/>
          </w:tcPr>
          <w:p w:rsidR="00676A40" w:rsidRPr="00A35FB6" w:rsidRDefault="00676A40" w:rsidP="00D96CA9">
            <w:pPr>
              <w:jc w:val="both"/>
              <w:rPr>
                <w:rFonts w:asciiTheme="minorHAnsi" w:eastAsia="Times New Roman" w:hAnsiTheme="minorHAnsi" w:cs="Arial"/>
                <w:color w:val="000000"/>
                <w:kern w:val="24"/>
                <w:lang w:val="en-US"/>
              </w:rPr>
            </w:pPr>
            <w:r w:rsidRPr="00A35FB6">
              <w:rPr>
                <w:rFonts w:asciiTheme="minorHAnsi" w:eastAsia="Times New Roman" w:hAnsiTheme="minorHAnsi" w:cs="Arial"/>
                <w:color w:val="000000"/>
                <w:kern w:val="24"/>
                <w:lang w:val="en-US"/>
              </w:rPr>
              <w:t>Public health facilities with at least one staff trained in pregnancy and childbirth</w:t>
            </w:r>
          </w:p>
        </w:tc>
        <w:tc>
          <w:tcPr>
            <w:tcW w:w="1710" w:type="dxa"/>
          </w:tcPr>
          <w:p w:rsidR="00676A40" w:rsidRPr="00A35FB6" w:rsidRDefault="00676A40" w:rsidP="00D96CA9">
            <w:pPr>
              <w:jc w:val="both"/>
              <w:rPr>
                <w:rFonts w:asciiTheme="minorHAnsi" w:eastAsia="Times New Roman" w:hAnsiTheme="minorHAnsi" w:cs="Arial"/>
                <w:color w:val="000000"/>
                <w:kern w:val="24"/>
                <w:lang w:val="en-US"/>
              </w:rPr>
            </w:pPr>
            <w:r w:rsidRPr="00A35FB6">
              <w:rPr>
                <w:rFonts w:asciiTheme="minorHAnsi" w:eastAsia="Times New Roman" w:hAnsiTheme="minorHAnsi" w:cs="Arial"/>
                <w:color w:val="000000"/>
                <w:kern w:val="24"/>
                <w:lang w:val="en-US"/>
              </w:rPr>
              <w:t>9.9 (BHFS 2014)</w:t>
            </w:r>
          </w:p>
        </w:tc>
        <w:tc>
          <w:tcPr>
            <w:tcW w:w="2070" w:type="dxa"/>
            <w:hideMark/>
          </w:tcPr>
          <w:p w:rsidR="00676A40" w:rsidRPr="00A35FB6" w:rsidRDefault="00676A40" w:rsidP="00D96CA9">
            <w:pPr>
              <w:jc w:val="both"/>
              <w:rPr>
                <w:rFonts w:asciiTheme="minorHAnsi" w:eastAsia="Times New Roman" w:hAnsiTheme="minorHAnsi" w:cs="Arial"/>
                <w:color w:val="000000"/>
                <w:kern w:val="24"/>
                <w:lang w:val="en-US"/>
              </w:rPr>
            </w:pPr>
            <w:r w:rsidRPr="00A35FB6">
              <w:rPr>
                <w:rFonts w:asciiTheme="minorHAnsi" w:eastAsia="Times New Roman" w:hAnsiTheme="minorHAnsi" w:cs="Arial"/>
                <w:color w:val="000000"/>
                <w:kern w:val="24"/>
                <w:lang w:val="en-US"/>
              </w:rPr>
              <w:t>Data not available exclusively for PH hospitals; Nationally, 64% ANC;45% delivery care (BHFS 2017)</w:t>
            </w:r>
          </w:p>
        </w:tc>
      </w:tr>
      <w:tr w:rsidR="00676A40" w:rsidRPr="00A35FB6" w:rsidTr="007B43CD">
        <w:trPr>
          <w:trHeight w:val="368"/>
        </w:trPr>
        <w:tc>
          <w:tcPr>
            <w:tcW w:w="1710" w:type="dxa"/>
            <w:vMerge/>
            <w:hideMark/>
          </w:tcPr>
          <w:p w:rsidR="00676A40" w:rsidRPr="00A35FB6" w:rsidRDefault="00676A40" w:rsidP="00D96CA9">
            <w:pPr>
              <w:jc w:val="both"/>
              <w:rPr>
                <w:rFonts w:asciiTheme="minorHAnsi" w:eastAsia="Times New Roman" w:hAnsiTheme="minorHAnsi" w:cs="Arial"/>
                <w:lang w:val="en-US"/>
              </w:rPr>
            </w:pPr>
          </w:p>
        </w:tc>
        <w:tc>
          <w:tcPr>
            <w:tcW w:w="3870" w:type="dxa"/>
            <w:hideMark/>
          </w:tcPr>
          <w:p w:rsidR="00676A40" w:rsidRPr="00A35FB6" w:rsidRDefault="00676A40" w:rsidP="00D96CA9">
            <w:pPr>
              <w:jc w:val="both"/>
              <w:rPr>
                <w:rFonts w:asciiTheme="minorHAnsi" w:eastAsia="Times New Roman" w:hAnsiTheme="minorHAnsi" w:cs="Arial"/>
                <w:color w:val="000000"/>
                <w:kern w:val="24"/>
                <w:lang w:val="en-US"/>
              </w:rPr>
            </w:pPr>
            <w:r w:rsidRPr="00A35FB6">
              <w:rPr>
                <w:rFonts w:asciiTheme="minorHAnsi" w:eastAsia="Times New Roman" w:hAnsiTheme="minorHAnsi" w:cs="Arial"/>
                <w:color w:val="000000"/>
                <w:kern w:val="24"/>
                <w:lang w:val="en-US"/>
              </w:rPr>
              <w:t>% public facilities implement and monitor quality improvement activities</w:t>
            </w:r>
          </w:p>
        </w:tc>
        <w:tc>
          <w:tcPr>
            <w:tcW w:w="1710" w:type="dxa"/>
          </w:tcPr>
          <w:p w:rsidR="00676A40" w:rsidRPr="00A35FB6" w:rsidRDefault="00676A40" w:rsidP="00D96CA9">
            <w:pPr>
              <w:jc w:val="both"/>
              <w:rPr>
                <w:rFonts w:asciiTheme="minorHAnsi" w:eastAsia="Times New Roman" w:hAnsiTheme="minorHAnsi" w:cs="Arial"/>
                <w:color w:val="000000"/>
                <w:kern w:val="24"/>
                <w:lang w:val="en-US"/>
              </w:rPr>
            </w:pPr>
            <w:r w:rsidRPr="00A35FB6">
              <w:rPr>
                <w:rFonts w:asciiTheme="minorHAnsi" w:eastAsia="Times New Roman" w:hAnsiTheme="minorHAnsi" w:cs="Arial"/>
                <w:color w:val="000000"/>
                <w:kern w:val="24"/>
                <w:lang w:val="en-US"/>
              </w:rPr>
              <w:t>2 – 1 MCH, 1 DH(APIR 2015)</w:t>
            </w:r>
          </w:p>
        </w:tc>
        <w:tc>
          <w:tcPr>
            <w:tcW w:w="2070" w:type="dxa"/>
            <w:hideMark/>
          </w:tcPr>
          <w:p w:rsidR="00676A40" w:rsidRPr="00A35FB6" w:rsidRDefault="00676A40" w:rsidP="00D96CA9">
            <w:pPr>
              <w:jc w:val="both"/>
              <w:rPr>
                <w:rFonts w:asciiTheme="minorHAnsi" w:eastAsia="Times New Roman" w:hAnsiTheme="minorHAnsi" w:cs="Arial"/>
                <w:color w:val="000000"/>
                <w:kern w:val="24"/>
                <w:lang w:val="en-US"/>
              </w:rPr>
            </w:pPr>
            <w:r w:rsidRPr="00A35FB6">
              <w:rPr>
                <w:rFonts w:asciiTheme="minorHAnsi" w:eastAsia="Times New Roman" w:hAnsiTheme="minorHAnsi" w:cs="Arial"/>
                <w:color w:val="000000"/>
                <w:kern w:val="24"/>
                <w:lang w:val="en-US"/>
              </w:rPr>
              <w:t>110 UHCs</w:t>
            </w:r>
          </w:p>
        </w:tc>
      </w:tr>
    </w:tbl>
    <w:p w:rsidR="00B752DB" w:rsidRDefault="00B752DB" w:rsidP="00487CFD">
      <w:pPr>
        <w:ind w:left="576" w:hanging="576"/>
        <w:jc w:val="both"/>
        <w:rPr>
          <w:rFonts w:asciiTheme="minorHAnsi" w:hAnsiTheme="minorHAnsi"/>
          <w:b/>
          <w:i/>
        </w:rPr>
      </w:pPr>
    </w:p>
    <w:p w:rsidR="00487CFD" w:rsidRPr="00A35FB6" w:rsidRDefault="00487CFD" w:rsidP="00487CFD">
      <w:pPr>
        <w:ind w:left="576" w:hanging="576"/>
        <w:jc w:val="both"/>
        <w:rPr>
          <w:rFonts w:asciiTheme="minorHAnsi" w:hAnsiTheme="minorHAnsi"/>
          <w:b/>
          <w:i/>
        </w:rPr>
      </w:pPr>
      <w:r>
        <w:rPr>
          <w:rFonts w:asciiTheme="minorHAnsi" w:hAnsiTheme="minorHAnsi"/>
          <w:b/>
          <w:i/>
        </w:rPr>
        <w:t xml:space="preserve">5.3 </w:t>
      </w:r>
      <w:r w:rsidRPr="00A35FB6">
        <w:rPr>
          <w:rFonts w:asciiTheme="minorHAnsi" w:hAnsiTheme="minorHAnsi"/>
          <w:b/>
          <w:i/>
        </w:rPr>
        <w:t xml:space="preserve">Progress </w:t>
      </w:r>
      <w:r>
        <w:rPr>
          <w:rFonts w:asciiTheme="minorHAnsi" w:hAnsiTheme="minorHAnsi"/>
          <w:b/>
          <w:i/>
        </w:rPr>
        <w:t xml:space="preserve">against </w:t>
      </w:r>
      <w:r w:rsidRPr="00A35FB6">
        <w:rPr>
          <w:rFonts w:asciiTheme="minorHAnsi" w:hAnsiTheme="minorHAnsi"/>
          <w:b/>
          <w:i/>
        </w:rPr>
        <w:t>OP specific indicators</w:t>
      </w:r>
    </w:p>
    <w:p w:rsidR="007E77BD" w:rsidRPr="00A35FB6" w:rsidRDefault="00487CFD" w:rsidP="007E77BD">
      <w:pPr>
        <w:jc w:val="both"/>
        <w:rPr>
          <w:rFonts w:asciiTheme="minorHAnsi" w:hAnsiTheme="minorHAnsi"/>
          <w:lang w:val="en-US"/>
        </w:rPr>
      </w:pPr>
      <w:r w:rsidRPr="00A35FB6">
        <w:rPr>
          <w:rFonts w:asciiTheme="minorHAnsi" w:hAnsiTheme="minorHAnsi"/>
        </w:rPr>
        <w:t>The progress against individual indicators of each of the five OPs is presented</w:t>
      </w:r>
      <w:r>
        <w:rPr>
          <w:rFonts w:asciiTheme="minorHAnsi" w:hAnsiTheme="minorHAnsi"/>
        </w:rPr>
        <w:t xml:space="preserve"> below</w:t>
      </w:r>
      <w:proofErr w:type="gramStart"/>
      <w:r>
        <w:rPr>
          <w:rFonts w:asciiTheme="minorHAnsi" w:hAnsiTheme="minorHAnsi"/>
        </w:rPr>
        <w:t>:</w:t>
      </w:r>
      <w:proofErr w:type="gramEnd"/>
      <w:r w:rsidR="0012790C">
        <w:rPr>
          <w:rFonts w:asciiTheme="minorHAnsi" w:hAnsiTheme="minorHAnsi"/>
          <w:noProof/>
          <w:lang w:val="en-US"/>
        </w:rPr>
        <w:pict>
          <v:rect id="Rectangle 23" o:spid="_x0000_s1034" style="position:absolute;left:0;text-align:left;margin-left:.75pt;margin-top:18.15pt;width:26.25pt;height:24.75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" fillcolor="#9bbb59 [3206]" stroked="f" strokecolor="#f2f2f2 [3041]" strokeweight="3pt">
            <v:shadow on="t" color="#4e6128 [1606]" opacity=".5" offset="1pt"/>
          </v:rect>
        </w:pict>
      </w:r>
      <w:r w:rsidR="0012790C">
        <w:rPr>
          <w:rFonts w:asciiTheme="minorHAnsi" w:hAnsiTheme="minorHAnsi"/>
          <w:noProof/>
          <w:lang w:val="en-US"/>
        </w:rPr>
        <w:pict>
          <v:rect id="Rectangle 25" o:spid="_x0000_s1036" style="position:absolute;left:0;text-align:left;margin-left:208.5pt;margin-top:18.15pt;width:26.25pt;height:24.7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" fillcolor="#c4bc96 [2414]" stroked="f"/>
        </w:pict>
      </w:r>
      <w:r w:rsidR="007E77BD" w:rsidRPr="00A35FB6">
        <w:rPr>
          <w:rFonts w:asciiTheme="minorHAnsi" w:hAnsiTheme="minorHAnsi"/>
          <w:lang w:val="en-US"/>
        </w:rPr>
        <w:t>Key</w:t>
      </w:r>
    </w:p>
    <w:p w:rsidR="007E77BD" w:rsidRPr="00A35FB6" w:rsidRDefault="0012790C" w:rsidP="007E77BD">
      <w:pPr>
        <w:tabs>
          <w:tab w:val="left" w:pos="720"/>
          <w:tab w:val="left" w:pos="4950"/>
        </w:tabs>
        <w:jc w:val="both"/>
        <w:rPr>
          <w:rFonts w:asciiTheme="minorHAnsi" w:hAnsiTheme="minorHAnsi"/>
          <w:lang w:val="en-US"/>
        </w:rPr>
      </w:pPr>
      <w:r>
        <w:rPr>
          <w:rFonts w:asciiTheme="minorHAnsi" w:hAnsiTheme="minorHAnsi"/>
          <w:noProof/>
          <w:lang w:val="en-US"/>
        </w:rPr>
        <w:pict>
          <v:rect id="Rectangle 24" o:spid="_x0000_s1035" style="position:absolute;left:0;text-align:left;margin-left:.75pt;margin-top:20.05pt;width:26.25pt;height:24.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" fillcolor="yellow" stroked="f"/>
        </w:pict>
      </w:r>
      <w:r>
        <w:rPr>
          <w:rFonts w:asciiTheme="minorHAnsi" w:hAnsiTheme="minorHAnsi"/>
          <w:noProof/>
          <w:lang w:val="en-US"/>
        </w:rPr>
        <w:pict>
          <v:rect id="Rectangle 26" o:spid="_x0000_s1037" style="position:absolute;left:0;text-align:left;margin-left:208.5pt;margin-top:20.05pt;width:26.25pt;height:24.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" fillcolor="red" stroked="f"/>
        </w:pict>
      </w:r>
      <w:r w:rsidR="007E77BD">
        <w:rPr>
          <w:rFonts w:asciiTheme="minorHAnsi" w:hAnsiTheme="minorHAnsi"/>
          <w:lang w:val="en-US"/>
        </w:rPr>
        <w:tab/>
        <w:t>80 percent or more achievement</w:t>
      </w:r>
      <w:r w:rsidR="007E77BD">
        <w:rPr>
          <w:rFonts w:asciiTheme="minorHAnsi" w:hAnsiTheme="minorHAnsi"/>
          <w:lang w:val="en-US"/>
        </w:rPr>
        <w:tab/>
      </w:r>
      <w:r w:rsidR="007E77BD" w:rsidRPr="00A35FB6">
        <w:rPr>
          <w:rFonts w:asciiTheme="minorHAnsi" w:hAnsiTheme="minorHAnsi"/>
          <w:lang w:val="en-US"/>
        </w:rPr>
        <w:t>No information/unreliable data</w:t>
      </w:r>
    </w:p>
    <w:p w:rsidR="007E77BD" w:rsidRPr="00A35FB6" w:rsidRDefault="007E77BD" w:rsidP="007E77BD">
      <w:pPr>
        <w:tabs>
          <w:tab w:val="left" w:pos="720"/>
          <w:tab w:val="left" w:pos="4950"/>
        </w:tabs>
        <w:jc w:val="both"/>
        <w:rPr>
          <w:rFonts w:asciiTheme="minorHAnsi" w:hAnsiTheme="minorHAnsi"/>
          <w:lang w:val="en-US"/>
        </w:rPr>
      </w:pPr>
      <w:r>
        <w:rPr>
          <w:rFonts w:asciiTheme="minorHAnsi" w:hAnsiTheme="minorHAnsi"/>
          <w:lang w:val="en-US"/>
        </w:rPr>
        <w:tab/>
      </w:r>
      <w:r w:rsidRPr="00A35FB6">
        <w:rPr>
          <w:rFonts w:asciiTheme="minorHAnsi" w:hAnsiTheme="minorHAnsi"/>
          <w:lang w:val="en-US"/>
        </w:rPr>
        <w:t xml:space="preserve"> 50-80% achiev</w:t>
      </w:r>
      <w:r>
        <w:rPr>
          <w:rFonts w:asciiTheme="minorHAnsi" w:hAnsiTheme="minorHAnsi"/>
          <w:lang w:val="en-US"/>
        </w:rPr>
        <w:t>ement</w:t>
      </w:r>
      <w:r>
        <w:rPr>
          <w:rFonts w:asciiTheme="minorHAnsi" w:hAnsiTheme="minorHAnsi"/>
          <w:lang w:val="en-US"/>
        </w:rPr>
        <w:tab/>
      </w:r>
      <w:r w:rsidRPr="00A35FB6">
        <w:rPr>
          <w:rFonts w:asciiTheme="minorHAnsi" w:hAnsiTheme="minorHAnsi"/>
          <w:lang w:val="en-US"/>
        </w:rPr>
        <w:t>50% or less achievement</w:t>
      </w:r>
    </w:p>
    <w:p w:rsidR="00D81A59" w:rsidRDefault="00D81A59" w:rsidP="00EB1B7B">
      <w:pPr>
        <w:shd w:val="clear" w:color="auto" w:fill="FFFFFF"/>
        <w:spacing w:after="0" w:line="240" w:lineRule="auto"/>
        <w:jc w:val="both"/>
        <w:rPr>
          <w:rFonts w:asciiTheme="minorHAnsi" w:eastAsia="Times New Roman" w:hAnsiTheme="minorHAnsi" w:cs="Arial"/>
          <w:color w:val="222222"/>
          <w:lang w:val="en-US"/>
        </w:rPr>
      </w:pPr>
    </w:p>
    <w:p w:rsidR="008963C7" w:rsidRDefault="008963C7" w:rsidP="00EB1B7B">
      <w:pPr>
        <w:shd w:val="clear" w:color="auto" w:fill="FFFFFF"/>
        <w:spacing w:after="0" w:line="240" w:lineRule="auto"/>
        <w:jc w:val="both"/>
        <w:rPr>
          <w:rFonts w:asciiTheme="minorHAnsi" w:eastAsia="Times New Roman" w:hAnsiTheme="minorHAnsi" w:cs="Arial"/>
          <w:b/>
          <w:color w:val="222222"/>
          <w:lang w:val="en-US"/>
        </w:rPr>
        <w:sectPr w:rsidR="008963C7" w:rsidSect="00BF428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pPr>
    </w:p>
    <w:p w:rsidR="007E77BD" w:rsidRPr="00A35FB6" w:rsidRDefault="007E77BD" w:rsidP="007E77BD">
      <w:pPr>
        <w:shd w:val="clear" w:color="auto" w:fill="FFFFFF"/>
        <w:spacing w:after="0" w:line="240" w:lineRule="auto"/>
        <w:jc w:val="both"/>
        <w:rPr>
          <w:rFonts w:asciiTheme="minorHAnsi" w:eastAsia="Times New Roman" w:hAnsiTheme="minorHAnsi" w:cs="Arial"/>
          <w:b/>
          <w:color w:val="222222"/>
          <w:sz w:val="24"/>
          <w:szCs w:val="24"/>
          <w:lang w:val="en-US"/>
        </w:rPr>
      </w:pPr>
      <w:r w:rsidRPr="00A35FB6">
        <w:rPr>
          <w:rFonts w:asciiTheme="minorHAnsi" w:eastAsia="Times New Roman" w:hAnsiTheme="minorHAnsi" w:cs="Arial"/>
          <w:b/>
          <w:color w:val="222222"/>
          <w:lang w:val="en-US"/>
        </w:rPr>
        <w:lastRenderedPageBreak/>
        <w:t>OP 12 NMES</w:t>
      </w:r>
    </w:p>
    <w:tbl>
      <w:tblPr>
        <w:tblW w:w="0" w:type="auto"/>
        <w:tblInd w:w="108" w:type="dxa"/>
        <w:shd w:val="clear" w:color="auto" w:fill="FFFFFF"/>
        <w:tblCellMar>
          <w:left w:w="0" w:type="dxa"/>
          <w:right w:w="0" w:type="dxa"/>
        </w:tblCellMar>
        <w:tblLook w:val="04A0" w:firstRow="1" w:lastRow="0" w:firstColumn="1" w:lastColumn="0" w:noHBand="0" w:noVBand="1"/>
      </w:tblPr>
      <w:tblGrid>
        <w:gridCol w:w="2359"/>
        <w:gridCol w:w="1597"/>
        <w:gridCol w:w="1480"/>
        <w:gridCol w:w="1048"/>
        <w:gridCol w:w="1049"/>
        <w:gridCol w:w="1048"/>
        <w:gridCol w:w="1049"/>
        <w:gridCol w:w="2520"/>
        <w:gridCol w:w="810"/>
      </w:tblGrid>
      <w:tr w:rsidR="007E77BD" w:rsidRPr="00A35FB6" w:rsidTr="007E77BD">
        <w:tc>
          <w:tcPr>
            <w:tcW w:w="23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Indicator</w:t>
            </w:r>
          </w:p>
        </w:tc>
        <w:tc>
          <w:tcPr>
            <w:tcW w:w="15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Unit of measurement</w:t>
            </w:r>
          </w:p>
        </w:tc>
        <w:tc>
          <w:tcPr>
            <w:tcW w:w="14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Baseline</w:t>
            </w:r>
          </w:p>
        </w:tc>
        <w:tc>
          <w:tcPr>
            <w:tcW w:w="104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June 2018</w:t>
            </w:r>
          </w:p>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Target</w:t>
            </w:r>
          </w:p>
        </w:tc>
        <w:tc>
          <w:tcPr>
            <w:tcW w:w="104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Available data</w:t>
            </w:r>
          </w:p>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To date</w:t>
            </w:r>
          </w:p>
        </w:tc>
        <w:tc>
          <w:tcPr>
            <w:tcW w:w="104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Mid Term Target</w:t>
            </w:r>
          </w:p>
        </w:tc>
        <w:tc>
          <w:tcPr>
            <w:tcW w:w="104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EOP target</w:t>
            </w:r>
          </w:p>
        </w:tc>
        <w:tc>
          <w:tcPr>
            <w:tcW w:w="25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Comment</w:t>
            </w:r>
          </w:p>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 </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Score:</w:t>
            </w:r>
          </w:p>
          <w:p w:rsidR="007E77BD" w:rsidRPr="00A35FB6" w:rsidRDefault="007E77BD" w:rsidP="007E77BD">
            <w:pPr>
              <w:spacing w:after="0" w:line="240" w:lineRule="auto"/>
              <w:rPr>
                <w:rFonts w:asciiTheme="minorHAnsi" w:eastAsia="Times New Roman" w:hAnsiTheme="minorHAnsi"/>
                <w:color w:val="222222"/>
                <w:sz w:val="24"/>
                <w:szCs w:val="24"/>
                <w:lang w:val="en-US"/>
              </w:rPr>
            </w:pPr>
          </w:p>
        </w:tc>
      </w:tr>
      <w:tr w:rsidR="007E77BD" w:rsidRPr="00A35FB6" w:rsidTr="007E77BD">
        <w:tc>
          <w:tcPr>
            <w:tcW w:w="23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 newly recruited nurses and MWs received orientation training</w:t>
            </w:r>
          </w:p>
        </w:tc>
        <w:tc>
          <w:tcPr>
            <w:tcW w:w="1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 nurses/MWs (APIR)</w:t>
            </w:r>
          </w:p>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xml:space="preserve"># training (OP- </w:t>
            </w:r>
            <w:proofErr w:type="spellStart"/>
            <w:r w:rsidRPr="00A35FB6">
              <w:rPr>
                <w:rFonts w:asciiTheme="minorHAnsi" w:eastAsia="Times New Roman" w:hAnsiTheme="minorHAnsi"/>
                <w:color w:val="222222"/>
                <w:sz w:val="20"/>
                <w:lang w:val="en-US"/>
              </w:rPr>
              <w:t>MoH</w:t>
            </w:r>
            <w:proofErr w:type="spellEnd"/>
            <w:r w:rsidRPr="00A35FB6">
              <w:rPr>
                <w:rFonts w:asciiTheme="minorHAnsi" w:eastAsia="Times New Roman" w:hAnsiTheme="minorHAnsi"/>
                <w:color w:val="222222"/>
                <w:sz w:val="20"/>
                <w:lang w:val="en-US"/>
              </w:rPr>
              <w:t>)</w:t>
            </w:r>
          </w:p>
        </w:tc>
        <w:tc>
          <w:tcPr>
            <w:tcW w:w="14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370 trainings</w:t>
            </w:r>
          </w:p>
        </w:tc>
        <w:tc>
          <w:tcPr>
            <w:tcW w:w="10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4000</w:t>
            </w:r>
          </w:p>
        </w:tc>
        <w:tc>
          <w:tcPr>
            <w:tcW w:w="10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1230</w:t>
            </w:r>
          </w:p>
        </w:tc>
        <w:tc>
          <w:tcPr>
            <w:tcW w:w="10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4000</w:t>
            </w:r>
          </w:p>
        </w:tc>
        <w:tc>
          <w:tcPr>
            <w:tcW w:w="10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3000</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hd w:val="clear" w:color="auto" w:fill="FFFFFF" w:themeFill="background1"/>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.Progress during  review period was inadequate </w:t>
            </w:r>
            <w:r w:rsidR="009E7B36">
              <w:rPr>
                <w:rFonts w:asciiTheme="minorHAnsi" w:eastAsia="Times New Roman" w:hAnsiTheme="minorHAnsi"/>
                <w:color w:val="222222"/>
                <w:sz w:val="20"/>
                <w:lang w:val="en-US"/>
              </w:rPr>
              <w:t>but is now back on tr</w:t>
            </w:r>
            <w:r w:rsidRPr="00A35FB6">
              <w:rPr>
                <w:rFonts w:asciiTheme="minorHAnsi" w:eastAsia="Times New Roman" w:hAnsiTheme="minorHAnsi"/>
                <w:color w:val="222222"/>
                <w:sz w:val="20"/>
                <w:szCs w:val="24"/>
                <w:lang w:val="en-US"/>
              </w:rPr>
              <w:t>ack</w:t>
            </w:r>
          </w:p>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810" w:type="dxa"/>
            <w:tcBorders>
              <w:top w:val="nil"/>
              <w:left w:val="nil"/>
              <w:bottom w:val="single" w:sz="8" w:space="0" w:color="auto"/>
              <w:right w:val="single" w:sz="8" w:space="0" w:color="auto"/>
            </w:tcBorders>
            <w:shd w:val="clear" w:color="auto" w:fill="FF000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highlight w:val="yellow"/>
                <w:lang w:val="en-US"/>
              </w:rPr>
            </w:pPr>
          </w:p>
          <w:p w:rsidR="007E77BD" w:rsidRPr="00A35FB6" w:rsidRDefault="007E77BD" w:rsidP="007E77BD">
            <w:pPr>
              <w:rPr>
                <w:rFonts w:asciiTheme="minorHAnsi" w:eastAsia="Times New Roman" w:hAnsiTheme="minorHAnsi"/>
                <w:sz w:val="20"/>
                <w:szCs w:val="24"/>
                <w:highlight w:val="yellow"/>
                <w:lang w:val="en-US"/>
              </w:rPr>
            </w:pPr>
          </w:p>
          <w:p w:rsidR="007E77BD" w:rsidRPr="00A35FB6" w:rsidRDefault="007E77BD" w:rsidP="007E77BD">
            <w:pPr>
              <w:rPr>
                <w:rFonts w:asciiTheme="minorHAnsi" w:eastAsia="Times New Roman" w:hAnsiTheme="minorHAnsi"/>
                <w:sz w:val="20"/>
                <w:szCs w:val="24"/>
                <w:lang w:val="en-US"/>
              </w:rPr>
            </w:pPr>
          </w:p>
        </w:tc>
      </w:tr>
      <w:tr w:rsidR="007E77BD" w:rsidRPr="00A35FB6" w:rsidTr="007E77BD">
        <w:tc>
          <w:tcPr>
            <w:tcW w:w="23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 nurses received specialized education and training</w:t>
            </w:r>
          </w:p>
        </w:tc>
        <w:tc>
          <w:tcPr>
            <w:tcW w:w="1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 nurses trained</w:t>
            </w:r>
          </w:p>
        </w:tc>
        <w:tc>
          <w:tcPr>
            <w:tcW w:w="14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2200</w:t>
            </w:r>
          </w:p>
        </w:tc>
        <w:tc>
          <w:tcPr>
            <w:tcW w:w="10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6000</w:t>
            </w:r>
          </w:p>
        </w:tc>
        <w:tc>
          <w:tcPr>
            <w:tcW w:w="10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42</w:t>
            </w:r>
          </w:p>
        </w:tc>
        <w:tc>
          <w:tcPr>
            <w:tcW w:w="10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6000</w:t>
            </w:r>
          </w:p>
        </w:tc>
        <w:tc>
          <w:tcPr>
            <w:tcW w:w="10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9000</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New cycle of training has started; back on track</w:t>
            </w:r>
          </w:p>
        </w:tc>
        <w:tc>
          <w:tcPr>
            <w:tcW w:w="810" w:type="dxa"/>
            <w:tcBorders>
              <w:top w:val="nil"/>
              <w:left w:val="nil"/>
              <w:bottom w:val="single" w:sz="8" w:space="0" w:color="auto"/>
              <w:right w:val="single" w:sz="8" w:space="0" w:color="auto"/>
            </w:tcBorders>
            <w:shd w:val="clear" w:color="auto" w:fill="FF000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highlight w:val="yellow"/>
                <w:lang w:val="en-US"/>
              </w:rPr>
            </w:pPr>
          </w:p>
        </w:tc>
      </w:tr>
      <w:tr w:rsidR="007E77BD" w:rsidRPr="00A35FB6" w:rsidTr="007E77BD">
        <w:tc>
          <w:tcPr>
            <w:tcW w:w="2359"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 newsletter/HR report published</w:t>
            </w:r>
          </w:p>
        </w:tc>
        <w:tc>
          <w:tcPr>
            <w:tcW w:w="1597"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2/</w:t>
            </w:r>
            <w:proofErr w:type="spellStart"/>
            <w:r w:rsidRPr="00A35FB6">
              <w:rPr>
                <w:rFonts w:asciiTheme="minorHAnsi" w:eastAsia="Times New Roman" w:hAnsiTheme="minorHAnsi"/>
                <w:color w:val="222222"/>
                <w:sz w:val="20"/>
                <w:lang w:val="en-US"/>
              </w:rPr>
              <w:t>yr</w:t>
            </w:r>
            <w:proofErr w:type="spellEnd"/>
          </w:p>
        </w:tc>
        <w:tc>
          <w:tcPr>
            <w:tcW w:w="14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NA</w:t>
            </w:r>
          </w:p>
        </w:tc>
        <w:tc>
          <w:tcPr>
            <w:tcW w:w="1048"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2</w:t>
            </w:r>
          </w:p>
        </w:tc>
        <w:tc>
          <w:tcPr>
            <w:tcW w:w="104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2</w:t>
            </w:r>
          </w:p>
        </w:tc>
        <w:tc>
          <w:tcPr>
            <w:tcW w:w="1048"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4</w:t>
            </w:r>
          </w:p>
        </w:tc>
        <w:tc>
          <w:tcPr>
            <w:tcW w:w="104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6</w:t>
            </w:r>
          </w:p>
        </w:tc>
        <w:tc>
          <w:tcPr>
            <w:tcW w:w="25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r w:rsidRPr="00A35FB6">
              <w:rPr>
                <w:rFonts w:asciiTheme="minorHAnsi" w:eastAsia="Times New Roman" w:hAnsiTheme="minorHAnsi"/>
                <w:color w:val="222222"/>
                <w:sz w:val="20"/>
                <w:lang w:val="en-US"/>
              </w:rPr>
              <w:t xml:space="preserve">Indicator not aspirational;  needs to be reviewed  to relate to OP objectives  </w:t>
            </w:r>
          </w:p>
        </w:tc>
        <w:tc>
          <w:tcPr>
            <w:tcW w:w="810" w:type="dxa"/>
            <w:tcBorders>
              <w:top w:val="nil"/>
              <w:left w:val="nil"/>
              <w:bottom w:val="nil"/>
              <w:right w:val="single" w:sz="8" w:space="0" w:color="auto"/>
            </w:tcBorders>
            <w:shd w:val="clear" w:color="auto" w:fill="00B05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w:t>
            </w:r>
          </w:p>
          <w:p w:rsidR="007E77BD" w:rsidRPr="00A35FB6" w:rsidRDefault="007E77BD" w:rsidP="007E77BD">
            <w:pPr>
              <w:spacing w:after="0" w:line="240" w:lineRule="auto"/>
              <w:rPr>
                <w:rFonts w:asciiTheme="minorHAnsi" w:eastAsia="Times New Roman" w:hAnsiTheme="minorHAnsi"/>
                <w:color w:val="222222"/>
                <w:sz w:val="20"/>
                <w:szCs w:val="24"/>
                <w:lang w:val="en-US"/>
              </w:rPr>
            </w:pPr>
          </w:p>
        </w:tc>
      </w:tr>
      <w:tr w:rsidR="007E77BD" w:rsidRPr="00A35FB6" w:rsidTr="007E77BD">
        <w:tc>
          <w:tcPr>
            <w:tcW w:w="2359"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training manual developed/updated</w:t>
            </w:r>
          </w:p>
          <w:p w:rsidR="007E77BD" w:rsidRPr="00A35FB6" w:rsidRDefault="007E77BD" w:rsidP="007E77BD">
            <w:pPr>
              <w:spacing w:after="0" w:line="240" w:lineRule="auto"/>
              <w:rPr>
                <w:rFonts w:asciiTheme="minorHAnsi" w:eastAsia="Times New Roman" w:hAnsiTheme="minorHAnsi"/>
                <w:color w:val="222222"/>
                <w:sz w:val="20"/>
                <w:lang w:val="en-US"/>
              </w:rPr>
            </w:pPr>
          </w:p>
        </w:tc>
        <w:tc>
          <w:tcPr>
            <w:tcW w:w="1597"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manual</w:t>
            </w:r>
          </w:p>
        </w:tc>
        <w:tc>
          <w:tcPr>
            <w:tcW w:w="14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(DGNM/BNMC)</w:t>
            </w:r>
          </w:p>
        </w:tc>
        <w:tc>
          <w:tcPr>
            <w:tcW w:w="1048"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w:t>
            </w:r>
          </w:p>
        </w:tc>
        <w:tc>
          <w:tcPr>
            <w:tcW w:w="104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2</w:t>
            </w:r>
          </w:p>
        </w:tc>
        <w:tc>
          <w:tcPr>
            <w:tcW w:w="1048"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w:t>
            </w:r>
          </w:p>
        </w:tc>
        <w:tc>
          <w:tcPr>
            <w:tcW w:w="104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5</w:t>
            </w:r>
          </w:p>
        </w:tc>
        <w:tc>
          <w:tcPr>
            <w:tcW w:w="25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Limited progress during review period but now back on track</w:t>
            </w:r>
          </w:p>
        </w:tc>
        <w:tc>
          <w:tcPr>
            <w:tcW w:w="810" w:type="dxa"/>
            <w:tcBorders>
              <w:top w:val="nil"/>
              <w:left w:val="nil"/>
              <w:bottom w:val="nil"/>
              <w:right w:val="single" w:sz="8" w:space="0" w:color="auto"/>
            </w:tcBorders>
            <w:shd w:val="clear" w:color="auto" w:fill="FFFF0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3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MWs produced</w:t>
            </w:r>
          </w:p>
        </w:tc>
        <w:tc>
          <w:tcPr>
            <w:tcW w:w="15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MW</w:t>
            </w:r>
          </w:p>
        </w:tc>
        <w:tc>
          <w:tcPr>
            <w:tcW w:w="14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975</w:t>
            </w:r>
          </w:p>
        </w:tc>
        <w:tc>
          <w:tcPr>
            <w:tcW w:w="10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2925</w:t>
            </w:r>
          </w:p>
        </w:tc>
        <w:tc>
          <w:tcPr>
            <w:tcW w:w="10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2925</w:t>
            </w:r>
          </w:p>
        </w:tc>
        <w:tc>
          <w:tcPr>
            <w:tcW w:w="10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1950</w:t>
            </w:r>
          </w:p>
        </w:tc>
        <w:tc>
          <w:tcPr>
            <w:tcW w:w="10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2925</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9E7B36">
            <w:pPr>
              <w:spacing w:after="0" w:line="240" w:lineRule="auto"/>
              <w:rPr>
                <w:rFonts w:asciiTheme="minorHAnsi" w:eastAsia="Times New Roman" w:hAnsiTheme="minorHAnsi"/>
                <w:color w:val="222222"/>
                <w:sz w:val="20"/>
                <w:lang w:val="en-US"/>
              </w:rPr>
            </w:pPr>
            <w:proofErr w:type="spellStart"/>
            <w:r w:rsidRPr="00A35FB6">
              <w:rPr>
                <w:rFonts w:asciiTheme="minorHAnsi" w:eastAsia="Times New Roman" w:hAnsiTheme="minorHAnsi"/>
                <w:color w:val="222222"/>
                <w:sz w:val="20"/>
                <w:lang w:val="en-US"/>
              </w:rPr>
              <w:t>Programme</w:t>
            </w:r>
            <w:proofErr w:type="spellEnd"/>
            <w:r w:rsidRPr="00A35FB6">
              <w:rPr>
                <w:rFonts w:asciiTheme="minorHAnsi" w:eastAsia="Times New Roman" w:hAnsiTheme="minorHAnsi"/>
                <w:color w:val="222222"/>
                <w:sz w:val="20"/>
                <w:lang w:val="en-US"/>
              </w:rPr>
              <w:t xml:space="preserve"> end target already reached</w:t>
            </w:r>
          </w:p>
        </w:tc>
        <w:tc>
          <w:tcPr>
            <w:tcW w:w="810" w:type="dxa"/>
            <w:tcBorders>
              <w:top w:val="nil"/>
              <w:left w:val="nil"/>
              <w:bottom w:val="single" w:sz="8" w:space="0" w:color="auto"/>
              <w:right w:val="single" w:sz="8" w:space="0" w:color="auto"/>
            </w:tcBorders>
            <w:shd w:val="clear" w:color="auto" w:fill="00B05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bl>
    <w:p w:rsidR="007E77BD" w:rsidRDefault="007E77BD" w:rsidP="007E77BD">
      <w:pPr>
        <w:shd w:val="clear" w:color="auto" w:fill="FFFFFF"/>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 </w:t>
      </w:r>
    </w:p>
    <w:p w:rsidR="007E77BD" w:rsidRPr="00A35FB6" w:rsidRDefault="007E77BD" w:rsidP="007E77BD">
      <w:pPr>
        <w:shd w:val="clear" w:color="auto" w:fill="FFFFFF"/>
        <w:spacing w:after="0" w:line="240" w:lineRule="auto"/>
        <w:jc w:val="both"/>
        <w:rPr>
          <w:rFonts w:asciiTheme="minorHAnsi" w:eastAsia="Times New Roman" w:hAnsiTheme="minorHAnsi" w:cs="Arial"/>
          <w:color w:val="222222"/>
          <w:lang w:val="en-US"/>
        </w:rPr>
      </w:pPr>
    </w:p>
    <w:p w:rsidR="007E77BD" w:rsidRPr="00A35FB6" w:rsidRDefault="007E77BD" w:rsidP="007E77BD">
      <w:pPr>
        <w:shd w:val="clear" w:color="auto" w:fill="FFFFFF"/>
        <w:spacing w:after="0" w:line="240" w:lineRule="auto"/>
        <w:jc w:val="both"/>
        <w:rPr>
          <w:rFonts w:asciiTheme="minorHAnsi" w:eastAsia="Times New Roman" w:hAnsiTheme="minorHAnsi" w:cs="Arial"/>
          <w:b/>
          <w:color w:val="222222"/>
          <w:sz w:val="24"/>
          <w:szCs w:val="24"/>
          <w:lang w:val="en-US"/>
        </w:rPr>
      </w:pPr>
      <w:r w:rsidRPr="00A35FB6">
        <w:rPr>
          <w:rFonts w:asciiTheme="minorHAnsi" w:eastAsia="Times New Roman" w:hAnsiTheme="minorHAnsi" w:cs="Arial"/>
          <w:color w:val="222222"/>
          <w:lang w:val="en-US"/>
        </w:rPr>
        <w:t> </w:t>
      </w:r>
      <w:r w:rsidRPr="00A35FB6">
        <w:rPr>
          <w:rFonts w:asciiTheme="minorHAnsi" w:eastAsia="Times New Roman" w:hAnsiTheme="minorHAnsi" w:cs="Arial"/>
          <w:b/>
          <w:color w:val="222222"/>
          <w:lang w:val="en-US"/>
        </w:rPr>
        <w:t>OP 16 MNCAH</w:t>
      </w:r>
    </w:p>
    <w:tbl>
      <w:tblPr>
        <w:tblW w:w="0" w:type="auto"/>
        <w:tblInd w:w="108" w:type="dxa"/>
        <w:shd w:val="clear" w:color="auto" w:fill="FFFFFF"/>
        <w:tblLayout w:type="fixed"/>
        <w:tblCellMar>
          <w:left w:w="0" w:type="dxa"/>
          <w:right w:w="0" w:type="dxa"/>
        </w:tblCellMar>
        <w:tblLook w:val="04A0" w:firstRow="1" w:lastRow="0" w:firstColumn="1" w:lastColumn="0" w:noHBand="0" w:noVBand="1"/>
      </w:tblPr>
      <w:tblGrid>
        <w:gridCol w:w="2340"/>
        <w:gridCol w:w="1530"/>
        <w:gridCol w:w="1620"/>
        <w:gridCol w:w="1530"/>
        <w:gridCol w:w="1080"/>
        <w:gridCol w:w="990"/>
        <w:gridCol w:w="990"/>
        <w:gridCol w:w="2070"/>
        <w:gridCol w:w="810"/>
      </w:tblGrid>
      <w:tr w:rsidR="007E77BD" w:rsidRPr="00A35FB6" w:rsidTr="007E77BD">
        <w:trPr>
          <w:tblHeader/>
        </w:trPr>
        <w:tc>
          <w:tcPr>
            <w:tcW w:w="23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Indicator</w:t>
            </w:r>
          </w:p>
        </w:tc>
        <w:tc>
          <w:tcPr>
            <w:tcW w:w="15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Unit of measurement</w:t>
            </w:r>
          </w:p>
        </w:tc>
        <w:tc>
          <w:tcPr>
            <w:tcW w:w="16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Baseline</w:t>
            </w:r>
          </w:p>
        </w:tc>
        <w:tc>
          <w:tcPr>
            <w:tcW w:w="15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June 2018</w:t>
            </w:r>
          </w:p>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Target</w:t>
            </w:r>
          </w:p>
        </w:tc>
        <w:tc>
          <w:tcPr>
            <w:tcW w:w="10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Available data</w:t>
            </w:r>
          </w:p>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To date</w:t>
            </w:r>
          </w:p>
        </w:tc>
        <w:tc>
          <w:tcPr>
            <w:tcW w:w="9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Mid Term Target</w:t>
            </w:r>
          </w:p>
        </w:tc>
        <w:tc>
          <w:tcPr>
            <w:tcW w:w="9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EOP target</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Comment</w:t>
            </w:r>
          </w:p>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 </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Score</w:t>
            </w:r>
          </w:p>
          <w:p w:rsidR="007E77BD" w:rsidRPr="00A35FB6" w:rsidRDefault="007E77BD" w:rsidP="007E77BD">
            <w:pPr>
              <w:spacing w:after="0" w:line="240" w:lineRule="auto"/>
              <w:rPr>
                <w:rFonts w:asciiTheme="minorHAnsi" w:eastAsia="Times New Roman" w:hAnsiTheme="minorHAnsi"/>
                <w:color w:val="222222"/>
                <w:sz w:val="24"/>
                <w:szCs w:val="24"/>
                <w:lang w:val="en-US"/>
              </w:rPr>
            </w:pPr>
          </w:p>
        </w:tc>
      </w:tr>
      <w:tr w:rsidR="007E77BD" w:rsidRPr="00A35FB6" w:rsidTr="007E77BD">
        <w:tc>
          <w:tcPr>
            <w:tcW w:w="23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0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20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81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highlight w:val="yellow"/>
                <w:lang w:val="en-US"/>
              </w:rPr>
            </w:pPr>
          </w:p>
        </w:tc>
      </w:tr>
      <w:tr w:rsidR="007E77BD" w:rsidRPr="00A35FB6" w:rsidTr="007E77BD">
        <w:tc>
          <w:tcPr>
            <w:tcW w:w="23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0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20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highlight w:val="yellow"/>
                <w:lang w:val="en-US"/>
              </w:rPr>
            </w:pPr>
          </w:p>
        </w:tc>
      </w:tr>
      <w:tr w:rsidR="007E77BD" w:rsidRPr="00A35FB6" w:rsidTr="007E77BD">
        <w:tc>
          <w:tcPr>
            <w:tcW w:w="234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20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810" w:type="dxa"/>
            <w:tcBorders>
              <w:top w:val="nil"/>
              <w:left w:val="nil"/>
              <w:bottom w:val="nil"/>
              <w:right w:val="single" w:sz="8" w:space="0" w:color="auto"/>
            </w:tcBorders>
            <w:shd w:val="clear" w:color="auto" w:fill="00B050"/>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r>
      <w:tr w:rsidR="007E77BD" w:rsidRPr="00A35FB6" w:rsidTr="007E77BD">
        <w:tc>
          <w:tcPr>
            <w:tcW w:w="234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c>
          <w:tcPr>
            <w:tcW w:w="20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c>
          <w:tcPr>
            <w:tcW w:w="810" w:type="dxa"/>
            <w:tcBorders>
              <w:top w:val="nil"/>
              <w:left w:val="nil"/>
              <w:bottom w:val="nil"/>
              <w:right w:val="single" w:sz="8" w:space="0" w:color="auto"/>
            </w:tcBorders>
            <w:shd w:val="clear" w:color="auto" w:fill="FFFF00"/>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r>
      <w:tr w:rsidR="007E77BD" w:rsidRPr="00A35FB6" w:rsidTr="007E77BD">
        <w:tc>
          <w:tcPr>
            <w:tcW w:w="234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roofErr w:type="spellStart"/>
            <w:r w:rsidRPr="00A35FB6">
              <w:rPr>
                <w:rFonts w:asciiTheme="minorHAnsi" w:eastAsia="Times New Roman" w:hAnsiTheme="minorHAnsi"/>
                <w:color w:val="222222"/>
                <w:sz w:val="20"/>
                <w:lang w:val="en-US"/>
              </w:rPr>
              <w:t>Utilisation</w:t>
            </w:r>
            <w:proofErr w:type="spellEnd"/>
            <w:r w:rsidRPr="00A35FB6">
              <w:rPr>
                <w:rFonts w:asciiTheme="minorHAnsi" w:eastAsia="Times New Roman" w:hAnsiTheme="minorHAnsi"/>
                <w:color w:val="222222"/>
                <w:sz w:val="20"/>
                <w:lang w:val="en-US"/>
              </w:rPr>
              <w:t xml:space="preserve"> of Maternal health services is increased in </w:t>
            </w:r>
            <w:proofErr w:type="spellStart"/>
            <w:r w:rsidRPr="00A35FB6">
              <w:rPr>
                <w:rFonts w:asciiTheme="minorHAnsi" w:eastAsia="Times New Roman" w:hAnsiTheme="minorHAnsi"/>
                <w:color w:val="222222"/>
                <w:sz w:val="20"/>
                <w:lang w:val="en-US"/>
              </w:rPr>
              <w:t>Sylhet</w:t>
            </w:r>
            <w:proofErr w:type="spellEnd"/>
            <w:r w:rsidRPr="00A35FB6">
              <w:rPr>
                <w:rFonts w:asciiTheme="minorHAnsi" w:eastAsia="Times New Roman" w:hAnsiTheme="minorHAnsi"/>
                <w:color w:val="222222"/>
                <w:sz w:val="20"/>
                <w:lang w:val="en-US"/>
              </w:rPr>
              <w:t xml:space="preserve"> and Chittagong divisions</w:t>
            </w:r>
          </w:p>
          <w:p w:rsidR="007E77BD" w:rsidRPr="00A35FB6" w:rsidRDefault="007E77BD" w:rsidP="007E77BD">
            <w:pPr>
              <w:spacing w:after="0" w:line="240" w:lineRule="auto"/>
              <w:rPr>
                <w:rFonts w:asciiTheme="minorHAnsi" w:eastAsia="Times New Roman" w:hAnsiTheme="minorHAnsi"/>
                <w:color w:val="222222"/>
                <w:sz w:val="20"/>
                <w:lang w:val="en-US"/>
              </w:rPr>
            </w:pP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 normal deliveries in public </w:t>
            </w:r>
            <w:proofErr w:type="spellStart"/>
            <w:r w:rsidRPr="00A35FB6">
              <w:rPr>
                <w:rFonts w:asciiTheme="minorHAnsi" w:eastAsia="Times New Roman" w:hAnsiTheme="minorHAnsi"/>
                <w:color w:val="222222"/>
                <w:sz w:val="20"/>
                <w:lang w:val="en-US"/>
              </w:rPr>
              <w:t>facilites</w:t>
            </w:r>
            <w:proofErr w:type="spellEnd"/>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40</w:t>
            </w:r>
            <w:r w:rsidR="009E7B36">
              <w:rPr>
                <w:rFonts w:asciiTheme="minorHAnsi" w:eastAsia="Times New Roman" w:hAnsiTheme="minorHAnsi"/>
                <w:color w:val="222222"/>
                <w:sz w:val="20"/>
                <w:lang w:val="en-US"/>
              </w:rPr>
              <w:t>,</w:t>
            </w:r>
            <w:r w:rsidRPr="00A35FB6">
              <w:rPr>
                <w:rFonts w:asciiTheme="minorHAnsi" w:eastAsia="Times New Roman" w:hAnsiTheme="minorHAnsi"/>
                <w:color w:val="222222"/>
                <w:sz w:val="20"/>
                <w:lang w:val="en-US"/>
              </w:rPr>
              <w:t>172</w:t>
            </w: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42,500</w:t>
            </w: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66,905</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12% over baseline</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18% over baseline</w:t>
            </w:r>
          </w:p>
        </w:tc>
        <w:tc>
          <w:tcPr>
            <w:tcW w:w="20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810" w:type="dxa"/>
            <w:tcBorders>
              <w:top w:val="nil"/>
              <w:left w:val="nil"/>
              <w:bottom w:val="nil"/>
              <w:right w:val="single" w:sz="8" w:space="0" w:color="auto"/>
            </w:tcBorders>
            <w:shd w:val="clear" w:color="auto" w:fill="00B05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34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roofErr w:type="spellStart"/>
            <w:r w:rsidRPr="00A35FB6">
              <w:rPr>
                <w:rFonts w:asciiTheme="minorHAnsi" w:eastAsia="Times New Roman" w:hAnsiTheme="minorHAnsi"/>
                <w:color w:val="222222"/>
                <w:sz w:val="20"/>
                <w:lang w:val="en-US"/>
              </w:rPr>
              <w:t>Immunisation</w:t>
            </w:r>
            <w:proofErr w:type="spellEnd"/>
            <w:r w:rsidRPr="00A35FB6">
              <w:rPr>
                <w:rFonts w:asciiTheme="minorHAnsi" w:eastAsia="Times New Roman" w:hAnsiTheme="minorHAnsi"/>
                <w:color w:val="222222"/>
                <w:sz w:val="20"/>
                <w:lang w:val="en-US"/>
              </w:rPr>
              <w:t xml:space="preserve"> and equity both are enhanced in </w:t>
            </w:r>
            <w:proofErr w:type="spellStart"/>
            <w:r w:rsidRPr="00A35FB6">
              <w:rPr>
                <w:rFonts w:asciiTheme="minorHAnsi" w:eastAsia="Times New Roman" w:hAnsiTheme="minorHAnsi"/>
                <w:color w:val="222222"/>
                <w:sz w:val="20"/>
                <w:lang w:val="en-US"/>
              </w:rPr>
              <w:t>Sylhet</w:t>
            </w:r>
            <w:proofErr w:type="spellEnd"/>
            <w:r w:rsidRPr="00A35FB6">
              <w:rPr>
                <w:rFonts w:asciiTheme="minorHAnsi" w:eastAsia="Times New Roman" w:hAnsiTheme="minorHAnsi"/>
                <w:color w:val="222222"/>
                <w:sz w:val="20"/>
                <w:lang w:val="en-US"/>
              </w:rPr>
              <w:t xml:space="preserve"> and Chittagong (children immunized for measles and rubella </w:t>
            </w:r>
            <w:proofErr w:type="spellStart"/>
            <w:r w:rsidRPr="00A35FB6">
              <w:rPr>
                <w:rFonts w:asciiTheme="minorHAnsi" w:eastAsia="Times New Roman" w:hAnsiTheme="minorHAnsi"/>
                <w:color w:val="222222"/>
                <w:sz w:val="20"/>
                <w:lang w:val="en-US"/>
              </w:rPr>
              <w:lastRenderedPageBreak/>
              <w:t>immunisation</w:t>
            </w:r>
            <w:proofErr w:type="spellEnd"/>
            <w:r w:rsidRPr="00A35FB6">
              <w:rPr>
                <w:rFonts w:asciiTheme="minorHAnsi" w:eastAsia="Times New Roman" w:hAnsiTheme="minorHAnsi"/>
                <w:color w:val="222222"/>
                <w:sz w:val="20"/>
                <w:lang w:val="en-US"/>
              </w:rPr>
              <w:t xml:space="preserve"> coverage )</w:t>
            </w:r>
          </w:p>
          <w:p w:rsidR="007E77BD" w:rsidRPr="00A35FB6" w:rsidRDefault="007E77BD" w:rsidP="007E77BD">
            <w:pPr>
              <w:spacing w:after="0" w:line="240" w:lineRule="auto"/>
              <w:rPr>
                <w:rFonts w:asciiTheme="minorHAnsi" w:eastAsia="Times New Roman" w:hAnsiTheme="minorHAnsi"/>
                <w:color w:val="222222"/>
                <w:sz w:val="20"/>
                <w:lang w:val="en-US"/>
              </w:rPr>
            </w:pP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lastRenderedPageBreak/>
              <w:t xml:space="preserve">% of children </w:t>
            </w:r>
            <w:proofErr w:type="spellStart"/>
            <w:r w:rsidRPr="00A35FB6">
              <w:rPr>
                <w:rFonts w:asciiTheme="minorHAnsi" w:eastAsia="Times New Roman" w:hAnsiTheme="minorHAnsi"/>
                <w:color w:val="222222"/>
                <w:sz w:val="20"/>
                <w:lang w:val="en-US"/>
              </w:rPr>
              <w:t>immunised</w:t>
            </w:r>
            <w:proofErr w:type="spellEnd"/>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70% in 4 districts in </w:t>
            </w:r>
            <w:proofErr w:type="spellStart"/>
            <w:r w:rsidRPr="00A35FB6">
              <w:rPr>
                <w:rFonts w:asciiTheme="minorHAnsi" w:eastAsia="Times New Roman" w:hAnsiTheme="minorHAnsi"/>
                <w:color w:val="222222"/>
                <w:sz w:val="20"/>
                <w:lang w:val="en-US"/>
              </w:rPr>
              <w:t>Sylhet</w:t>
            </w:r>
            <w:proofErr w:type="spellEnd"/>
            <w:r w:rsidRPr="00A35FB6">
              <w:rPr>
                <w:rFonts w:asciiTheme="minorHAnsi" w:eastAsia="Times New Roman" w:hAnsiTheme="minorHAnsi"/>
                <w:color w:val="222222"/>
                <w:sz w:val="20"/>
                <w:lang w:val="en-US"/>
              </w:rPr>
              <w:t>; 80% in 11 districts in Chittagong</w:t>
            </w: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71% in </w:t>
            </w:r>
            <w:proofErr w:type="spellStart"/>
            <w:r w:rsidRPr="00A35FB6">
              <w:rPr>
                <w:rFonts w:asciiTheme="minorHAnsi" w:eastAsia="Times New Roman" w:hAnsiTheme="minorHAnsi"/>
                <w:color w:val="222222"/>
                <w:sz w:val="20"/>
                <w:lang w:val="en-US"/>
              </w:rPr>
              <w:t>Sylhet</w:t>
            </w:r>
            <w:proofErr w:type="spellEnd"/>
            <w:r w:rsidRPr="00A35FB6">
              <w:rPr>
                <w:rFonts w:asciiTheme="minorHAnsi" w:eastAsia="Times New Roman" w:hAnsiTheme="minorHAnsi"/>
                <w:color w:val="222222"/>
                <w:sz w:val="20"/>
                <w:lang w:val="en-US"/>
              </w:rPr>
              <w:t xml:space="preserve"> and 81% in Chittagong</w:t>
            </w: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98% in </w:t>
            </w:r>
            <w:proofErr w:type="spellStart"/>
            <w:r w:rsidRPr="00A35FB6">
              <w:rPr>
                <w:rFonts w:asciiTheme="minorHAnsi" w:eastAsia="Times New Roman" w:hAnsiTheme="minorHAnsi"/>
                <w:color w:val="222222"/>
                <w:sz w:val="20"/>
                <w:lang w:val="en-US"/>
              </w:rPr>
              <w:t>Sylhet</w:t>
            </w:r>
            <w:proofErr w:type="spellEnd"/>
            <w:r w:rsidRPr="00A35FB6">
              <w:rPr>
                <w:rFonts w:asciiTheme="minorHAnsi" w:eastAsia="Times New Roman" w:hAnsiTheme="minorHAnsi"/>
                <w:color w:val="222222"/>
                <w:sz w:val="20"/>
                <w:lang w:val="en-US"/>
              </w:rPr>
              <w:t>, 95% in Chittagong</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73% in </w:t>
            </w:r>
            <w:proofErr w:type="spellStart"/>
            <w:r w:rsidRPr="00A35FB6">
              <w:rPr>
                <w:rFonts w:asciiTheme="minorHAnsi" w:eastAsia="Times New Roman" w:hAnsiTheme="minorHAnsi"/>
                <w:color w:val="222222"/>
                <w:sz w:val="20"/>
                <w:lang w:val="en-US"/>
              </w:rPr>
              <w:t>Sylhet</w:t>
            </w:r>
            <w:proofErr w:type="spellEnd"/>
            <w:r w:rsidRPr="00A35FB6">
              <w:rPr>
                <w:rFonts w:asciiTheme="minorHAnsi" w:eastAsia="Times New Roman" w:hAnsiTheme="minorHAnsi"/>
                <w:color w:val="222222"/>
                <w:sz w:val="20"/>
                <w:lang w:val="en-US"/>
              </w:rPr>
              <w:t>; 83% in Chittagong</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75% in </w:t>
            </w:r>
            <w:proofErr w:type="spellStart"/>
            <w:r w:rsidRPr="00A35FB6">
              <w:rPr>
                <w:rFonts w:asciiTheme="minorHAnsi" w:eastAsia="Times New Roman" w:hAnsiTheme="minorHAnsi"/>
                <w:color w:val="222222"/>
                <w:sz w:val="20"/>
                <w:lang w:val="en-US"/>
              </w:rPr>
              <w:t>Sylhet</w:t>
            </w:r>
            <w:proofErr w:type="spellEnd"/>
            <w:r w:rsidRPr="00A35FB6">
              <w:rPr>
                <w:rFonts w:asciiTheme="minorHAnsi" w:eastAsia="Times New Roman" w:hAnsiTheme="minorHAnsi"/>
                <w:color w:val="222222"/>
                <w:sz w:val="20"/>
                <w:lang w:val="en-US"/>
              </w:rPr>
              <w:t xml:space="preserve">; </w:t>
            </w:r>
          </w:p>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85% in Chittagong</w:t>
            </w:r>
          </w:p>
        </w:tc>
        <w:tc>
          <w:tcPr>
            <w:tcW w:w="20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Should specify ‘fully </w:t>
            </w:r>
            <w:proofErr w:type="spellStart"/>
            <w:r w:rsidRPr="00A35FB6">
              <w:rPr>
                <w:rFonts w:asciiTheme="minorHAnsi" w:eastAsia="Times New Roman" w:hAnsiTheme="minorHAnsi"/>
                <w:color w:val="222222"/>
                <w:sz w:val="20"/>
                <w:lang w:val="en-US"/>
              </w:rPr>
              <w:t>immunised</w:t>
            </w:r>
            <w:proofErr w:type="spellEnd"/>
            <w:r w:rsidRPr="00A35FB6">
              <w:rPr>
                <w:rFonts w:asciiTheme="minorHAnsi" w:eastAsia="Times New Roman" w:hAnsiTheme="minorHAnsi"/>
                <w:color w:val="222222"/>
                <w:sz w:val="20"/>
                <w:lang w:val="en-US"/>
              </w:rPr>
              <w:t>’ and as above</w:t>
            </w:r>
          </w:p>
        </w:tc>
        <w:tc>
          <w:tcPr>
            <w:tcW w:w="810" w:type="dxa"/>
            <w:tcBorders>
              <w:top w:val="nil"/>
              <w:left w:val="nil"/>
              <w:bottom w:val="nil"/>
              <w:right w:val="single" w:sz="8" w:space="0" w:color="auto"/>
            </w:tcBorders>
            <w:shd w:val="clear" w:color="auto" w:fill="00B05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34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School based adolescent and nutrition services are developed in </w:t>
            </w:r>
            <w:proofErr w:type="spellStart"/>
            <w:r w:rsidRPr="00A35FB6">
              <w:rPr>
                <w:rFonts w:asciiTheme="minorHAnsi" w:eastAsia="Times New Roman" w:hAnsiTheme="minorHAnsi"/>
                <w:color w:val="222222"/>
                <w:sz w:val="20"/>
                <w:lang w:val="en-US"/>
              </w:rPr>
              <w:t>Sylhet</w:t>
            </w:r>
            <w:proofErr w:type="spellEnd"/>
            <w:r w:rsidRPr="00A35FB6">
              <w:rPr>
                <w:rFonts w:asciiTheme="minorHAnsi" w:eastAsia="Times New Roman" w:hAnsiTheme="minorHAnsi"/>
                <w:color w:val="222222"/>
                <w:sz w:val="20"/>
                <w:lang w:val="en-US"/>
              </w:rPr>
              <w:t xml:space="preserve"> and Chittagong</w:t>
            </w: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Percentage of public secondary school a) 4 districts in </w:t>
            </w:r>
            <w:proofErr w:type="spellStart"/>
            <w:r w:rsidRPr="00A35FB6">
              <w:rPr>
                <w:rFonts w:asciiTheme="minorHAnsi" w:eastAsia="Times New Roman" w:hAnsiTheme="minorHAnsi"/>
                <w:color w:val="222222"/>
                <w:sz w:val="20"/>
                <w:lang w:val="en-US"/>
              </w:rPr>
              <w:t>Sylhet</w:t>
            </w:r>
            <w:proofErr w:type="spellEnd"/>
            <w:r w:rsidRPr="00A35FB6">
              <w:rPr>
                <w:rFonts w:asciiTheme="minorHAnsi" w:eastAsia="Times New Roman" w:hAnsiTheme="minorHAnsi"/>
                <w:color w:val="222222"/>
                <w:sz w:val="20"/>
                <w:lang w:val="en-US"/>
              </w:rPr>
              <w:t xml:space="preserve"> and b) 5 districts in Chittagong division</w:t>
            </w: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35 public secondary school of 5 district from </w:t>
            </w:r>
            <w:proofErr w:type="spellStart"/>
            <w:r w:rsidRPr="00A35FB6">
              <w:rPr>
                <w:rFonts w:asciiTheme="minorHAnsi" w:eastAsia="Times New Roman" w:hAnsiTheme="minorHAnsi"/>
                <w:color w:val="222222"/>
                <w:sz w:val="20"/>
                <w:lang w:val="en-US"/>
              </w:rPr>
              <w:t>Sylhet</w:t>
            </w:r>
            <w:proofErr w:type="spellEnd"/>
            <w:r w:rsidRPr="00A35FB6">
              <w:rPr>
                <w:rFonts w:asciiTheme="minorHAnsi" w:eastAsia="Times New Roman" w:hAnsiTheme="minorHAnsi"/>
                <w:color w:val="222222"/>
                <w:sz w:val="20"/>
                <w:lang w:val="en-US"/>
              </w:rPr>
              <w:t xml:space="preserve"> &amp; Chittagong division(</w:t>
            </w:r>
            <w:proofErr w:type="spellStart"/>
            <w:r w:rsidRPr="00A35FB6">
              <w:rPr>
                <w:rFonts w:asciiTheme="minorHAnsi" w:eastAsia="Times New Roman" w:hAnsiTheme="minorHAnsi"/>
                <w:color w:val="222222"/>
                <w:sz w:val="20"/>
                <w:lang w:val="en-US"/>
              </w:rPr>
              <w:t>Sunmganj</w:t>
            </w:r>
            <w:proofErr w:type="spellEnd"/>
            <w:r w:rsidRPr="00A35FB6">
              <w:rPr>
                <w:rFonts w:asciiTheme="minorHAnsi" w:eastAsia="Times New Roman" w:hAnsiTheme="minorHAnsi"/>
                <w:color w:val="222222"/>
                <w:sz w:val="20"/>
                <w:lang w:val="en-US"/>
              </w:rPr>
              <w:t xml:space="preserve">, </w:t>
            </w:r>
            <w:proofErr w:type="spellStart"/>
            <w:r w:rsidRPr="00A35FB6">
              <w:rPr>
                <w:rFonts w:asciiTheme="minorHAnsi" w:eastAsia="Times New Roman" w:hAnsiTheme="minorHAnsi"/>
                <w:color w:val="222222"/>
                <w:sz w:val="20"/>
                <w:lang w:val="en-US"/>
              </w:rPr>
              <w:t>Chandpur</w:t>
            </w:r>
            <w:proofErr w:type="spellEnd"/>
            <w:r w:rsidRPr="00A35FB6">
              <w:rPr>
                <w:rFonts w:asciiTheme="minorHAnsi" w:eastAsia="Times New Roman" w:hAnsiTheme="minorHAnsi"/>
                <w:color w:val="222222"/>
                <w:sz w:val="20"/>
                <w:lang w:val="en-US"/>
              </w:rPr>
              <w:t xml:space="preserve">, Chittagong, </w:t>
            </w:r>
            <w:proofErr w:type="spellStart"/>
            <w:r w:rsidRPr="00A35FB6">
              <w:rPr>
                <w:rFonts w:asciiTheme="minorHAnsi" w:eastAsia="Times New Roman" w:hAnsiTheme="minorHAnsi"/>
                <w:color w:val="222222"/>
                <w:sz w:val="20"/>
                <w:lang w:val="en-US"/>
              </w:rPr>
              <w:t>Moulvibazar</w:t>
            </w:r>
            <w:proofErr w:type="spellEnd"/>
            <w:r w:rsidRPr="00A35FB6">
              <w:rPr>
                <w:rFonts w:asciiTheme="minorHAnsi" w:eastAsia="Times New Roman" w:hAnsiTheme="minorHAnsi"/>
                <w:color w:val="222222"/>
                <w:sz w:val="20"/>
                <w:lang w:val="en-US"/>
              </w:rPr>
              <w:t xml:space="preserve"> and </w:t>
            </w:r>
            <w:proofErr w:type="spellStart"/>
            <w:r w:rsidRPr="00A35FB6">
              <w:rPr>
                <w:rFonts w:asciiTheme="minorHAnsi" w:eastAsia="Times New Roman" w:hAnsiTheme="minorHAnsi"/>
                <w:color w:val="222222"/>
                <w:sz w:val="20"/>
                <w:lang w:val="en-US"/>
              </w:rPr>
              <w:t>Habiganj</w:t>
            </w:r>
            <w:proofErr w:type="spellEnd"/>
            <w:r w:rsidRPr="00A35FB6">
              <w:rPr>
                <w:rFonts w:asciiTheme="minorHAnsi" w:eastAsia="Times New Roman" w:hAnsiTheme="minorHAnsi"/>
                <w:color w:val="222222"/>
                <w:sz w:val="20"/>
                <w:lang w:val="en-US"/>
              </w:rPr>
              <w:t>) selected</w:t>
            </w: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26 public secondary school of 5 district from </w:t>
            </w:r>
            <w:proofErr w:type="spellStart"/>
            <w:r w:rsidRPr="00A35FB6">
              <w:rPr>
                <w:rFonts w:asciiTheme="minorHAnsi" w:eastAsia="Times New Roman" w:hAnsiTheme="minorHAnsi"/>
                <w:color w:val="222222"/>
                <w:sz w:val="20"/>
                <w:lang w:val="en-US"/>
              </w:rPr>
              <w:t>Sylhet</w:t>
            </w:r>
            <w:proofErr w:type="spellEnd"/>
            <w:r w:rsidRPr="00A35FB6">
              <w:rPr>
                <w:rFonts w:asciiTheme="minorHAnsi" w:eastAsia="Times New Roman" w:hAnsiTheme="minorHAnsi"/>
                <w:color w:val="222222"/>
                <w:sz w:val="20"/>
                <w:lang w:val="en-US"/>
              </w:rPr>
              <w:t xml:space="preserve"> &amp; Chittagong division(</w:t>
            </w:r>
            <w:proofErr w:type="spellStart"/>
            <w:r w:rsidRPr="00A35FB6">
              <w:rPr>
                <w:rFonts w:asciiTheme="minorHAnsi" w:eastAsia="Times New Roman" w:hAnsiTheme="minorHAnsi"/>
                <w:color w:val="222222"/>
                <w:sz w:val="20"/>
                <w:lang w:val="en-US"/>
              </w:rPr>
              <w:t>sunmganj</w:t>
            </w:r>
            <w:proofErr w:type="spellEnd"/>
            <w:r w:rsidRPr="00A35FB6">
              <w:rPr>
                <w:rFonts w:asciiTheme="minorHAnsi" w:eastAsia="Times New Roman" w:hAnsiTheme="minorHAnsi"/>
                <w:color w:val="222222"/>
                <w:sz w:val="20"/>
                <w:lang w:val="en-US"/>
              </w:rPr>
              <w:t xml:space="preserve">, </w:t>
            </w:r>
            <w:proofErr w:type="spellStart"/>
            <w:r w:rsidRPr="00A35FB6">
              <w:rPr>
                <w:rFonts w:asciiTheme="minorHAnsi" w:eastAsia="Times New Roman" w:hAnsiTheme="minorHAnsi"/>
                <w:color w:val="222222"/>
                <w:sz w:val="20"/>
                <w:lang w:val="en-US"/>
              </w:rPr>
              <w:t>Chandpur</w:t>
            </w:r>
            <w:proofErr w:type="spellEnd"/>
            <w:r w:rsidRPr="00A35FB6">
              <w:rPr>
                <w:rFonts w:asciiTheme="minorHAnsi" w:eastAsia="Times New Roman" w:hAnsiTheme="minorHAnsi"/>
                <w:color w:val="222222"/>
                <w:sz w:val="20"/>
                <w:lang w:val="en-US"/>
              </w:rPr>
              <w:t xml:space="preserve">, Chittagong, </w:t>
            </w:r>
            <w:proofErr w:type="spellStart"/>
            <w:r w:rsidRPr="00A35FB6">
              <w:rPr>
                <w:rFonts w:asciiTheme="minorHAnsi" w:eastAsia="Times New Roman" w:hAnsiTheme="minorHAnsi"/>
                <w:color w:val="222222"/>
                <w:sz w:val="20"/>
                <w:lang w:val="en-US"/>
              </w:rPr>
              <w:t>Moulvibazar</w:t>
            </w:r>
            <w:proofErr w:type="spellEnd"/>
            <w:r w:rsidRPr="00A35FB6">
              <w:rPr>
                <w:rFonts w:asciiTheme="minorHAnsi" w:eastAsia="Times New Roman" w:hAnsiTheme="minorHAnsi"/>
                <w:color w:val="222222"/>
                <w:sz w:val="20"/>
                <w:lang w:val="en-US"/>
              </w:rPr>
              <w:t xml:space="preserve"> and </w:t>
            </w:r>
            <w:proofErr w:type="spellStart"/>
            <w:r w:rsidRPr="00A35FB6">
              <w:rPr>
                <w:rFonts w:asciiTheme="minorHAnsi" w:eastAsia="Times New Roman" w:hAnsiTheme="minorHAnsi"/>
                <w:color w:val="222222"/>
                <w:sz w:val="20"/>
                <w:lang w:val="en-US"/>
              </w:rPr>
              <w:t>Habiganj</w:t>
            </w:r>
            <w:proofErr w:type="spellEnd"/>
            <w:r w:rsidRPr="00A35FB6">
              <w:rPr>
                <w:rFonts w:asciiTheme="minorHAnsi" w:eastAsia="Times New Roman" w:hAnsiTheme="minorHAnsi"/>
                <w:color w:val="222222"/>
                <w:sz w:val="20"/>
                <w:lang w:val="en-US"/>
              </w:rPr>
              <w:t>) selected</w:t>
            </w: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74%</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30%</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40%</w:t>
            </w:r>
          </w:p>
        </w:tc>
        <w:tc>
          <w:tcPr>
            <w:tcW w:w="20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The scale of effort planned for Y1 appears far less than what would be needed to achieve mid-term/ </w:t>
            </w:r>
            <w:proofErr w:type="spellStart"/>
            <w:r w:rsidRPr="00A35FB6">
              <w:rPr>
                <w:rFonts w:asciiTheme="minorHAnsi" w:eastAsia="Times New Roman" w:hAnsiTheme="minorHAnsi"/>
                <w:color w:val="222222"/>
                <w:sz w:val="20"/>
                <w:lang w:val="en-US"/>
              </w:rPr>
              <w:t>programme</w:t>
            </w:r>
            <w:proofErr w:type="spellEnd"/>
            <w:r w:rsidRPr="00A35FB6">
              <w:rPr>
                <w:rFonts w:asciiTheme="minorHAnsi" w:eastAsia="Times New Roman" w:hAnsiTheme="minorHAnsi"/>
                <w:color w:val="222222"/>
                <w:sz w:val="20"/>
                <w:lang w:val="en-US"/>
              </w:rPr>
              <w:t xml:space="preserve"> end target. </w:t>
            </w:r>
          </w:p>
        </w:tc>
        <w:tc>
          <w:tcPr>
            <w:tcW w:w="810" w:type="dxa"/>
            <w:tcBorders>
              <w:top w:val="nil"/>
              <w:left w:val="nil"/>
              <w:bottom w:val="nil"/>
              <w:right w:val="single" w:sz="8" w:space="0" w:color="auto"/>
            </w:tcBorders>
            <w:shd w:val="clear" w:color="auto" w:fill="FFFF0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sz w:val="20"/>
                <w:lang w:val="en-US"/>
              </w:rPr>
            </w:pPr>
          </w:p>
        </w:tc>
      </w:tr>
      <w:tr w:rsidR="007E77BD" w:rsidRPr="00A35FB6" w:rsidTr="007E77BD">
        <w:tc>
          <w:tcPr>
            <w:tcW w:w="234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newborn received essential care</w:t>
            </w:r>
          </w:p>
          <w:p w:rsidR="007E77BD" w:rsidRPr="00A35FB6" w:rsidRDefault="007E77BD" w:rsidP="007E77BD">
            <w:pPr>
              <w:spacing w:after="0" w:line="240" w:lineRule="auto"/>
              <w:rPr>
                <w:rFonts w:asciiTheme="minorHAnsi" w:eastAsia="Times New Roman" w:hAnsiTheme="minorHAnsi"/>
                <w:color w:val="222222"/>
                <w:sz w:val="20"/>
                <w:lang w:val="en-US"/>
              </w:rPr>
            </w:pP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Percentage</w:t>
            </w: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6.1%</w:t>
            </w: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9%</w:t>
            </w: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15%</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25%</w:t>
            </w:r>
          </w:p>
        </w:tc>
        <w:tc>
          <w:tcPr>
            <w:tcW w:w="20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7.4% </w:t>
            </w:r>
            <w:r w:rsidR="009E7B36">
              <w:rPr>
                <w:rFonts w:asciiTheme="minorHAnsi" w:eastAsia="Times New Roman" w:hAnsiTheme="minorHAnsi"/>
                <w:color w:val="222222"/>
                <w:sz w:val="20"/>
                <w:lang w:val="en-US"/>
              </w:rPr>
              <w:t xml:space="preserve">in </w:t>
            </w:r>
            <w:r w:rsidRPr="00A35FB6">
              <w:rPr>
                <w:rFonts w:asciiTheme="minorHAnsi" w:eastAsia="Times New Roman" w:hAnsiTheme="minorHAnsi"/>
                <w:color w:val="222222"/>
                <w:sz w:val="20"/>
                <w:lang w:val="en-US"/>
              </w:rPr>
              <w:t>BDHS 2017.  Not possible to delineate DGHS’ contribution</w:t>
            </w:r>
          </w:p>
        </w:tc>
        <w:tc>
          <w:tcPr>
            <w:tcW w:w="810" w:type="dxa"/>
            <w:tcBorders>
              <w:top w:val="nil"/>
              <w:left w:val="nil"/>
              <w:bottom w:val="nil"/>
              <w:right w:val="single" w:sz="8" w:space="0" w:color="auto"/>
            </w:tcBorders>
            <w:shd w:val="clear" w:color="auto" w:fill="C4BC96" w:themeFill="background2" w:themeFillShade="B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34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ANC coverage (at least 4 visits)</w:t>
            </w:r>
          </w:p>
          <w:p w:rsidR="007E77BD" w:rsidRPr="00A35FB6" w:rsidRDefault="007E77BD" w:rsidP="007E77BD">
            <w:pPr>
              <w:spacing w:after="0" w:line="240" w:lineRule="auto"/>
              <w:rPr>
                <w:rFonts w:asciiTheme="minorHAnsi" w:eastAsia="Times New Roman" w:hAnsiTheme="minorHAnsi"/>
                <w:color w:val="222222"/>
                <w:sz w:val="20"/>
                <w:lang w:val="en-US"/>
              </w:rPr>
            </w:pP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Percentage</w:t>
            </w: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31.2% (BDHS 2014)</w:t>
            </w: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35%</w:t>
            </w: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37%</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40%</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50%</w:t>
            </w:r>
          </w:p>
        </w:tc>
        <w:tc>
          <w:tcPr>
            <w:tcW w:w="20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9E7B36">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Unclear source of progress data</w:t>
            </w:r>
            <w:r w:rsidR="009E7B36">
              <w:rPr>
                <w:rFonts w:asciiTheme="minorHAnsi" w:eastAsia="Times New Roman" w:hAnsiTheme="minorHAnsi"/>
                <w:color w:val="222222"/>
                <w:sz w:val="20"/>
                <w:lang w:val="en-US"/>
              </w:rPr>
              <w:t xml:space="preserve">; </w:t>
            </w:r>
            <w:r w:rsidRPr="00A35FB6">
              <w:rPr>
                <w:rFonts w:asciiTheme="minorHAnsi" w:eastAsia="Times New Roman" w:hAnsiTheme="minorHAnsi"/>
                <w:color w:val="222222"/>
                <w:sz w:val="20"/>
                <w:lang w:val="en-US"/>
              </w:rPr>
              <w:t xml:space="preserve">BDHS 2017 showed 47% achievement </w:t>
            </w:r>
          </w:p>
        </w:tc>
        <w:tc>
          <w:tcPr>
            <w:tcW w:w="810" w:type="dxa"/>
            <w:tcBorders>
              <w:top w:val="nil"/>
              <w:left w:val="nil"/>
              <w:bottom w:val="nil"/>
              <w:right w:val="single" w:sz="8" w:space="0" w:color="auto"/>
            </w:tcBorders>
            <w:shd w:val="clear" w:color="auto" w:fill="00B05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34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Percentage of delivery by skilled birth attendants (SBA)</w:t>
            </w:r>
          </w:p>
          <w:p w:rsidR="007E77BD" w:rsidRPr="00A35FB6" w:rsidRDefault="007E77BD" w:rsidP="007E77BD">
            <w:pPr>
              <w:spacing w:after="0" w:line="240" w:lineRule="auto"/>
              <w:rPr>
                <w:rFonts w:asciiTheme="minorHAnsi" w:eastAsia="Times New Roman" w:hAnsiTheme="minorHAnsi"/>
                <w:color w:val="222222"/>
                <w:sz w:val="20"/>
                <w:lang w:val="en-US"/>
              </w:rPr>
            </w:pP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Percentage BDHS every 3 years/UESD, every non-DHS years</w:t>
            </w: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42.1% (BDHS 2014)</w:t>
            </w: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45%</w:t>
            </w: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45%</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55%</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65%</w:t>
            </w:r>
          </w:p>
        </w:tc>
        <w:tc>
          <w:tcPr>
            <w:tcW w:w="20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Pr>
                <w:rFonts w:asciiTheme="minorHAnsi" w:eastAsia="Times New Roman" w:hAnsiTheme="minorHAnsi"/>
                <w:color w:val="222222"/>
                <w:sz w:val="20"/>
                <w:lang w:val="en-US"/>
              </w:rPr>
              <w:t xml:space="preserve">Reported </w:t>
            </w:r>
            <w:r w:rsidR="009E7B36">
              <w:rPr>
                <w:rFonts w:asciiTheme="minorHAnsi" w:eastAsia="Times New Roman" w:hAnsiTheme="minorHAnsi"/>
                <w:color w:val="222222"/>
                <w:sz w:val="20"/>
                <w:lang w:val="en-US"/>
              </w:rPr>
              <w:t>p</w:t>
            </w:r>
            <w:r w:rsidRPr="00A35FB6">
              <w:rPr>
                <w:rFonts w:asciiTheme="minorHAnsi" w:eastAsia="Times New Roman" w:hAnsiTheme="minorHAnsi"/>
                <w:color w:val="222222"/>
                <w:sz w:val="20"/>
                <w:lang w:val="en-US"/>
              </w:rPr>
              <w:t>rogress data</w:t>
            </w:r>
            <w:r>
              <w:rPr>
                <w:rFonts w:asciiTheme="minorHAnsi" w:eastAsia="Times New Roman" w:hAnsiTheme="minorHAnsi"/>
                <w:color w:val="222222"/>
                <w:sz w:val="20"/>
                <w:lang w:val="en-US"/>
              </w:rPr>
              <w:t>’s source is unclear</w:t>
            </w:r>
            <w:r w:rsidRPr="00A35FB6">
              <w:rPr>
                <w:rFonts w:asciiTheme="minorHAnsi" w:eastAsia="Times New Roman" w:hAnsiTheme="minorHAnsi"/>
                <w:color w:val="222222"/>
                <w:sz w:val="20"/>
                <w:lang w:val="en-US"/>
              </w:rPr>
              <w:t>;53.1%</w:t>
            </w:r>
            <w:r>
              <w:rPr>
                <w:rFonts w:asciiTheme="minorHAnsi" w:eastAsia="Times New Roman" w:hAnsiTheme="minorHAnsi"/>
                <w:color w:val="222222"/>
                <w:sz w:val="20"/>
                <w:lang w:val="en-US"/>
              </w:rPr>
              <w:t xml:space="preserve"> births attended by SBAs according to </w:t>
            </w:r>
            <w:r w:rsidRPr="00A35FB6">
              <w:rPr>
                <w:rFonts w:asciiTheme="minorHAnsi" w:eastAsia="Times New Roman" w:hAnsiTheme="minorHAnsi"/>
                <w:color w:val="222222"/>
                <w:sz w:val="20"/>
                <w:lang w:val="en-US"/>
              </w:rPr>
              <w:t>BDHS 2017</w:t>
            </w:r>
          </w:p>
        </w:tc>
        <w:tc>
          <w:tcPr>
            <w:tcW w:w="810" w:type="dxa"/>
            <w:tcBorders>
              <w:top w:val="nil"/>
              <w:left w:val="nil"/>
              <w:bottom w:val="nil"/>
              <w:right w:val="single" w:sz="8" w:space="0" w:color="auto"/>
            </w:tcBorders>
            <w:shd w:val="clear" w:color="auto" w:fill="00B05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lang w:val="en-US"/>
              </w:rPr>
            </w:pPr>
          </w:p>
        </w:tc>
      </w:tr>
      <w:tr w:rsidR="007E77BD" w:rsidRPr="00A35FB6" w:rsidTr="007E77BD">
        <w:tc>
          <w:tcPr>
            <w:tcW w:w="234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Percentage mothers with non-institutional delivery receiving postnatal care from a medically trained provider within two days of delivery</w:t>
            </w: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Percentage BDHS every 3 years/UESD, every non-DHS years</w:t>
            </w: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5.4%</w:t>
            </w: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5.5%</w:t>
            </w: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7%</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10%</w:t>
            </w:r>
          </w:p>
        </w:tc>
        <w:tc>
          <w:tcPr>
            <w:tcW w:w="20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7.1 % in BDHS 2017</w:t>
            </w:r>
          </w:p>
        </w:tc>
        <w:tc>
          <w:tcPr>
            <w:tcW w:w="810" w:type="dxa"/>
            <w:tcBorders>
              <w:top w:val="nil"/>
              <w:left w:val="nil"/>
              <w:bottom w:val="nil"/>
              <w:right w:val="single" w:sz="8" w:space="0" w:color="auto"/>
            </w:tcBorders>
            <w:shd w:val="clear" w:color="auto" w:fill="00B05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34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53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20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81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3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0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20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bl>
    <w:p w:rsidR="007E77BD" w:rsidRPr="00A35FB6" w:rsidRDefault="007E77BD" w:rsidP="007E77BD">
      <w:pPr>
        <w:shd w:val="clear" w:color="auto" w:fill="FFFFFF"/>
        <w:spacing w:after="0" w:line="240" w:lineRule="auto"/>
        <w:jc w:val="both"/>
        <w:rPr>
          <w:rFonts w:asciiTheme="minorHAnsi" w:eastAsia="Times New Roman" w:hAnsiTheme="minorHAnsi" w:cs="Arial"/>
          <w:b/>
          <w:color w:val="222222"/>
          <w:lang w:val="en-US"/>
        </w:rPr>
      </w:pPr>
      <w:r w:rsidRPr="00A35FB6">
        <w:rPr>
          <w:rFonts w:asciiTheme="minorHAnsi" w:eastAsia="Times New Roman" w:hAnsiTheme="minorHAnsi" w:cs="Arial"/>
          <w:b/>
          <w:color w:val="222222"/>
          <w:lang w:val="en-US"/>
        </w:rPr>
        <w:lastRenderedPageBreak/>
        <w:t>OP 17 MCRAH</w:t>
      </w:r>
    </w:p>
    <w:tbl>
      <w:tblPr>
        <w:tblW w:w="0" w:type="auto"/>
        <w:tblInd w:w="108" w:type="dxa"/>
        <w:shd w:val="clear" w:color="auto" w:fill="FFFFFF"/>
        <w:tblCellMar>
          <w:left w:w="0" w:type="dxa"/>
          <w:right w:w="0" w:type="dxa"/>
        </w:tblCellMar>
        <w:tblLook w:val="04A0" w:firstRow="1" w:lastRow="0" w:firstColumn="1" w:lastColumn="0" w:noHBand="0" w:noVBand="1"/>
      </w:tblPr>
      <w:tblGrid>
        <w:gridCol w:w="2430"/>
        <w:gridCol w:w="1620"/>
        <w:gridCol w:w="1170"/>
        <w:gridCol w:w="990"/>
        <w:gridCol w:w="1170"/>
        <w:gridCol w:w="1170"/>
        <w:gridCol w:w="1080"/>
        <w:gridCol w:w="2520"/>
        <w:gridCol w:w="810"/>
      </w:tblGrid>
      <w:tr w:rsidR="007E77BD" w:rsidRPr="009E7B36" w:rsidTr="007E77BD">
        <w:trPr>
          <w:tblHeader/>
        </w:trPr>
        <w:tc>
          <w:tcPr>
            <w:tcW w:w="24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9E7B36" w:rsidRDefault="007E77BD" w:rsidP="007E77BD">
            <w:pPr>
              <w:spacing w:after="0" w:line="240" w:lineRule="auto"/>
              <w:rPr>
                <w:rFonts w:asciiTheme="minorHAnsi" w:eastAsia="Times New Roman" w:hAnsiTheme="minorHAnsi"/>
                <w:b/>
                <w:color w:val="222222"/>
                <w:sz w:val="20"/>
                <w:szCs w:val="24"/>
                <w:lang w:val="en-US"/>
              </w:rPr>
            </w:pPr>
            <w:r w:rsidRPr="009E7B36">
              <w:rPr>
                <w:rFonts w:asciiTheme="minorHAnsi" w:eastAsia="Times New Roman" w:hAnsiTheme="minorHAnsi"/>
                <w:b/>
                <w:color w:val="222222"/>
                <w:sz w:val="20"/>
                <w:lang w:val="en-US"/>
              </w:rPr>
              <w:t>Indicator</w:t>
            </w:r>
          </w:p>
        </w:tc>
        <w:tc>
          <w:tcPr>
            <w:tcW w:w="16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9E7B36" w:rsidRDefault="007E77BD" w:rsidP="007E77BD">
            <w:pPr>
              <w:spacing w:after="0" w:line="240" w:lineRule="auto"/>
              <w:rPr>
                <w:rFonts w:asciiTheme="minorHAnsi" w:eastAsia="Times New Roman" w:hAnsiTheme="minorHAnsi"/>
                <w:b/>
                <w:color w:val="222222"/>
                <w:sz w:val="20"/>
                <w:szCs w:val="24"/>
                <w:lang w:val="en-US"/>
              </w:rPr>
            </w:pPr>
            <w:r w:rsidRPr="009E7B36">
              <w:rPr>
                <w:rFonts w:asciiTheme="minorHAnsi" w:eastAsia="Times New Roman" w:hAnsiTheme="minorHAnsi"/>
                <w:b/>
                <w:color w:val="222222"/>
                <w:sz w:val="20"/>
                <w:lang w:val="en-US"/>
              </w:rPr>
              <w:t>Unit of measurement</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9E7B36" w:rsidRDefault="007E77BD" w:rsidP="007E77BD">
            <w:pPr>
              <w:spacing w:after="0" w:line="240" w:lineRule="auto"/>
              <w:rPr>
                <w:rFonts w:asciiTheme="minorHAnsi" w:eastAsia="Times New Roman" w:hAnsiTheme="minorHAnsi"/>
                <w:b/>
                <w:color w:val="222222"/>
                <w:sz w:val="20"/>
                <w:szCs w:val="24"/>
                <w:lang w:val="en-US"/>
              </w:rPr>
            </w:pPr>
            <w:r w:rsidRPr="009E7B36">
              <w:rPr>
                <w:rFonts w:asciiTheme="minorHAnsi" w:eastAsia="Times New Roman" w:hAnsiTheme="minorHAnsi"/>
                <w:b/>
                <w:color w:val="222222"/>
                <w:sz w:val="20"/>
                <w:lang w:val="en-US"/>
              </w:rPr>
              <w:t>Baseline</w:t>
            </w:r>
          </w:p>
        </w:tc>
        <w:tc>
          <w:tcPr>
            <w:tcW w:w="9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9E7B36" w:rsidRDefault="007E77BD" w:rsidP="007E77BD">
            <w:pPr>
              <w:spacing w:after="0" w:line="240" w:lineRule="auto"/>
              <w:rPr>
                <w:rFonts w:asciiTheme="minorHAnsi" w:eastAsia="Times New Roman" w:hAnsiTheme="minorHAnsi"/>
                <w:b/>
                <w:color w:val="222222"/>
                <w:sz w:val="20"/>
                <w:szCs w:val="24"/>
                <w:lang w:val="en-US"/>
              </w:rPr>
            </w:pPr>
            <w:r w:rsidRPr="009E7B36">
              <w:rPr>
                <w:rFonts w:asciiTheme="minorHAnsi" w:eastAsia="Times New Roman" w:hAnsiTheme="minorHAnsi"/>
                <w:b/>
                <w:color w:val="222222"/>
                <w:sz w:val="20"/>
                <w:lang w:val="en-US"/>
              </w:rPr>
              <w:t>June 2018</w:t>
            </w:r>
          </w:p>
          <w:p w:rsidR="007E77BD" w:rsidRPr="009E7B36" w:rsidRDefault="007E77BD" w:rsidP="007E77BD">
            <w:pPr>
              <w:spacing w:after="0" w:line="240" w:lineRule="auto"/>
              <w:rPr>
                <w:rFonts w:asciiTheme="minorHAnsi" w:eastAsia="Times New Roman" w:hAnsiTheme="minorHAnsi"/>
                <w:b/>
                <w:color w:val="222222"/>
                <w:sz w:val="20"/>
                <w:szCs w:val="24"/>
                <w:lang w:val="en-US"/>
              </w:rPr>
            </w:pPr>
            <w:r w:rsidRPr="009E7B36">
              <w:rPr>
                <w:rFonts w:asciiTheme="minorHAnsi" w:eastAsia="Times New Roman" w:hAnsiTheme="minorHAnsi"/>
                <w:b/>
                <w:color w:val="222222"/>
                <w:sz w:val="20"/>
                <w:lang w:val="en-US"/>
              </w:rPr>
              <w:t>Target</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9E7B36" w:rsidRDefault="007E77BD" w:rsidP="007E77BD">
            <w:pPr>
              <w:spacing w:after="0" w:line="240" w:lineRule="auto"/>
              <w:rPr>
                <w:rFonts w:asciiTheme="minorHAnsi" w:eastAsia="Times New Roman" w:hAnsiTheme="minorHAnsi"/>
                <w:b/>
                <w:color w:val="222222"/>
                <w:sz w:val="20"/>
                <w:szCs w:val="24"/>
                <w:lang w:val="en-US"/>
              </w:rPr>
            </w:pPr>
            <w:r w:rsidRPr="009E7B36">
              <w:rPr>
                <w:rFonts w:asciiTheme="minorHAnsi" w:eastAsia="Times New Roman" w:hAnsiTheme="minorHAnsi"/>
                <w:b/>
                <w:color w:val="222222"/>
                <w:sz w:val="20"/>
                <w:lang w:val="en-US"/>
              </w:rPr>
              <w:t>Available data</w:t>
            </w:r>
          </w:p>
          <w:p w:rsidR="007E77BD" w:rsidRPr="009E7B36" w:rsidRDefault="007E77BD" w:rsidP="007E77BD">
            <w:pPr>
              <w:spacing w:after="0" w:line="240" w:lineRule="auto"/>
              <w:rPr>
                <w:rFonts w:asciiTheme="minorHAnsi" w:eastAsia="Times New Roman" w:hAnsiTheme="minorHAnsi"/>
                <w:b/>
                <w:color w:val="222222"/>
                <w:sz w:val="20"/>
                <w:szCs w:val="24"/>
                <w:lang w:val="en-US"/>
              </w:rPr>
            </w:pPr>
            <w:r w:rsidRPr="009E7B36">
              <w:rPr>
                <w:rFonts w:asciiTheme="minorHAnsi" w:eastAsia="Times New Roman" w:hAnsiTheme="minorHAnsi"/>
                <w:b/>
                <w:color w:val="222222"/>
                <w:sz w:val="20"/>
                <w:lang w:val="en-US"/>
              </w:rPr>
              <w:t>To date</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9E7B36" w:rsidRDefault="007E77BD" w:rsidP="007E77BD">
            <w:pPr>
              <w:spacing w:after="0" w:line="240" w:lineRule="auto"/>
              <w:rPr>
                <w:rFonts w:asciiTheme="minorHAnsi" w:eastAsia="Times New Roman" w:hAnsiTheme="minorHAnsi"/>
                <w:b/>
                <w:color w:val="222222"/>
                <w:sz w:val="20"/>
                <w:szCs w:val="24"/>
                <w:lang w:val="en-US"/>
              </w:rPr>
            </w:pPr>
            <w:r w:rsidRPr="009E7B36">
              <w:rPr>
                <w:rFonts w:asciiTheme="minorHAnsi" w:eastAsia="Times New Roman" w:hAnsiTheme="minorHAnsi"/>
                <w:b/>
                <w:color w:val="222222"/>
                <w:sz w:val="20"/>
                <w:lang w:val="en-US"/>
              </w:rPr>
              <w:t>Mid Term Target</w:t>
            </w:r>
          </w:p>
        </w:tc>
        <w:tc>
          <w:tcPr>
            <w:tcW w:w="10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9E7B36" w:rsidRDefault="007E77BD" w:rsidP="007E77BD">
            <w:pPr>
              <w:spacing w:after="0" w:line="240" w:lineRule="auto"/>
              <w:rPr>
                <w:rFonts w:asciiTheme="minorHAnsi" w:eastAsia="Times New Roman" w:hAnsiTheme="minorHAnsi"/>
                <w:b/>
                <w:color w:val="222222"/>
                <w:sz w:val="20"/>
                <w:szCs w:val="24"/>
                <w:lang w:val="en-US"/>
              </w:rPr>
            </w:pPr>
            <w:r w:rsidRPr="009E7B36">
              <w:rPr>
                <w:rFonts w:asciiTheme="minorHAnsi" w:eastAsia="Times New Roman" w:hAnsiTheme="minorHAnsi"/>
                <w:b/>
                <w:color w:val="222222"/>
                <w:sz w:val="20"/>
                <w:lang w:val="en-US"/>
              </w:rPr>
              <w:t>EOP target</w:t>
            </w:r>
          </w:p>
        </w:tc>
        <w:tc>
          <w:tcPr>
            <w:tcW w:w="25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9E7B36" w:rsidRDefault="007E77BD" w:rsidP="007E77BD">
            <w:pPr>
              <w:spacing w:after="0" w:line="240" w:lineRule="auto"/>
              <w:rPr>
                <w:rFonts w:asciiTheme="minorHAnsi" w:eastAsia="Times New Roman" w:hAnsiTheme="minorHAnsi"/>
                <w:b/>
                <w:color w:val="222222"/>
                <w:sz w:val="20"/>
                <w:szCs w:val="24"/>
                <w:lang w:val="en-US"/>
              </w:rPr>
            </w:pPr>
            <w:r w:rsidRPr="009E7B36">
              <w:rPr>
                <w:rFonts w:asciiTheme="minorHAnsi" w:eastAsia="Times New Roman" w:hAnsiTheme="minorHAnsi"/>
                <w:b/>
                <w:color w:val="222222"/>
                <w:sz w:val="20"/>
                <w:lang w:val="en-US"/>
              </w:rPr>
              <w:t>Comment</w:t>
            </w:r>
          </w:p>
          <w:p w:rsidR="007E77BD" w:rsidRPr="009E7B36" w:rsidRDefault="007E77BD" w:rsidP="007E77BD">
            <w:pPr>
              <w:spacing w:after="0" w:line="240" w:lineRule="auto"/>
              <w:rPr>
                <w:rFonts w:asciiTheme="minorHAnsi" w:eastAsia="Times New Roman" w:hAnsiTheme="minorHAnsi"/>
                <w:b/>
                <w:color w:val="222222"/>
                <w:sz w:val="20"/>
                <w:szCs w:val="24"/>
                <w:lang w:val="en-US"/>
              </w:rPr>
            </w:pPr>
            <w:r w:rsidRPr="009E7B36">
              <w:rPr>
                <w:rFonts w:asciiTheme="minorHAnsi" w:eastAsia="Times New Roman" w:hAnsiTheme="minorHAnsi"/>
                <w:b/>
                <w:color w:val="222222"/>
                <w:sz w:val="20"/>
                <w:lang w:val="en-US"/>
              </w:rPr>
              <w:t> </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9E7B36" w:rsidRDefault="007E77BD" w:rsidP="007E77BD">
            <w:pPr>
              <w:spacing w:after="0" w:line="240" w:lineRule="auto"/>
              <w:rPr>
                <w:rFonts w:asciiTheme="minorHAnsi" w:eastAsia="Times New Roman" w:hAnsiTheme="minorHAnsi"/>
                <w:b/>
                <w:color w:val="222222"/>
                <w:sz w:val="20"/>
                <w:szCs w:val="24"/>
                <w:lang w:val="en-US"/>
              </w:rPr>
            </w:pPr>
            <w:r w:rsidRPr="009E7B36">
              <w:rPr>
                <w:rFonts w:asciiTheme="minorHAnsi" w:eastAsia="Times New Roman" w:hAnsiTheme="minorHAnsi"/>
                <w:b/>
                <w:color w:val="222222"/>
                <w:sz w:val="20"/>
                <w:lang w:val="en-US"/>
              </w:rPr>
              <w:t>Score:</w:t>
            </w:r>
          </w:p>
          <w:p w:rsidR="007E77BD" w:rsidRPr="009E7B36" w:rsidRDefault="007E77BD" w:rsidP="007E77BD">
            <w:pPr>
              <w:spacing w:after="0" w:line="240" w:lineRule="auto"/>
              <w:rPr>
                <w:rFonts w:asciiTheme="minorHAnsi" w:eastAsia="Times New Roman" w:hAnsiTheme="minorHAnsi"/>
                <w:b/>
                <w:color w:val="222222"/>
                <w:sz w:val="20"/>
                <w:szCs w:val="24"/>
                <w:lang w:val="en-US"/>
              </w:rPr>
            </w:pPr>
          </w:p>
        </w:tc>
      </w:tr>
      <w:tr w:rsidR="007E77BD" w:rsidRPr="00A35FB6" w:rsidTr="007E77BD">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0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81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highlight w:val="yellow"/>
                <w:lang w:val="en-US"/>
              </w:rPr>
            </w:pPr>
          </w:p>
        </w:tc>
      </w:tr>
      <w:tr w:rsidR="007E77BD" w:rsidRPr="00A35FB6" w:rsidTr="007E77BD">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0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highlight w:val="yellow"/>
                <w:lang w:val="en-US"/>
              </w:rPr>
            </w:pPr>
          </w:p>
        </w:tc>
      </w:tr>
      <w:tr w:rsidR="007E77BD" w:rsidRPr="00A35FB6" w:rsidTr="007E77BD">
        <w:tc>
          <w:tcPr>
            <w:tcW w:w="243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25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810" w:type="dxa"/>
            <w:tcBorders>
              <w:top w:val="nil"/>
              <w:left w:val="nil"/>
              <w:bottom w:val="nil"/>
              <w:right w:val="single" w:sz="8" w:space="0" w:color="auto"/>
            </w:tcBorders>
            <w:shd w:val="clear" w:color="auto" w:fill="00B05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r>
      <w:tr w:rsidR="007E77BD" w:rsidRPr="00A35FB6" w:rsidTr="007E77BD">
        <w:tc>
          <w:tcPr>
            <w:tcW w:w="243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25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810" w:type="dxa"/>
            <w:tcBorders>
              <w:top w:val="nil"/>
              <w:left w:val="nil"/>
              <w:bottom w:val="nil"/>
              <w:right w:val="single" w:sz="8" w:space="0" w:color="auto"/>
            </w:tcBorders>
            <w:shd w:val="clear" w:color="auto" w:fill="FFFF0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43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roofErr w:type="spellStart"/>
            <w:r w:rsidRPr="00A35FB6">
              <w:rPr>
                <w:rFonts w:asciiTheme="minorHAnsi" w:eastAsia="Times New Roman" w:hAnsiTheme="minorHAnsi"/>
                <w:color w:val="222222"/>
                <w:sz w:val="20"/>
                <w:lang w:val="en-US"/>
              </w:rPr>
              <w:t>Utilisation</w:t>
            </w:r>
            <w:proofErr w:type="spellEnd"/>
            <w:r w:rsidRPr="00A35FB6">
              <w:rPr>
                <w:rFonts w:asciiTheme="minorHAnsi" w:eastAsia="Times New Roman" w:hAnsiTheme="minorHAnsi"/>
                <w:color w:val="222222"/>
                <w:sz w:val="20"/>
                <w:lang w:val="en-US"/>
              </w:rPr>
              <w:t xml:space="preserve"> of maternal health services is increased in </w:t>
            </w:r>
            <w:proofErr w:type="spellStart"/>
            <w:r w:rsidRPr="00A35FB6">
              <w:rPr>
                <w:rFonts w:asciiTheme="minorHAnsi" w:eastAsia="Times New Roman" w:hAnsiTheme="minorHAnsi"/>
                <w:color w:val="222222"/>
                <w:sz w:val="20"/>
                <w:lang w:val="en-US"/>
              </w:rPr>
              <w:t>Sylhet</w:t>
            </w:r>
            <w:proofErr w:type="spellEnd"/>
            <w:r w:rsidRPr="00A35FB6">
              <w:rPr>
                <w:rFonts w:asciiTheme="minorHAnsi" w:eastAsia="Times New Roman" w:hAnsiTheme="minorHAnsi"/>
                <w:color w:val="222222"/>
                <w:sz w:val="20"/>
                <w:lang w:val="en-US"/>
              </w:rPr>
              <w:t xml:space="preserve"> and Chittagong divisions</w:t>
            </w:r>
          </w:p>
          <w:p w:rsidR="007E77BD" w:rsidRPr="00A35FB6" w:rsidRDefault="007E77BD" w:rsidP="007E77BD">
            <w:pPr>
              <w:spacing w:after="0" w:line="240" w:lineRule="auto"/>
              <w:rPr>
                <w:rFonts w:asciiTheme="minorHAnsi" w:eastAsia="Times New Roman" w:hAnsiTheme="minorHAnsi"/>
                <w:color w:val="222222"/>
                <w:sz w:val="20"/>
                <w:lang w:val="en-US"/>
              </w:rPr>
            </w:pP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Percentage normal deliveries in public </w:t>
            </w:r>
            <w:proofErr w:type="spellStart"/>
            <w:r w:rsidRPr="00A35FB6">
              <w:rPr>
                <w:rFonts w:asciiTheme="minorHAnsi" w:eastAsia="Times New Roman" w:hAnsiTheme="minorHAnsi"/>
                <w:color w:val="222222"/>
                <w:sz w:val="20"/>
                <w:lang w:val="en-US"/>
              </w:rPr>
              <w:t>facilites</w:t>
            </w:r>
            <w:proofErr w:type="spellEnd"/>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71,132</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71,844</w:t>
            </w:r>
          </w:p>
          <w:p w:rsidR="007E77BD" w:rsidRPr="00A35FB6" w:rsidRDefault="007E77BD" w:rsidP="007E77BD">
            <w:pPr>
              <w:spacing w:after="0" w:line="240" w:lineRule="auto"/>
              <w:rPr>
                <w:rFonts w:asciiTheme="minorHAnsi" w:eastAsia="Times New Roman" w:hAnsiTheme="minorHAnsi"/>
                <w:color w:val="222222"/>
                <w:sz w:val="20"/>
                <w:lang w:val="en-US"/>
              </w:rPr>
            </w:pPr>
            <w:r>
              <w:rPr>
                <w:rFonts w:asciiTheme="minorHAnsi" w:eastAsia="Times New Roman" w:hAnsiTheme="minorHAnsi"/>
                <w:color w:val="222222"/>
                <w:sz w:val="20"/>
                <w:lang w:val="en-US"/>
              </w:rPr>
              <w:t>(49,000 revised target)</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47,417</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12% over baseline</w:t>
            </w: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18% over baseline</w:t>
            </w:r>
          </w:p>
        </w:tc>
        <w:tc>
          <w:tcPr>
            <w:tcW w:w="25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June 2018 target was revised downwards to 49,000</w:t>
            </w:r>
          </w:p>
        </w:tc>
        <w:tc>
          <w:tcPr>
            <w:tcW w:w="810" w:type="dxa"/>
            <w:tcBorders>
              <w:top w:val="nil"/>
              <w:left w:val="nil"/>
              <w:bottom w:val="nil"/>
              <w:right w:val="single" w:sz="8" w:space="0" w:color="auto"/>
            </w:tcBorders>
            <w:shd w:val="clear" w:color="auto" w:fill="FFFF0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43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Percentage of new born received essential new born care </w:t>
            </w: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Percentage</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6.1 (BDHS 2014)</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15</w:t>
            </w: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25</w:t>
            </w:r>
          </w:p>
        </w:tc>
        <w:tc>
          <w:tcPr>
            <w:tcW w:w="25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No target set; BDHS 2017 reported 7.4% as the national aggregate. Not possible to delineate contribution of DGFP separately</w:t>
            </w:r>
          </w:p>
        </w:tc>
        <w:tc>
          <w:tcPr>
            <w:tcW w:w="810" w:type="dxa"/>
            <w:tcBorders>
              <w:top w:val="nil"/>
              <w:left w:val="nil"/>
              <w:bottom w:val="nil"/>
              <w:right w:val="single" w:sz="8" w:space="0" w:color="auto"/>
            </w:tcBorders>
            <w:shd w:val="clear" w:color="auto" w:fill="C4BC96" w:themeFill="background2" w:themeFillShade="B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43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ANC coverage (at least 4 visit)</w:t>
            </w: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Percentage</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31.2 (BDHS 2014)</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410,626</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40</w:t>
            </w: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50</w:t>
            </w:r>
          </w:p>
        </w:tc>
        <w:tc>
          <w:tcPr>
            <w:tcW w:w="25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No target set; Units of measurement </w:t>
            </w:r>
            <w:r>
              <w:rPr>
                <w:rFonts w:asciiTheme="minorHAnsi" w:eastAsia="Times New Roman" w:hAnsiTheme="minorHAnsi"/>
                <w:color w:val="222222"/>
                <w:sz w:val="20"/>
                <w:lang w:val="en-US"/>
              </w:rPr>
              <w:t xml:space="preserve">of annual target and achievement </w:t>
            </w:r>
            <w:r w:rsidRPr="00A35FB6">
              <w:rPr>
                <w:rFonts w:asciiTheme="minorHAnsi" w:eastAsia="Times New Roman" w:hAnsiTheme="minorHAnsi"/>
                <w:color w:val="222222"/>
                <w:sz w:val="20"/>
                <w:lang w:val="en-US"/>
              </w:rPr>
              <w:t>don’t match</w:t>
            </w:r>
            <w:r>
              <w:rPr>
                <w:rFonts w:asciiTheme="minorHAnsi" w:eastAsia="Times New Roman" w:hAnsiTheme="minorHAnsi"/>
                <w:color w:val="222222"/>
                <w:sz w:val="20"/>
                <w:lang w:val="en-US"/>
              </w:rPr>
              <w:t xml:space="preserve"> baseline/midterm/EOP targets</w:t>
            </w:r>
            <w:r w:rsidRPr="00A35FB6">
              <w:rPr>
                <w:rFonts w:asciiTheme="minorHAnsi" w:eastAsia="Times New Roman" w:hAnsiTheme="minorHAnsi"/>
                <w:color w:val="222222"/>
                <w:sz w:val="20"/>
                <w:lang w:val="en-US"/>
              </w:rPr>
              <w:t>; BDHS 2017 reports 47%</w:t>
            </w:r>
          </w:p>
        </w:tc>
        <w:tc>
          <w:tcPr>
            <w:tcW w:w="810" w:type="dxa"/>
            <w:tcBorders>
              <w:top w:val="nil"/>
              <w:left w:val="nil"/>
              <w:bottom w:val="nil"/>
              <w:right w:val="single" w:sz="8" w:space="0" w:color="auto"/>
            </w:tcBorders>
            <w:shd w:val="clear" w:color="auto" w:fill="C4BC96" w:themeFill="background2" w:themeFillShade="B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sz w:val="20"/>
                <w:lang w:val="en-US"/>
              </w:rPr>
            </w:pPr>
          </w:p>
        </w:tc>
      </w:tr>
      <w:tr w:rsidR="007E77BD" w:rsidRPr="00A35FB6" w:rsidTr="007E77BD">
        <w:tc>
          <w:tcPr>
            <w:tcW w:w="243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25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810" w:type="dxa"/>
            <w:tcBorders>
              <w:top w:val="nil"/>
              <w:left w:val="nil"/>
              <w:bottom w:val="nil"/>
              <w:right w:val="single" w:sz="8" w:space="0" w:color="auto"/>
            </w:tcBorders>
            <w:shd w:val="clear" w:color="auto" w:fill="C4BC96" w:themeFill="background2" w:themeFillShade="B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43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Percentage of delivery by skilled birth attendant (SBA)</w:t>
            </w: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Percentage BDHS, every 3 years/UESD, every non-DHS years</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42.1% (BDHS 2014)</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634,373</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55%</w:t>
            </w: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65%</w:t>
            </w:r>
          </w:p>
        </w:tc>
        <w:tc>
          <w:tcPr>
            <w:tcW w:w="25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No target set; Units of measurement don’t match; BDHS 2017 reports 53%</w:t>
            </w:r>
          </w:p>
        </w:tc>
        <w:tc>
          <w:tcPr>
            <w:tcW w:w="810" w:type="dxa"/>
            <w:tcBorders>
              <w:top w:val="nil"/>
              <w:left w:val="nil"/>
              <w:bottom w:val="nil"/>
              <w:right w:val="single" w:sz="8" w:space="0" w:color="auto"/>
            </w:tcBorders>
            <w:shd w:val="clear" w:color="auto" w:fill="C4BC96" w:themeFill="background2" w:themeFillShade="B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43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Percentage mothers with non-institutional delivery receiving post natal care from a medically trained provider within two days of delivery</w:t>
            </w: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Percentage BDHS, every 3 years/UESD, every non-DHS years</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5.4 (BDHS 2014)</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492,230</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7</w:t>
            </w: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10</w:t>
            </w:r>
          </w:p>
        </w:tc>
        <w:tc>
          <w:tcPr>
            <w:tcW w:w="25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No target set; Progress reported by June is  incorrect (</w:t>
            </w:r>
            <w:r>
              <w:rPr>
                <w:rFonts w:asciiTheme="minorHAnsi" w:eastAsia="Times New Roman" w:hAnsiTheme="minorHAnsi"/>
                <w:color w:val="222222"/>
                <w:sz w:val="20"/>
                <w:lang w:val="en-US"/>
              </w:rPr>
              <w:t>from key Informant Interview)</w:t>
            </w:r>
          </w:p>
        </w:tc>
        <w:tc>
          <w:tcPr>
            <w:tcW w:w="810" w:type="dxa"/>
            <w:tcBorders>
              <w:top w:val="nil"/>
              <w:left w:val="nil"/>
              <w:bottom w:val="nil"/>
              <w:right w:val="single" w:sz="8" w:space="0" w:color="auto"/>
            </w:tcBorders>
            <w:shd w:val="clear" w:color="auto" w:fill="C4BC96" w:themeFill="background2" w:themeFillShade="B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43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Number of health facilities (MCWC/UH&amp;FWC) made functional adolescent friendly health services</w:t>
            </w: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Number</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93 (MCH-S unit report, DGFP)</w:t>
            </w: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200</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200</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600</w:t>
            </w: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979</w:t>
            </w:r>
          </w:p>
        </w:tc>
        <w:tc>
          <w:tcPr>
            <w:tcW w:w="25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810" w:type="dxa"/>
            <w:tcBorders>
              <w:top w:val="nil"/>
              <w:left w:val="nil"/>
              <w:bottom w:val="nil"/>
              <w:right w:val="single" w:sz="8" w:space="0" w:color="auto"/>
            </w:tcBorders>
            <w:shd w:val="clear" w:color="auto" w:fill="00B05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43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25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810" w:type="dxa"/>
            <w:tcBorders>
              <w:top w:val="nil"/>
              <w:left w:val="nil"/>
              <w:bottom w:val="nil"/>
              <w:right w:val="single" w:sz="8" w:space="0" w:color="auto"/>
            </w:tcBorders>
            <w:shd w:val="clear" w:color="auto" w:fill="C4BC96" w:themeFill="background2" w:themeFillShade="B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43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25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810" w:type="dxa"/>
            <w:tcBorders>
              <w:top w:val="nil"/>
              <w:left w:val="nil"/>
              <w:bottom w:val="nil"/>
              <w:right w:val="single" w:sz="8" w:space="0" w:color="auto"/>
            </w:tcBorders>
            <w:shd w:val="clear" w:color="auto" w:fill="C4BC96" w:themeFill="background2" w:themeFillShade="B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43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25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810" w:type="dxa"/>
            <w:tcBorders>
              <w:top w:val="nil"/>
              <w:left w:val="nil"/>
              <w:bottom w:val="nil"/>
              <w:right w:val="single" w:sz="8" w:space="0" w:color="auto"/>
            </w:tcBorders>
            <w:shd w:val="clear" w:color="auto" w:fill="C4BC96" w:themeFill="background2" w:themeFillShade="B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43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9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08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25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81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0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bl>
    <w:p w:rsidR="007E77BD" w:rsidRPr="00A35FB6" w:rsidRDefault="007E77BD" w:rsidP="007E77BD">
      <w:pPr>
        <w:shd w:val="clear" w:color="auto" w:fill="FFFFFF"/>
        <w:spacing w:after="0" w:line="240" w:lineRule="auto"/>
        <w:rPr>
          <w:rFonts w:asciiTheme="minorHAnsi" w:eastAsia="Times New Roman" w:hAnsiTheme="minorHAnsi" w:cs="Arial"/>
          <w:color w:val="222222"/>
          <w:sz w:val="24"/>
          <w:szCs w:val="24"/>
          <w:lang w:val="en-US"/>
        </w:rPr>
      </w:pPr>
    </w:p>
    <w:p w:rsidR="007E77BD" w:rsidRPr="00A35FB6" w:rsidRDefault="007E77BD" w:rsidP="007E77BD">
      <w:pPr>
        <w:shd w:val="clear" w:color="auto" w:fill="FFFFFF"/>
        <w:spacing w:after="0" w:line="240" w:lineRule="auto"/>
        <w:rPr>
          <w:rFonts w:asciiTheme="minorHAnsi" w:eastAsia="Times New Roman" w:hAnsiTheme="minorHAnsi" w:cs="Arial"/>
          <w:b/>
          <w:color w:val="222222"/>
          <w:sz w:val="24"/>
          <w:szCs w:val="24"/>
          <w:lang w:val="en-US"/>
        </w:rPr>
      </w:pPr>
      <w:r w:rsidRPr="00A35FB6">
        <w:rPr>
          <w:rFonts w:asciiTheme="minorHAnsi" w:eastAsia="Times New Roman" w:hAnsiTheme="minorHAnsi" w:cs="Arial"/>
          <w:b/>
          <w:color w:val="222222"/>
          <w:sz w:val="24"/>
          <w:szCs w:val="24"/>
          <w:lang w:val="en-US"/>
        </w:rPr>
        <w:t>OP 23 CBHC</w:t>
      </w:r>
    </w:p>
    <w:tbl>
      <w:tblPr>
        <w:tblW w:w="0" w:type="auto"/>
        <w:tblInd w:w="108" w:type="dxa"/>
        <w:shd w:val="clear" w:color="auto" w:fill="FFFFFF"/>
        <w:tblCellMar>
          <w:left w:w="0" w:type="dxa"/>
          <w:right w:w="0" w:type="dxa"/>
        </w:tblCellMar>
        <w:tblLook w:val="04A0" w:firstRow="1" w:lastRow="0" w:firstColumn="1" w:lastColumn="0" w:noHBand="0" w:noVBand="1"/>
      </w:tblPr>
      <w:tblGrid>
        <w:gridCol w:w="1937"/>
        <w:gridCol w:w="1542"/>
        <w:gridCol w:w="1770"/>
        <w:gridCol w:w="1369"/>
        <w:gridCol w:w="1199"/>
        <w:gridCol w:w="1369"/>
        <w:gridCol w:w="1298"/>
        <w:gridCol w:w="1782"/>
        <w:gridCol w:w="802"/>
      </w:tblGrid>
      <w:tr w:rsidR="007E77BD" w:rsidRPr="00A35FB6" w:rsidTr="007E77BD">
        <w:trPr>
          <w:tblHeader/>
        </w:trPr>
        <w:tc>
          <w:tcPr>
            <w:tcW w:w="21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Indicator</w:t>
            </w:r>
          </w:p>
        </w:tc>
        <w:tc>
          <w:tcPr>
            <w:tcW w:w="156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Unit of measurement</w:t>
            </w:r>
          </w:p>
        </w:tc>
        <w:tc>
          <w:tcPr>
            <w:tcW w:w="1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Baseline</w:t>
            </w:r>
          </w:p>
        </w:tc>
        <w:tc>
          <w:tcPr>
            <w:tcW w:w="13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June 2018</w:t>
            </w:r>
          </w:p>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Target</w:t>
            </w:r>
          </w:p>
        </w:tc>
        <w:tc>
          <w:tcPr>
            <w:tcW w:w="120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Available data</w:t>
            </w:r>
          </w:p>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To date</w:t>
            </w:r>
          </w:p>
        </w:tc>
        <w:tc>
          <w:tcPr>
            <w:tcW w:w="13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Mid Term Target</w:t>
            </w:r>
          </w:p>
        </w:tc>
        <w:tc>
          <w:tcPr>
            <w:tcW w:w="129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EOP target</w:t>
            </w:r>
          </w:p>
        </w:tc>
        <w:tc>
          <w:tcPr>
            <w:tcW w:w="19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Comment</w:t>
            </w:r>
          </w:p>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 </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Score:</w:t>
            </w:r>
          </w:p>
          <w:p w:rsidR="007E77BD" w:rsidRPr="00A35FB6" w:rsidRDefault="007E77BD" w:rsidP="007E77BD">
            <w:pPr>
              <w:spacing w:after="0" w:line="240" w:lineRule="auto"/>
              <w:rPr>
                <w:rFonts w:asciiTheme="minorHAnsi" w:eastAsia="Times New Roman" w:hAnsiTheme="minorHAnsi"/>
                <w:color w:val="222222"/>
                <w:sz w:val="24"/>
                <w:szCs w:val="24"/>
                <w:lang w:val="en-US"/>
              </w:rPr>
            </w:pPr>
          </w:p>
        </w:tc>
      </w:tr>
      <w:tr w:rsidR="007E77BD" w:rsidRPr="00A35FB6" w:rsidTr="007E77BD">
        <w:tc>
          <w:tcPr>
            <w:tcW w:w="21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5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3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2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2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81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highlight w:val="yellow"/>
                <w:lang w:val="en-US"/>
              </w:rPr>
            </w:pPr>
          </w:p>
        </w:tc>
      </w:tr>
      <w:tr w:rsidR="007E77BD" w:rsidRPr="00A35FB6" w:rsidTr="007E77BD">
        <w:tc>
          <w:tcPr>
            <w:tcW w:w="21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5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3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2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2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highlight w:val="yellow"/>
                <w:lang w:val="en-US"/>
              </w:rPr>
            </w:pPr>
          </w:p>
        </w:tc>
      </w:tr>
      <w:tr w:rsidR="007E77BD" w:rsidRPr="00A35FB6" w:rsidTr="007E77BD">
        <w:tc>
          <w:tcPr>
            <w:tcW w:w="211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562"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322"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36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203"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36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298"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1917"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c>
          <w:tcPr>
            <w:tcW w:w="810" w:type="dxa"/>
            <w:tcBorders>
              <w:top w:val="nil"/>
              <w:left w:val="nil"/>
              <w:bottom w:val="nil"/>
              <w:right w:val="single" w:sz="8" w:space="0" w:color="auto"/>
            </w:tcBorders>
            <w:shd w:val="clear" w:color="auto" w:fill="00B05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szCs w:val="24"/>
                <w:lang w:val="en-US"/>
              </w:rPr>
            </w:pPr>
          </w:p>
        </w:tc>
      </w:tr>
      <w:tr w:rsidR="007E77BD" w:rsidRPr="00A35FB6" w:rsidTr="007E77BD">
        <w:tc>
          <w:tcPr>
            <w:tcW w:w="211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562"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322"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36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203"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36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298"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917"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810" w:type="dxa"/>
            <w:tcBorders>
              <w:top w:val="nil"/>
              <w:left w:val="nil"/>
              <w:bottom w:val="nil"/>
              <w:right w:val="single" w:sz="8" w:space="0" w:color="auto"/>
            </w:tcBorders>
            <w:shd w:val="clear" w:color="auto" w:fill="FFFF0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11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Number of CC functioning at </w:t>
            </w:r>
            <w:proofErr w:type="spellStart"/>
            <w:r w:rsidRPr="00A35FB6">
              <w:rPr>
                <w:rFonts w:asciiTheme="minorHAnsi" w:eastAsia="Times New Roman" w:hAnsiTheme="minorHAnsi"/>
                <w:color w:val="222222"/>
                <w:sz w:val="20"/>
                <w:lang w:val="en-US"/>
              </w:rPr>
              <w:t>Upazila</w:t>
            </w:r>
            <w:proofErr w:type="spellEnd"/>
            <w:r w:rsidRPr="00A35FB6">
              <w:rPr>
                <w:rFonts w:asciiTheme="minorHAnsi" w:eastAsia="Times New Roman" w:hAnsiTheme="minorHAnsi"/>
                <w:color w:val="222222"/>
                <w:sz w:val="20"/>
                <w:lang w:val="en-US"/>
              </w:rPr>
              <w:t xml:space="preserve"> Health Complex</w:t>
            </w:r>
          </w:p>
          <w:p w:rsidR="007E77BD" w:rsidRPr="00A35FB6" w:rsidRDefault="007E77BD" w:rsidP="007E77BD">
            <w:pPr>
              <w:spacing w:after="0" w:line="240" w:lineRule="auto"/>
              <w:rPr>
                <w:rFonts w:asciiTheme="minorHAnsi" w:eastAsia="Times New Roman" w:hAnsiTheme="minorHAnsi"/>
                <w:color w:val="222222"/>
                <w:sz w:val="20"/>
                <w:lang w:val="en-US"/>
              </w:rPr>
            </w:pPr>
          </w:p>
        </w:tc>
        <w:tc>
          <w:tcPr>
            <w:tcW w:w="1562"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Number of CCs at </w:t>
            </w:r>
            <w:proofErr w:type="spellStart"/>
            <w:r w:rsidRPr="00A35FB6">
              <w:rPr>
                <w:rFonts w:asciiTheme="minorHAnsi" w:eastAsia="Times New Roman" w:hAnsiTheme="minorHAnsi"/>
                <w:color w:val="222222"/>
                <w:sz w:val="20"/>
                <w:lang w:val="en-US"/>
              </w:rPr>
              <w:t>Upazila</w:t>
            </w:r>
            <w:proofErr w:type="spellEnd"/>
            <w:r w:rsidRPr="00A35FB6">
              <w:rPr>
                <w:rFonts w:asciiTheme="minorHAnsi" w:eastAsia="Times New Roman" w:hAnsiTheme="minorHAnsi"/>
                <w:color w:val="222222"/>
                <w:sz w:val="20"/>
                <w:lang w:val="en-US"/>
              </w:rPr>
              <w:t xml:space="preserve"> Health Complex</w:t>
            </w:r>
          </w:p>
        </w:tc>
        <w:tc>
          <w:tcPr>
            <w:tcW w:w="1322"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0 (CBHC 2016)</w:t>
            </w:r>
          </w:p>
        </w:tc>
        <w:tc>
          <w:tcPr>
            <w:tcW w:w="136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64</w:t>
            </w:r>
          </w:p>
        </w:tc>
        <w:tc>
          <w:tcPr>
            <w:tcW w:w="1203"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64</w:t>
            </w:r>
          </w:p>
        </w:tc>
        <w:tc>
          <w:tcPr>
            <w:tcW w:w="136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200</w:t>
            </w:r>
          </w:p>
        </w:tc>
        <w:tc>
          <w:tcPr>
            <w:tcW w:w="1298"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400</w:t>
            </w:r>
          </w:p>
        </w:tc>
        <w:tc>
          <w:tcPr>
            <w:tcW w:w="1917"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810" w:type="dxa"/>
            <w:tcBorders>
              <w:top w:val="nil"/>
              <w:left w:val="nil"/>
              <w:bottom w:val="nil"/>
              <w:right w:val="single" w:sz="8" w:space="0" w:color="auto"/>
            </w:tcBorders>
            <w:shd w:val="clear" w:color="auto" w:fill="00B05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11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Number of CC having population based data</w:t>
            </w:r>
          </w:p>
        </w:tc>
        <w:tc>
          <w:tcPr>
            <w:tcW w:w="1562"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Number of CCs (HIS/CC Monitoring Report)</w:t>
            </w:r>
          </w:p>
        </w:tc>
        <w:tc>
          <w:tcPr>
            <w:tcW w:w="1322"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rPr>
                <w:rFonts w:asciiTheme="minorHAnsi" w:hAnsiTheme="minorHAnsi"/>
              </w:rPr>
            </w:pPr>
            <w:r w:rsidRPr="00A35FB6">
              <w:rPr>
                <w:rFonts w:asciiTheme="minorHAnsi" w:eastAsia="Times New Roman" w:hAnsiTheme="minorHAnsi"/>
                <w:color w:val="222222"/>
                <w:sz w:val="20"/>
                <w:lang w:val="en-US"/>
              </w:rPr>
              <w:t>0 (CBHC 2016)</w:t>
            </w:r>
          </w:p>
        </w:tc>
        <w:tc>
          <w:tcPr>
            <w:tcW w:w="136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1000</w:t>
            </w:r>
          </w:p>
        </w:tc>
        <w:tc>
          <w:tcPr>
            <w:tcW w:w="1203"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200</w:t>
            </w:r>
          </w:p>
        </w:tc>
        <w:tc>
          <w:tcPr>
            <w:tcW w:w="136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1000</w:t>
            </w:r>
          </w:p>
        </w:tc>
        <w:tc>
          <w:tcPr>
            <w:tcW w:w="1298"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5000</w:t>
            </w:r>
          </w:p>
        </w:tc>
        <w:tc>
          <w:tcPr>
            <w:tcW w:w="1917"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291B40">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The s</w:t>
            </w:r>
            <w:r w:rsidR="00291B40">
              <w:rPr>
                <w:rFonts w:asciiTheme="minorHAnsi" w:eastAsia="Times New Roman" w:hAnsiTheme="minorHAnsi"/>
                <w:color w:val="222222"/>
                <w:sz w:val="20"/>
                <w:lang w:val="en-US"/>
              </w:rPr>
              <w:t>ystem is still paper-based</w:t>
            </w:r>
          </w:p>
        </w:tc>
        <w:tc>
          <w:tcPr>
            <w:tcW w:w="810" w:type="dxa"/>
            <w:tcBorders>
              <w:top w:val="nil"/>
              <w:left w:val="nil"/>
              <w:bottom w:val="nil"/>
              <w:right w:val="single" w:sz="8" w:space="0" w:color="auto"/>
            </w:tcBorders>
            <w:shd w:val="clear" w:color="auto" w:fill="FF000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11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Functional referral system</w:t>
            </w:r>
          </w:p>
        </w:tc>
        <w:tc>
          <w:tcPr>
            <w:tcW w:w="1562"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Referral system functioning in UHC (facilities records)</w:t>
            </w:r>
          </w:p>
        </w:tc>
        <w:tc>
          <w:tcPr>
            <w:tcW w:w="1322"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hAnsiTheme="minorHAnsi"/>
              </w:rPr>
            </w:pPr>
            <w:r w:rsidRPr="00A35FB6">
              <w:rPr>
                <w:rFonts w:asciiTheme="minorHAnsi" w:eastAsia="Times New Roman" w:hAnsiTheme="minorHAnsi"/>
                <w:color w:val="222222"/>
                <w:sz w:val="20"/>
                <w:lang w:val="en-US"/>
              </w:rPr>
              <w:t>No functional referral system exist</w:t>
            </w:r>
          </w:p>
        </w:tc>
        <w:tc>
          <w:tcPr>
            <w:tcW w:w="136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Initiatives taken for establishment of referral system</w:t>
            </w:r>
          </w:p>
        </w:tc>
        <w:tc>
          <w:tcPr>
            <w:tcW w:w="1203"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8 </w:t>
            </w:r>
            <w:proofErr w:type="spellStart"/>
            <w:r w:rsidRPr="00A35FB6">
              <w:rPr>
                <w:rFonts w:asciiTheme="minorHAnsi" w:eastAsia="Times New Roman" w:hAnsiTheme="minorHAnsi"/>
                <w:color w:val="222222"/>
                <w:sz w:val="20"/>
                <w:lang w:val="en-US"/>
              </w:rPr>
              <w:t>Upazilas</w:t>
            </w:r>
            <w:proofErr w:type="spellEnd"/>
          </w:p>
        </w:tc>
        <w:tc>
          <w:tcPr>
            <w:tcW w:w="136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Initiatives undertaken for establishment of referral</w:t>
            </w:r>
          </w:p>
        </w:tc>
        <w:tc>
          <w:tcPr>
            <w:tcW w:w="1298"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Referral system functioning in 200 UHCs</w:t>
            </w:r>
          </w:p>
        </w:tc>
        <w:tc>
          <w:tcPr>
            <w:tcW w:w="1917"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291B40" w:rsidP="007E77BD">
            <w:pPr>
              <w:spacing w:after="0" w:line="240" w:lineRule="auto"/>
              <w:rPr>
                <w:rFonts w:asciiTheme="minorHAnsi" w:eastAsia="Times New Roman" w:hAnsiTheme="minorHAnsi"/>
                <w:color w:val="222222"/>
                <w:sz w:val="20"/>
                <w:lang w:val="en-US"/>
              </w:rPr>
            </w:pPr>
            <w:r>
              <w:rPr>
                <w:rFonts w:asciiTheme="minorHAnsi" w:eastAsia="Times New Roman" w:hAnsiTheme="minorHAnsi"/>
                <w:color w:val="222222"/>
                <w:sz w:val="20"/>
                <w:lang w:val="en-US"/>
              </w:rPr>
              <w:t>Effectiveness of the referral system needs to be assessed</w:t>
            </w:r>
          </w:p>
        </w:tc>
        <w:tc>
          <w:tcPr>
            <w:tcW w:w="810" w:type="dxa"/>
            <w:tcBorders>
              <w:top w:val="nil"/>
              <w:left w:val="nil"/>
              <w:bottom w:val="nil"/>
              <w:right w:val="single" w:sz="8" w:space="0" w:color="auto"/>
            </w:tcBorders>
            <w:shd w:val="clear" w:color="auto" w:fill="00B05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sz w:val="20"/>
                <w:lang w:val="en-US"/>
              </w:rPr>
            </w:pPr>
          </w:p>
        </w:tc>
      </w:tr>
      <w:tr w:rsidR="007E77BD" w:rsidRPr="00A35FB6" w:rsidTr="007E77BD">
        <w:trPr>
          <w:trHeight w:val="1485"/>
        </w:trPr>
        <w:tc>
          <w:tcPr>
            <w:tcW w:w="211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Medical waste management operating at all levels of </w:t>
            </w:r>
            <w:proofErr w:type="spellStart"/>
            <w:r w:rsidRPr="00A35FB6">
              <w:rPr>
                <w:rFonts w:asciiTheme="minorHAnsi" w:eastAsia="Times New Roman" w:hAnsiTheme="minorHAnsi"/>
                <w:color w:val="222222"/>
                <w:sz w:val="20"/>
                <w:lang w:val="en-US"/>
              </w:rPr>
              <w:t>Upazila</w:t>
            </w:r>
            <w:proofErr w:type="spellEnd"/>
            <w:r w:rsidRPr="00A35FB6">
              <w:rPr>
                <w:rFonts w:asciiTheme="minorHAnsi" w:eastAsia="Times New Roman" w:hAnsiTheme="minorHAnsi"/>
                <w:color w:val="222222"/>
                <w:sz w:val="20"/>
                <w:lang w:val="en-US"/>
              </w:rPr>
              <w:t xml:space="preserve"> health system</w:t>
            </w:r>
          </w:p>
        </w:tc>
        <w:tc>
          <w:tcPr>
            <w:tcW w:w="1562"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Different levels of facilities practicing medical waste management (Observance)</w:t>
            </w:r>
          </w:p>
        </w:tc>
        <w:tc>
          <w:tcPr>
            <w:tcW w:w="1322"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Very limited medical waste management at UZHC only</w:t>
            </w:r>
          </w:p>
        </w:tc>
        <w:tc>
          <w:tcPr>
            <w:tcW w:w="136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Medical waste management process initiated at all level of facilities</w:t>
            </w:r>
          </w:p>
        </w:tc>
        <w:tc>
          <w:tcPr>
            <w:tcW w:w="1203"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w:t>
            </w:r>
          </w:p>
        </w:tc>
        <w:tc>
          <w:tcPr>
            <w:tcW w:w="136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Medical waste management process initiated at all levels of facilities</w:t>
            </w:r>
          </w:p>
        </w:tc>
        <w:tc>
          <w:tcPr>
            <w:tcW w:w="1298"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Medical waste management operating at 100 UHCs</w:t>
            </w:r>
          </w:p>
        </w:tc>
        <w:tc>
          <w:tcPr>
            <w:tcW w:w="1917"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Pr>
                <w:rFonts w:asciiTheme="minorHAnsi" w:eastAsia="Times New Roman" w:hAnsiTheme="minorHAnsi"/>
                <w:color w:val="222222"/>
                <w:sz w:val="20"/>
                <w:lang w:val="en-US"/>
              </w:rPr>
              <w:t xml:space="preserve">The </w:t>
            </w:r>
            <w:r w:rsidRPr="00A35FB6">
              <w:rPr>
                <w:rFonts w:asciiTheme="minorHAnsi" w:eastAsia="Times New Roman" w:hAnsiTheme="minorHAnsi"/>
                <w:color w:val="222222"/>
                <w:sz w:val="20"/>
                <w:lang w:val="en-US"/>
              </w:rPr>
              <w:t xml:space="preserve">term ‘initiation’ </w:t>
            </w:r>
            <w:r>
              <w:rPr>
                <w:rFonts w:asciiTheme="minorHAnsi" w:eastAsia="Times New Roman" w:hAnsiTheme="minorHAnsi"/>
                <w:color w:val="222222"/>
                <w:sz w:val="20"/>
                <w:lang w:val="en-US"/>
              </w:rPr>
              <w:t xml:space="preserve">is </w:t>
            </w:r>
            <w:r w:rsidRPr="00A35FB6">
              <w:rPr>
                <w:rFonts w:asciiTheme="minorHAnsi" w:eastAsia="Times New Roman" w:hAnsiTheme="minorHAnsi"/>
                <w:color w:val="222222"/>
                <w:sz w:val="20"/>
                <w:lang w:val="en-US"/>
              </w:rPr>
              <w:t>not defined</w:t>
            </w:r>
            <w:r>
              <w:rPr>
                <w:rFonts w:asciiTheme="minorHAnsi" w:eastAsia="Times New Roman" w:hAnsiTheme="minorHAnsi"/>
                <w:color w:val="222222"/>
                <w:sz w:val="20"/>
                <w:lang w:val="en-US"/>
              </w:rPr>
              <w:t>; it is not clear how much has been achieved</w:t>
            </w:r>
          </w:p>
        </w:tc>
        <w:tc>
          <w:tcPr>
            <w:tcW w:w="810" w:type="dxa"/>
            <w:tcBorders>
              <w:top w:val="nil"/>
              <w:left w:val="nil"/>
              <w:bottom w:val="nil"/>
              <w:right w:val="single" w:sz="8" w:space="0" w:color="auto"/>
            </w:tcBorders>
            <w:shd w:val="clear" w:color="auto" w:fill="C4BC96" w:themeFill="background2" w:themeFillShade="B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11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Institutional mechanisms developed in 3 CHT districts and respective plain land </w:t>
            </w:r>
            <w:proofErr w:type="spellStart"/>
            <w:r w:rsidRPr="00A35FB6">
              <w:rPr>
                <w:rFonts w:asciiTheme="minorHAnsi" w:eastAsia="Times New Roman" w:hAnsiTheme="minorHAnsi"/>
                <w:color w:val="222222"/>
                <w:sz w:val="20"/>
                <w:lang w:val="en-US"/>
              </w:rPr>
              <w:t>Upazilas</w:t>
            </w:r>
            <w:proofErr w:type="spellEnd"/>
            <w:r w:rsidRPr="00A35FB6">
              <w:rPr>
                <w:rFonts w:asciiTheme="minorHAnsi" w:eastAsia="Times New Roman" w:hAnsiTheme="minorHAnsi"/>
                <w:color w:val="222222"/>
                <w:sz w:val="20"/>
                <w:lang w:val="en-US"/>
              </w:rPr>
              <w:t xml:space="preserve"> for delivering tribal health services</w:t>
            </w:r>
          </w:p>
        </w:tc>
        <w:tc>
          <w:tcPr>
            <w:tcW w:w="1562"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Number of CHT districts and plain land </w:t>
            </w:r>
            <w:proofErr w:type="spellStart"/>
            <w:r w:rsidRPr="00A35FB6">
              <w:rPr>
                <w:rFonts w:asciiTheme="minorHAnsi" w:eastAsia="Times New Roman" w:hAnsiTheme="minorHAnsi"/>
                <w:color w:val="222222"/>
                <w:sz w:val="20"/>
                <w:lang w:val="en-US"/>
              </w:rPr>
              <w:t>Upazilas</w:t>
            </w:r>
            <w:proofErr w:type="spellEnd"/>
            <w:r w:rsidRPr="00A35FB6">
              <w:rPr>
                <w:rFonts w:asciiTheme="minorHAnsi" w:eastAsia="Times New Roman" w:hAnsiTheme="minorHAnsi"/>
                <w:color w:val="222222"/>
                <w:sz w:val="20"/>
                <w:lang w:val="en-US"/>
              </w:rPr>
              <w:t xml:space="preserve"> (monitoring /Admin report)</w:t>
            </w:r>
          </w:p>
        </w:tc>
        <w:tc>
          <w:tcPr>
            <w:tcW w:w="1322"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Number of CHT districts and</w:t>
            </w:r>
            <w:r>
              <w:rPr>
                <w:rFonts w:asciiTheme="minorHAnsi" w:eastAsia="Times New Roman" w:hAnsiTheme="minorHAnsi"/>
                <w:color w:val="222222"/>
                <w:sz w:val="20"/>
                <w:lang w:val="en-US"/>
              </w:rPr>
              <w:t xml:space="preserve"> </w:t>
            </w:r>
            <w:proofErr w:type="spellStart"/>
            <w:r>
              <w:rPr>
                <w:rFonts w:asciiTheme="minorHAnsi" w:eastAsia="Times New Roman" w:hAnsiTheme="minorHAnsi"/>
                <w:color w:val="222222"/>
                <w:sz w:val="20"/>
                <w:lang w:val="en-US"/>
              </w:rPr>
              <w:t>plainland</w:t>
            </w:r>
            <w:proofErr w:type="spellEnd"/>
            <w:r>
              <w:rPr>
                <w:rFonts w:asciiTheme="minorHAnsi" w:eastAsia="Times New Roman" w:hAnsiTheme="minorHAnsi"/>
                <w:color w:val="222222"/>
                <w:sz w:val="20"/>
                <w:lang w:val="en-US"/>
              </w:rPr>
              <w:t xml:space="preserve"> </w:t>
            </w:r>
            <w:proofErr w:type="spellStart"/>
            <w:r>
              <w:rPr>
                <w:rFonts w:asciiTheme="minorHAnsi" w:eastAsia="Times New Roman" w:hAnsiTheme="minorHAnsi"/>
                <w:color w:val="222222"/>
                <w:sz w:val="20"/>
                <w:lang w:val="en-US"/>
              </w:rPr>
              <w:t>upazilas</w:t>
            </w:r>
            <w:proofErr w:type="spellEnd"/>
            <w:r>
              <w:rPr>
                <w:rFonts w:asciiTheme="minorHAnsi" w:eastAsia="Times New Roman" w:hAnsiTheme="minorHAnsi"/>
                <w:color w:val="222222"/>
                <w:sz w:val="20"/>
                <w:lang w:val="en-US"/>
              </w:rPr>
              <w:t xml:space="preserve"> (monitoring/</w:t>
            </w:r>
            <w:r w:rsidRPr="00A35FB6">
              <w:rPr>
                <w:rFonts w:asciiTheme="minorHAnsi" w:eastAsia="Times New Roman" w:hAnsiTheme="minorHAnsi"/>
                <w:color w:val="222222"/>
                <w:sz w:val="20"/>
                <w:lang w:val="en-US"/>
              </w:rPr>
              <w:t>admin report)</w:t>
            </w:r>
          </w:p>
        </w:tc>
        <w:tc>
          <w:tcPr>
            <w:tcW w:w="136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2 CHT and 5 </w:t>
            </w:r>
            <w:proofErr w:type="spellStart"/>
            <w:r w:rsidRPr="00A35FB6">
              <w:rPr>
                <w:rFonts w:asciiTheme="minorHAnsi" w:eastAsia="Times New Roman" w:hAnsiTheme="minorHAnsi"/>
                <w:color w:val="222222"/>
                <w:sz w:val="20"/>
                <w:lang w:val="en-US"/>
              </w:rPr>
              <w:t>plainland</w:t>
            </w:r>
            <w:proofErr w:type="spellEnd"/>
            <w:r w:rsidRPr="00A35FB6">
              <w:rPr>
                <w:rFonts w:asciiTheme="minorHAnsi" w:eastAsia="Times New Roman" w:hAnsiTheme="minorHAnsi"/>
                <w:color w:val="222222"/>
                <w:sz w:val="20"/>
                <w:lang w:val="en-US"/>
              </w:rPr>
              <w:t xml:space="preserve"> </w:t>
            </w:r>
            <w:proofErr w:type="spellStart"/>
            <w:r w:rsidRPr="00A35FB6">
              <w:rPr>
                <w:rFonts w:asciiTheme="minorHAnsi" w:eastAsia="Times New Roman" w:hAnsiTheme="minorHAnsi"/>
                <w:color w:val="222222"/>
                <w:sz w:val="20"/>
                <w:lang w:val="en-US"/>
              </w:rPr>
              <w:t>Upazilas</w:t>
            </w:r>
            <w:proofErr w:type="spellEnd"/>
          </w:p>
        </w:tc>
        <w:tc>
          <w:tcPr>
            <w:tcW w:w="1203"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2 CHT districts partly (</w:t>
            </w:r>
            <w:proofErr w:type="spellStart"/>
            <w:r w:rsidRPr="00A35FB6">
              <w:rPr>
                <w:rFonts w:asciiTheme="minorHAnsi" w:eastAsia="Times New Roman" w:hAnsiTheme="minorHAnsi"/>
                <w:color w:val="222222"/>
                <w:sz w:val="20"/>
                <w:lang w:val="en-US"/>
              </w:rPr>
              <w:t>Bandarban</w:t>
            </w:r>
            <w:proofErr w:type="spellEnd"/>
            <w:r w:rsidRPr="00A35FB6">
              <w:rPr>
                <w:rFonts w:asciiTheme="minorHAnsi" w:eastAsia="Times New Roman" w:hAnsiTheme="minorHAnsi"/>
                <w:color w:val="222222"/>
                <w:sz w:val="20"/>
                <w:lang w:val="en-US"/>
              </w:rPr>
              <w:t xml:space="preserve"> 4 and </w:t>
            </w:r>
            <w:proofErr w:type="spellStart"/>
            <w:r w:rsidRPr="00A35FB6">
              <w:rPr>
                <w:rFonts w:asciiTheme="minorHAnsi" w:eastAsia="Times New Roman" w:hAnsiTheme="minorHAnsi"/>
                <w:color w:val="222222"/>
                <w:sz w:val="20"/>
                <w:lang w:val="en-US"/>
              </w:rPr>
              <w:t>Khagrachari</w:t>
            </w:r>
            <w:proofErr w:type="spellEnd"/>
            <w:r w:rsidRPr="00A35FB6">
              <w:rPr>
                <w:rFonts w:asciiTheme="minorHAnsi" w:eastAsia="Times New Roman" w:hAnsiTheme="minorHAnsi"/>
                <w:color w:val="222222"/>
                <w:sz w:val="20"/>
                <w:lang w:val="en-US"/>
              </w:rPr>
              <w:t xml:space="preserve"> 2 </w:t>
            </w:r>
            <w:proofErr w:type="spellStart"/>
            <w:r w:rsidRPr="00A35FB6">
              <w:rPr>
                <w:rFonts w:asciiTheme="minorHAnsi" w:eastAsia="Times New Roman" w:hAnsiTheme="minorHAnsi"/>
                <w:color w:val="222222"/>
                <w:sz w:val="20"/>
                <w:lang w:val="en-US"/>
              </w:rPr>
              <w:t>Upazilas</w:t>
            </w:r>
            <w:proofErr w:type="spellEnd"/>
          </w:p>
        </w:tc>
        <w:tc>
          <w:tcPr>
            <w:tcW w:w="1369"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3 CHT and 10 </w:t>
            </w:r>
            <w:proofErr w:type="spellStart"/>
            <w:r w:rsidRPr="00A35FB6">
              <w:rPr>
                <w:rFonts w:asciiTheme="minorHAnsi" w:eastAsia="Times New Roman" w:hAnsiTheme="minorHAnsi"/>
                <w:color w:val="222222"/>
                <w:sz w:val="20"/>
                <w:lang w:val="en-US"/>
              </w:rPr>
              <w:t>plainland</w:t>
            </w:r>
            <w:proofErr w:type="spellEnd"/>
            <w:r w:rsidRPr="00A35FB6">
              <w:rPr>
                <w:rFonts w:asciiTheme="minorHAnsi" w:eastAsia="Times New Roman" w:hAnsiTheme="minorHAnsi"/>
                <w:color w:val="222222"/>
                <w:sz w:val="20"/>
                <w:lang w:val="en-US"/>
              </w:rPr>
              <w:t xml:space="preserve"> </w:t>
            </w:r>
            <w:proofErr w:type="spellStart"/>
            <w:r w:rsidRPr="00A35FB6">
              <w:rPr>
                <w:rFonts w:asciiTheme="minorHAnsi" w:eastAsia="Times New Roman" w:hAnsiTheme="minorHAnsi"/>
                <w:color w:val="222222"/>
                <w:sz w:val="20"/>
                <w:lang w:val="en-US"/>
              </w:rPr>
              <w:t>Uapzilas</w:t>
            </w:r>
            <w:proofErr w:type="spellEnd"/>
          </w:p>
        </w:tc>
        <w:tc>
          <w:tcPr>
            <w:tcW w:w="1298"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All 3 CHT districts and all required </w:t>
            </w:r>
            <w:proofErr w:type="spellStart"/>
            <w:r w:rsidRPr="00A35FB6">
              <w:rPr>
                <w:rFonts w:asciiTheme="minorHAnsi" w:eastAsia="Times New Roman" w:hAnsiTheme="minorHAnsi"/>
                <w:color w:val="222222"/>
                <w:sz w:val="20"/>
                <w:lang w:val="en-US"/>
              </w:rPr>
              <w:t>plainland</w:t>
            </w:r>
            <w:proofErr w:type="spellEnd"/>
            <w:r w:rsidRPr="00A35FB6">
              <w:rPr>
                <w:rFonts w:asciiTheme="minorHAnsi" w:eastAsia="Times New Roman" w:hAnsiTheme="minorHAnsi"/>
                <w:color w:val="222222"/>
                <w:sz w:val="20"/>
                <w:lang w:val="en-US"/>
              </w:rPr>
              <w:t xml:space="preserve"> </w:t>
            </w:r>
            <w:proofErr w:type="spellStart"/>
            <w:r w:rsidRPr="00A35FB6">
              <w:rPr>
                <w:rFonts w:asciiTheme="minorHAnsi" w:eastAsia="Times New Roman" w:hAnsiTheme="minorHAnsi"/>
                <w:color w:val="222222"/>
                <w:sz w:val="20"/>
                <w:lang w:val="en-US"/>
              </w:rPr>
              <w:t>Upazilas</w:t>
            </w:r>
            <w:proofErr w:type="spellEnd"/>
          </w:p>
        </w:tc>
        <w:tc>
          <w:tcPr>
            <w:tcW w:w="1917"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Limited progress mainly due to difficulty in mobilizing local service providers</w:t>
            </w:r>
          </w:p>
        </w:tc>
        <w:tc>
          <w:tcPr>
            <w:tcW w:w="810" w:type="dxa"/>
            <w:tcBorders>
              <w:top w:val="nil"/>
              <w:left w:val="nil"/>
              <w:bottom w:val="nil"/>
              <w:right w:val="single" w:sz="8" w:space="0" w:color="auto"/>
            </w:tcBorders>
            <w:shd w:val="clear" w:color="auto" w:fill="FFFF0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bl>
    <w:p w:rsidR="007E77BD" w:rsidRDefault="007E77BD" w:rsidP="007E77BD">
      <w:pPr>
        <w:shd w:val="clear" w:color="auto" w:fill="FFFFFF"/>
        <w:spacing w:after="0" w:line="240" w:lineRule="auto"/>
        <w:jc w:val="both"/>
        <w:rPr>
          <w:rFonts w:asciiTheme="minorHAnsi" w:eastAsia="Times New Roman" w:hAnsiTheme="minorHAnsi" w:cs="Arial"/>
          <w:b/>
          <w:color w:val="222222"/>
          <w:sz w:val="24"/>
          <w:szCs w:val="24"/>
          <w:lang w:val="en-US"/>
        </w:rPr>
      </w:pPr>
    </w:p>
    <w:p w:rsidR="007E77BD" w:rsidRDefault="007E77BD" w:rsidP="007E77BD">
      <w:pPr>
        <w:shd w:val="clear" w:color="auto" w:fill="FFFFFF"/>
        <w:spacing w:after="0" w:line="240" w:lineRule="auto"/>
        <w:jc w:val="both"/>
        <w:rPr>
          <w:rFonts w:asciiTheme="minorHAnsi" w:eastAsia="Times New Roman" w:hAnsiTheme="minorHAnsi" w:cs="Arial"/>
          <w:b/>
          <w:color w:val="222222"/>
          <w:sz w:val="24"/>
          <w:szCs w:val="24"/>
          <w:lang w:val="en-US"/>
        </w:rPr>
      </w:pPr>
    </w:p>
    <w:p w:rsidR="007E77BD" w:rsidRDefault="007E77BD" w:rsidP="007E77BD">
      <w:pPr>
        <w:shd w:val="clear" w:color="auto" w:fill="FFFFFF"/>
        <w:spacing w:after="0" w:line="240" w:lineRule="auto"/>
        <w:jc w:val="both"/>
        <w:rPr>
          <w:rFonts w:asciiTheme="minorHAnsi" w:eastAsia="Times New Roman" w:hAnsiTheme="minorHAnsi" w:cs="Arial"/>
          <w:b/>
          <w:color w:val="222222"/>
          <w:sz w:val="24"/>
          <w:szCs w:val="24"/>
          <w:lang w:val="en-US"/>
        </w:rPr>
      </w:pPr>
    </w:p>
    <w:p w:rsidR="007E77BD" w:rsidRPr="00A35FB6" w:rsidRDefault="007E77BD" w:rsidP="007E77BD">
      <w:pPr>
        <w:shd w:val="clear" w:color="auto" w:fill="FFFFFF"/>
        <w:spacing w:after="0" w:line="240" w:lineRule="auto"/>
        <w:jc w:val="both"/>
        <w:rPr>
          <w:rFonts w:asciiTheme="minorHAnsi" w:eastAsia="Times New Roman" w:hAnsiTheme="minorHAnsi" w:cs="Arial"/>
          <w:color w:val="222222"/>
          <w:sz w:val="24"/>
          <w:szCs w:val="24"/>
          <w:lang w:val="en-US"/>
        </w:rPr>
      </w:pPr>
      <w:r w:rsidRPr="00A35FB6">
        <w:rPr>
          <w:rFonts w:asciiTheme="minorHAnsi" w:eastAsia="Times New Roman" w:hAnsiTheme="minorHAnsi" w:cs="Arial"/>
          <w:b/>
          <w:color w:val="222222"/>
          <w:sz w:val="24"/>
          <w:szCs w:val="24"/>
          <w:lang w:val="en-US"/>
        </w:rPr>
        <w:t>OP 24 HSM</w:t>
      </w:r>
    </w:p>
    <w:tbl>
      <w:tblPr>
        <w:tblW w:w="0" w:type="auto"/>
        <w:tblInd w:w="108" w:type="dxa"/>
        <w:shd w:val="clear" w:color="auto" w:fill="FFFFFF"/>
        <w:tblCellMar>
          <w:left w:w="0" w:type="dxa"/>
          <w:right w:w="0" w:type="dxa"/>
        </w:tblCellMar>
        <w:tblLook w:val="04A0" w:firstRow="1" w:lastRow="0" w:firstColumn="1" w:lastColumn="0" w:noHBand="0" w:noVBand="1"/>
      </w:tblPr>
      <w:tblGrid>
        <w:gridCol w:w="2070"/>
        <w:gridCol w:w="1620"/>
        <w:gridCol w:w="1260"/>
        <w:gridCol w:w="1440"/>
        <w:gridCol w:w="1170"/>
        <w:gridCol w:w="1350"/>
        <w:gridCol w:w="1350"/>
        <w:gridCol w:w="1890"/>
        <w:gridCol w:w="810"/>
      </w:tblGrid>
      <w:tr w:rsidR="007E77BD" w:rsidRPr="00A35FB6" w:rsidTr="007E77BD">
        <w:trPr>
          <w:tblHeader/>
        </w:trPr>
        <w:tc>
          <w:tcPr>
            <w:tcW w:w="20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Indicator</w:t>
            </w:r>
          </w:p>
        </w:tc>
        <w:tc>
          <w:tcPr>
            <w:tcW w:w="16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Unit of measurement</w:t>
            </w:r>
          </w:p>
        </w:tc>
        <w:tc>
          <w:tcPr>
            <w:tcW w:w="12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Baseline</w:t>
            </w:r>
          </w:p>
        </w:tc>
        <w:tc>
          <w:tcPr>
            <w:tcW w:w="14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June 2018</w:t>
            </w:r>
          </w:p>
          <w:p w:rsidR="007E77BD" w:rsidRPr="00A35FB6" w:rsidRDefault="007E77BD" w:rsidP="007E77BD">
            <w:pPr>
              <w:spacing w:after="0" w:line="240" w:lineRule="auto"/>
              <w:jc w:val="both"/>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Target</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Available data</w:t>
            </w:r>
          </w:p>
          <w:p w:rsidR="007E77BD" w:rsidRPr="00A35FB6" w:rsidRDefault="007E77BD" w:rsidP="007E77BD">
            <w:pPr>
              <w:spacing w:after="0" w:line="240" w:lineRule="auto"/>
              <w:jc w:val="both"/>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To date</w:t>
            </w:r>
          </w:p>
        </w:tc>
        <w:tc>
          <w:tcPr>
            <w:tcW w:w="1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Mid Term Target</w:t>
            </w:r>
          </w:p>
        </w:tc>
        <w:tc>
          <w:tcPr>
            <w:tcW w:w="1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EOP target</w:t>
            </w:r>
          </w:p>
        </w:tc>
        <w:tc>
          <w:tcPr>
            <w:tcW w:w="18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Comment</w:t>
            </w:r>
          </w:p>
          <w:p w:rsidR="007E77BD" w:rsidRPr="00A35FB6" w:rsidRDefault="007E77BD" w:rsidP="007E77BD">
            <w:pPr>
              <w:spacing w:after="0" w:line="240" w:lineRule="auto"/>
              <w:jc w:val="both"/>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 </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4"/>
                <w:szCs w:val="24"/>
                <w:lang w:val="en-US"/>
              </w:rPr>
            </w:pPr>
            <w:r w:rsidRPr="00A35FB6">
              <w:rPr>
                <w:rFonts w:asciiTheme="minorHAnsi" w:eastAsia="Times New Roman" w:hAnsiTheme="minorHAnsi"/>
                <w:color w:val="222222"/>
                <w:lang w:val="en-US"/>
              </w:rPr>
              <w:t>Score:</w:t>
            </w:r>
          </w:p>
          <w:p w:rsidR="007E77BD" w:rsidRPr="00A35FB6" w:rsidRDefault="007E77BD" w:rsidP="007E77BD">
            <w:pPr>
              <w:spacing w:after="0" w:line="240" w:lineRule="auto"/>
              <w:jc w:val="both"/>
              <w:rPr>
                <w:rFonts w:asciiTheme="minorHAnsi" w:eastAsia="Times New Roman" w:hAnsiTheme="minorHAnsi"/>
                <w:color w:val="222222"/>
                <w:sz w:val="24"/>
                <w:szCs w:val="24"/>
                <w:lang w:val="en-US"/>
              </w:rPr>
            </w:pPr>
          </w:p>
        </w:tc>
      </w:tr>
      <w:tr w:rsidR="007E77BD" w:rsidRPr="00A35FB6" w:rsidTr="007E77BD">
        <w:tc>
          <w:tcPr>
            <w:tcW w:w="20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3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3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81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highlight w:val="yellow"/>
                <w:lang w:val="en-US"/>
              </w:rPr>
            </w:pPr>
          </w:p>
        </w:tc>
      </w:tr>
      <w:tr w:rsidR="007E77BD" w:rsidRPr="00A35FB6" w:rsidTr="007E77BD">
        <w:tc>
          <w:tcPr>
            <w:tcW w:w="20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3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3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highlight w:val="yellow"/>
                <w:lang w:val="en-US"/>
              </w:rPr>
            </w:pPr>
          </w:p>
        </w:tc>
      </w:tr>
      <w:tr w:rsidR="007E77BD" w:rsidRPr="00A35FB6" w:rsidTr="007E77BD">
        <w:tc>
          <w:tcPr>
            <w:tcW w:w="207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26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44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35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35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18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c>
          <w:tcPr>
            <w:tcW w:w="810" w:type="dxa"/>
            <w:tcBorders>
              <w:top w:val="nil"/>
              <w:left w:val="nil"/>
              <w:bottom w:val="nil"/>
              <w:right w:val="single" w:sz="8" w:space="0" w:color="auto"/>
            </w:tcBorders>
            <w:shd w:val="clear" w:color="auto" w:fill="00B050"/>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szCs w:val="24"/>
                <w:lang w:val="en-US"/>
              </w:rPr>
            </w:pPr>
          </w:p>
        </w:tc>
      </w:tr>
      <w:tr w:rsidR="007E77BD" w:rsidRPr="00A35FB6" w:rsidTr="007E77BD">
        <w:tc>
          <w:tcPr>
            <w:tcW w:w="207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c>
          <w:tcPr>
            <w:tcW w:w="126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c>
          <w:tcPr>
            <w:tcW w:w="144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c>
          <w:tcPr>
            <w:tcW w:w="135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c>
          <w:tcPr>
            <w:tcW w:w="135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c>
          <w:tcPr>
            <w:tcW w:w="18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c>
          <w:tcPr>
            <w:tcW w:w="810" w:type="dxa"/>
            <w:tcBorders>
              <w:top w:val="nil"/>
              <w:left w:val="nil"/>
              <w:bottom w:val="nil"/>
              <w:right w:val="single" w:sz="8" w:space="0" w:color="auto"/>
            </w:tcBorders>
            <w:shd w:val="clear" w:color="auto" w:fill="FFFF00"/>
            <w:tcMar>
              <w:top w:w="0" w:type="dxa"/>
              <w:left w:w="108" w:type="dxa"/>
              <w:bottom w:w="0" w:type="dxa"/>
              <w:right w:w="108" w:type="dxa"/>
            </w:tcMar>
            <w:hideMark/>
          </w:tcPr>
          <w:p w:rsidR="007E77BD" w:rsidRPr="00A35FB6" w:rsidRDefault="007E77BD" w:rsidP="007E77BD">
            <w:pPr>
              <w:spacing w:after="0" w:line="240" w:lineRule="auto"/>
              <w:jc w:val="both"/>
              <w:rPr>
                <w:rFonts w:asciiTheme="minorHAnsi" w:eastAsia="Times New Roman" w:hAnsiTheme="minorHAnsi"/>
                <w:color w:val="222222"/>
                <w:sz w:val="20"/>
                <w:lang w:val="en-US"/>
              </w:rPr>
            </w:pPr>
          </w:p>
        </w:tc>
      </w:tr>
      <w:tr w:rsidR="007E77BD" w:rsidRPr="00A35FB6" w:rsidTr="007E77BD">
        <w:tc>
          <w:tcPr>
            <w:tcW w:w="207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Number of hospitals (DH and above) introduced standard in-house medical waste management</w:t>
            </w: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Number of hospitals (Admin report)</w:t>
            </w:r>
          </w:p>
        </w:tc>
        <w:tc>
          <w:tcPr>
            <w:tcW w:w="126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MCH-06 Special. H-10, DH-04 (APIR 2016)</w:t>
            </w:r>
          </w:p>
        </w:tc>
        <w:tc>
          <w:tcPr>
            <w:tcW w:w="144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Total:36</w:t>
            </w:r>
          </w:p>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MCH:10</w:t>
            </w:r>
          </w:p>
          <w:p w:rsidR="007E77BD" w:rsidRPr="00A35FB6" w:rsidRDefault="007E77BD" w:rsidP="007E77BD">
            <w:pPr>
              <w:spacing w:after="0" w:line="240" w:lineRule="auto"/>
              <w:rPr>
                <w:rFonts w:asciiTheme="minorHAnsi" w:eastAsia="Times New Roman" w:hAnsiTheme="minorHAnsi"/>
                <w:color w:val="222222"/>
                <w:sz w:val="20"/>
                <w:lang w:val="en-US"/>
              </w:rPr>
            </w:pPr>
            <w:proofErr w:type="spellStart"/>
            <w:r w:rsidRPr="00A35FB6">
              <w:rPr>
                <w:rFonts w:asciiTheme="minorHAnsi" w:eastAsia="Times New Roman" w:hAnsiTheme="minorHAnsi"/>
                <w:color w:val="222222"/>
                <w:sz w:val="20"/>
                <w:lang w:val="en-US"/>
              </w:rPr>
              <w:t>Spcl</w:t>
            </w:r>
            <w:proofErr w:type="spellEnd"/>
            <w:r w:rsidRPr="00A35FB6">
              <w:rPr>
                <w:rFonts w:asciiTheme="minorHAnsi" w:eastAsia="Times New Roman" w:hAnsiTheme="minorHAnsi"/>
                <w:color w:val="222222"/>
                <w:sz w:val="20"/>
                <w:lang w:val="en-US"/>
              </w:rPr>
              <w:t>: 12</w:t>
            </w:r>
          </w:p>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DH: 14</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Total: 38</w:t>
            </w:r>
          </w:p>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MCH: 10</w:t>
            </w:r>
          </w:p>
          <w:p w:rsidR="007E77BD" w:rsidRPr="00A35FB6" w:rsidRDefault="007E77BD" w:rsidP="007E77BD">
            <w:pPr>
              <w:spacing w:after="0" w:line="240" w:lineRule="auto"/>
              <w:rPr>
                <w:rFonts w:asciiTheme="minorHAnsi" w:eastAsia="Times New Roman" w:hAnsiTheme="minorHAnsi"/>
                <w:color w:val="222222"/>
                <w:sz w:val="20"/>
                <w:lang w:val="en-US"/>
              </w:rPr>
            </w:pPr>
            <w:proofErr w:type="spellStart"/>
            <w:r w:rsidRPr="00A35FB6">
              <w:rPr>
                <w:rFonts w:asciiTheme="minorHAnsi" w:eastAsia="Times New Roman" w:hAnsiTheme="minorHAnsi"/>
                <w:color w:val="222222"/>
                <w:sz w:val="20"/>
                <w:lang w:val="en-US"/>
              </w:rPr>
              <w:t>Spl.H</w:t>
            </w:r>
            <w:proofErr w:type="spellEnd"/>
            <w:r w:rsidRPr="00A35FB6">
              <w:rPr>
                <w:rFonts w:asciiTheme="minorHAnsi" w:eastAsia="Times New Roman" w:hAnsiTheme="minorHAnsi"/>
                <w:color w:val="222222"/>
                <w:sz w:val="20"/>
                <w:lang w:val="en-US"/>
              </w:rPr>
              <w:t>: 14</w:t>
            </w:r>
          </w:p>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DH: 14</w:t>
            </w:r>
          </w:p>
        </w:tc>
        <w:tc>
          <w:tcPr>
            <w:tcW w:w="135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MCH-18</w:t>
            </w:r>
          </w:p>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Special. H-14 DH-28</w:t>
            </w:r>
          </w:p>
        </w:tc>
        <w:tc>
          <w:tcPr>
            <w:tcW w:w="135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MCH-28</w:t>
            </w:r>
          </w:p>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Special. H-22 DH-48</w:t>
            </w:r>
          </w:p>
        </w:tc>
        <w:tc>
          <w:tcPr>
            <w:tcW w:w="18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291B40">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Waste management is in </w:t>
            </w:r>
            <w:proofErr w:type="gramStart"/>
            <w:r w:rsidRPr="00A35FB6">
              <w:rPr>
                <w:rFonts w:asciiTheme="minorHAnsi" w:eastAsia="Times New Roman" w:hAnsiTheme="minorHAnsi"/>
                <w:color w:val="222222"/>
                <w:sz w:val="20"/>
                <w:lang w:val="en-US"/>
              </w:rPr>
              <w:t>place</w:t>
            </w:r>
            <w:proofErr w:type="gramEnd"/>
            <w:r w:rsidRPr="00A35FB6">
              <w:rPr>
                <w:rFonts w:asciiTheme="minorHAnsi" w:eastAsia="Times New Roman" w:hAnsiTheme="minorHAnsi"/>
                <w:color w:val="222222"/>
                <w:sz w:val="20"/>
                <w:lang w:val="en-US"/>
              </w:rPr>
              <w:t xml:space="preserve"> only </w:t>
            </w:r>
            <w:proofErr w:type="spellStart"/>
            <w:r w:rsidRPr="00A35FB6">
              <w:rPr>
                <w:rFonts w:asciiTheme="minorHAnsi" w:eastAsia="Times New Roman" w:hAnsiTheme="minorHAnsi"/>
                <w:color w:val="222222"/>
                <w:sz w:val="20"/>
                <w:lang w:val="en-US"/>
              </w:rPr>
              <w:t>upto</w:t>
            </w:r>
            <w:proofErr w:type="spellEnd"/>
            <w:r w:rsidRPr="00A35FB6">
              <w:rPr>
                <w:rFonts w:asciiTheme="minorHAnsi" w:eastAsia="Times New Roman" w:hAnsiTheme="minorHAnsi"/>
                <w:color w:val="222222"/>
                <w:sz w:val="20"/>
                <w:lang w:val="en-US"/>
              </w:rPr>
              <w:t xml:space="preserve"> the level of outhouse. </w:t>
            </w:r>
          </w:p>
        </w:tc>
        <w:tc>
          <w:tcPr>
            <w:tcW w:w="810" w:type="dxa"/>
            <w:tcBorders>
              <w:top w:val="nil"/>
              <w:left w:val="nil"/>
              <w:bottom w:val="nil"/>
              <w:right w:val="single" w:sz="8" w:space="0" w:color="auto"/>
            </w:tcBorders>
            <w:shd w:val="clear" w:color="auto" w:fill="00B05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07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Number of public and non-public facilities accredited</w:t>
            </w: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Number of hospitals (Admin/status report)</w:t>
            </w:r>
          </w:p>
        </w:tc>
        <w:tc>
          <w:tcPr>
            <w:tcW w:w="126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0</w:t>
            </w:r>
          </w:p>
        </w:tc>
        <w:tc>
          <w:tcPr>
            <w:tcW w:w="144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0</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0</w:t>
            </w:r>
          </w:p>
        </w:tc>
        <w:tc>
          <w:tcPr>
            <w:tcW w:w="135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Accreditation mechanism established</w:t>
            </w:r>
          </w:p>
        </w:tc>
        <w:tc>
          <w:tcPr>
            <w:tcW w:w="135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MCH-12</w:t>
            </w:r>
          </w:p>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DH-19</w:t>
            </w:r>
          </w:p>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Non-public hospitals-30</w:t>
            </w:r>
          </w:p>
        </w:tc>
        <w:tc>
          <w:tcPr>
            <w:tcW w:w="18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291B40" w:rsidP="00291B40">
            <w:pPr>
              <w:spacing w:after="0" w:line="240" w:lineRule="auto"/>
              <w:rPr>
                <w:rFonts w:asciiTheme="minorHAnsi" w:eastAsia="Times New Roman" w:hAnsiTheme="minorHAnsi"/>
                <w:color w:val="222222"/>
                <w:sz w:val="20"/>
                <w:lang w:val="en-US"/>
              </w:rPr>
            </w:pPr>
            <w:r>
              <w:rPr>
                <w:rFonts w:asciiTheme="minorHAnsi" w:eastAsia="Times New Roman" w:hAnsiTheme="minorHAnsi"/>
                <w:color w:val="222222"/>
                <w:sz w:val="20"/>
                <w:lang w:val="en-US"/>
              </w:rPr>
              <w:t>Guidelines developed; legal and other processes needed to implement need to be developed</w:t>
            </w:r>
          </w:p>
        </w:tc>
        <w:tc>
          <w:tcPr>
            <w:tcW w:w="810" w:type="dxa"/>
            <w:tcBorders>
              <w:top w:val="nil"/>
              <w:left w:val="nil"/>
              <w:bottom w:val="nil"/>
              <w:right w:val="single" w:sz="8" w:space="0" w:color="auto"/>
            </w:tcBorders>
            <w:shd w:val="clear" w:color="auto" w:fill="A6A6A6" w:themeFill="background1" w:themeFillShade="A6"/>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7E77BD">
        <w:tc>
          <w:tcPr>
            <w:tcW w:w="207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Number of district hospitals connected to structure referral system</w:t>
            </w:r>
          </w:p>
        </w:tc>
        <w:tc>
          <w:tcPr>
            <w:tcW w:w="162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Number of hospitals (Admin/status report)</w:t>
            </w:r>
          </w:p>
        </w:tc>
        <w:tc>
          <w:tcPr>
            <w:tcW w:w="126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02</w:t>
            </w:r>
          </w:p>
        </w:tc>
        <w:tc>
          <w:tcPr>
            <w:tcW w:w="144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w:t>
            </w:r>
          </w:p>
        </w:tc>
        <w:tc>
          <w:tcPr>
            <w:tcW w:w="117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3</w:t>
            </w:r>
          </w:p>
        </w:tc>
        <w:tc>
          <w:tcPr>
            <w:tcW w:w="135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30</w:t>
            </w:r>
          </w:p>
        </w:tc>
        <w:tc>
          <w:tcPr>
            <w:tcW w:w="135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50</w:t>
            </w:r>
          </w:p>
        </w:tc>
        <w:tc>
          <w:tcPr>
            <w:tcW w:w="1890" w:type="dxa"/>
            <w:tcBorders>
              <w:top w:val="nil"/>
              <w:left w:val="nil"/>
              <w:bottom w:val="nil"/>
              <w:right w:val="single" w:sz="8" w:space="0" w:color="auto"/>
            </w:tcBorders>
            <w:shd w:val="clear" w:color="auto" w:fill="FFFFFF"/>
            <w:tcMar>
              <w:top w:w="0" w:type="dxa"/>
              <w:left w:w="108" w:type="dxa"/>
              <w:bottom w:w="0" w:type="dxa"/>
              <w:right w:w="108" w:type="dxa"/>
            </w:tcMar>
            <w:hideMark/>
          </w:tcPr>
          <w:p w:rsidR="007E77BD" w:rsidRPr="00BF7107" w:rsidRDefault="007E77BD" w:rsidP="007E77BD">
            <w:pPr>
              <w:spacing w:after="0" w:line="240" w:lineRule="auto"/>
              <w:rPr>
                <w:rFonts w:asciiTheme="minorHAnsi" w:eastAsia="Times New Roman" w:hAnsiTheme="minorHAnsi"/>
                <w:color w:val="222222"/>
                <w:sz w:val="20"/>
                <w:lang w:val="en-US"/>
              </w:rPr>
            </w:pPr>
            <w:r w:rsidRPr="00BF7107">
              <w:rPr>
                <w:rFonts w:asciiTheme="minorHAnsi" w:eastAsia="Times New Roman" w:hAnsiTheme="minorHAnsi"/>
                <w:color w:val="222222"/>
                <w:sz w:val="20"/>
                <w:lang w:val="en-US"/>
              </w:rPr>
              <w:t xml:space="preserve">Initial draft of the guidelines produced; Referral system introduced in 3 hospitals ; Effectiveness needs to be assessed </w:t>
            </w:r>
          </w:p>
        </w:tc>
        <w:tc>
          <w:tcPr>
            <w:tcW w:w="810" w:type="dxa"/>
            <w:tcBorders>
              <w:top w:val="nil"/>
              <w:left w:val="nil"/>
              <w:bottom w:val="nil"/>
              <w:right w:val="single" w:sz="8" w:space="0" w:color="auto"/>
            </w:tcBorders>
            <w:shd w:val="clear" w:color="auto" w:fill="FFFF0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sz w:val="20"/>
                <w:lang w:val="en-US"/>
              </w:rPr>
            </w:pPr>
          </w:p>
        </w:tc>
      </w:tr>
      <w:tr w:rsidR="007E77BD" w:rsidRPr="00A35FB6" w:rsidTr="00B752DB">
        <w:tc>
          <w:tcPr>
            <w:tcW w:w="2070" w:type="dxa"/>
            <w:tcBorders>
              <w:top w:val="nil"/>
              <w:left w:val="single" w:sz="8"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Number of districts with a public hospital having five essential </w:t>
            </w:r>
            <w:proofErr w:type="spellStart"/>
            <w:r w:rsidRPr="00A35FB6">
              <w:rPr>
                <w:rFonts w:asciiTheme="minorHAnsi" w:eastAsia="Times New Roman" w:hAnsiTheme="minorHAnsi"/>
                <w:color w:val="222222"/>
                <w:sz w:val="20"/>
                <w:lang w:val="en-US"/>
              </w:rPr>
              <w:t>specialities</w:t>
            </w:r>
            <w:proofErr w:type="spellEnd"/>
            <w:r w:rsidRPr="00A35FB6">
              <w:rPr>
                <w:rFonts w:asciiTheme="minorHAnsi" w:eastAsia="Times New Roman" w:hAnsiTheme="minorHAnsi"/>
                <w:color w:val="222222"/>
                <w:sz w:val="20"/>
                <w:lang w:val="en-US"/>
              </w:rPr>
              <w:t xml:space="preserve"> (Medicine, Surgery, Pediatrics, </w:t>
            </w:r>
            <w:proofErr w:type="spellStart"/>
            <w:r w:rsidRPr="00A35FB6">
              <w:rPr>
                <w:rFonts w:asciiTheme="minorHAnsi" w:eastAsia="Times New Roman" w:hAnsiTheme="minorHAnsi"/>
                <w:color w:val="222222"/>
                <w:sz w:val="20"/>
                <w:lang w:val="en-US"/>
              </w:rPr>
              <w:t>Obs</w:t>
            </w:r>
            <w:proofErr w:type="spellEnd"/>
            <w:r w:rsidRPr="00A35FB6">
              <w:rPr>
                <w:rFonts w:asciiTheme="minorHAnsi" w:eastAsia="Times New Roman" w:hAnsiTheme="minorHAnsi"/>
                <w:color w:val="222222"/>
                <w:sz w:val="20"/>
                <w:lang w:val="en-US"/>
              </w:rPr>
              <w:t xml:space="preserve">&amp; </w:t>
            </w:r>
            <w:proofErr w:type="spellStart"/>
            <w:r w:rsidRPr="00A35FB6">
              <w:rPr>
                <w:rFonts w:asciiTheme="minorHAnsi" w:eastAsia="Times New Roman" w:hAnsiTheme="minorHAnsi"/>
                <w:color w:val="222222"/>
                <w:sz w:val="20"/>
                <w:lang w:val="en-US"/>
              </w:rPr>
              <w:t>Gynae</w:t>
            </w:r>
            <w:proofErr w:type="spellEnd"/>
            <w:r w:rsidRPr="00A35FB6">
              <w:rPr>
                <w:rFonts w:asciiTheme="minorHAnsi" w:eastAsia="Times New Roman" w:hAnsiTheme="minorHAnsi"/>
                <w:color w:val="222222"/>
                <w:sz w:val="20"/>
                <w:lang w:val="en-US"/>
              </w:rPr>
              <w:t xml:space="preserve"> and </w:t>
            </w:r>
            <w:proofErr w:type="spellStart"/>
            <w:r w:rsidRPr="00A35FB6">
              <w:rPr>
                <w:rFonts w:asciiTheme="minorHAnsi" w:eastAsia="Times New Roman" w:hAnsiTheme="minorHAnsi"/>
                <w:color w:val="222222"/>
                <w:sz w:val="20"/>
                <w:lang w:val="en-US"/>
              </w:rPr>
              <w:t>Anasthologist</w:t>
            </w:r>
            <w:proofErr w:type="spellEnd"/>
            <w:r w:rsidRPr="00A35FB6">
              <w:rPr>
                <w:rFonts w:asciiTheme="minorHAnsi" w:eastAsia="Times New Roman" w:hAnsiTheme="minorHAnsi"/>
                <w:color w:val="222222"/>
                <w:sz w:val="20"/>
                <w:lang w:val="en-US"/>
              </w:rPr>
              <w:t>)</w:t>
            </w:r>
          </w:p>
        </w:tc>
        <w:tc>
          <w:tcPr>
            <w:tcW w:w="1620" w:type="dxa"/>
            <w:tcBorders>
              <w:top w:val="nil"/>
              <w:left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Number of districts</w:t>
            </w:r>
          </w:p>
        </w:tc>
        <w:tc>
          <w:tcPr>
            <w:tcW w:w="1260" w:type="dxa"/>
            <w:tcBorders>
              <w:top w:val="nil"/>
              <w:left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Under 10 districts with a public hospital with 5 essential </w:t>
            </w:r>
            <w:proofErr w:type="spellStart"/>
            <w:r w:rsidRPr="00A35FB6">
              <w:rPr>
                <w:rFonts w:asciiTheme="minorHAnsi" w:eastAsia="Times New Roman" w:hAnsiTheme="minorHAnsi"/>
                <w:color w:val="222222"/>
                <w:sz w:val="20"/>
                <w:lang w:val="en-US"/>
              </w:rPr>
              <w:t>specialities</w:t>
            </w:r>
            <w:proofErr w:type="spellEnd"/>
          </w:p>
        </w:tc>
        <w:tc>
          <w:tcPr>
            <w:tcW w:w="1440" w:type="dxa"/>
            <w:tcBorders>
              <w:top w:val="nil"/>
              <w:left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170" w:type="dxa"/>
            <w:tcBorders>
              <w:top w:val="nil"/>
              <w:left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1350" w:type="dxa"/>
            <w:tcBorders>
              <w:top w:val="nil"/>
              <w:left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25</w:t>
            </w:r>
          </w:p>
        </w:tc>
        <w:tc>
          <w:tcPr>
            <w:tcW w:w="1350" w:type="dxa"/>
            <w:tcBorders>
              <w:top w:val="nil"/>
              <w:left w:val="nil"/>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45</w:t>
            </w:r>
          </w:p>
        </w:tc>
        <w:tc>
          <w:tcPr>
            <w:tcW w:w="1890" w:type="dxa"/>
            <w:tcBorders>
              <w:top w:val="nil"/>
              <w:left w:val="nil"/>
              <w:right w:val="single" w:sz="8" w:space="0" w:color="auto"/>
            </w:tcBorders>
            <w:shd w:val="clear" w:color="auto" w:fill="FFFFFF"/>
            <w:tcMar>
              <w:top w:w="0" w:type="dxa"/>
              <w:left w:w="108" w:type="dxa"/>
              <w:bottom w:w="0" w:type="dxa"/>
              <w:right w:w="108" w:type="dxa"/>
            </w:tcMar>
            <w:hideMark/>
          </w:tcPr>
          <w:p w:rsidR="007E77BD" w:rsidRPr="00BF7107" w:rsidRDefault="007E77BD" w:rsidP="00291B40">
            <w:pPr>
              <w:spacing w:after="0" w:line="240" w:lineRule="auto"/>
              <w:rPr>
                <w:rFonts w:asciiTheme="minorHAnsi" w:eastAsia="Times New Roman" w:hAnsiTheme="minorHAnsi"/>
                <w:color w:val="222222"/>
                <w:sz w:val="20"/>
                <w:lang w:val="en-US"/>
              </w:rPr>
            </w:pPr>
            <w:r w:rsidRPr="00BF7107">
              <w:rPr>
                <w:rFonts w:asciiTheme="minorHAnsi" w:eastAsia="Times New Roman" w:hAnsiTheme="minorHAnsi"/>
                <w:color w:val="222222"/>
                <w:sz w:val="20"/>
                <w:lang w:val="en-US"/>
              </w:rPr>
              <w:t xml:space="preserve">The indicator is not tracked. </w:t>
            </w:r>
            <w:r w:rsidR="00291B40">
              <w:rPr>
                <w:rFonts w:asciiTheme="minorHAnsi" w:eastAsia="Times New Roman" w:hAnsiTheme="minorHAnsi"/>
                <w:color w:val="222222"/>
                <w:sz w:val="20"/>
                <w:lang w:val="en-US"/>
              </w:rPr>
              <w:t>Needs to be reflected i</w:t>
            </w:r>
            <w:r w:rsidRPr="00BF7107">
              <w:rPr>
                <w:rFonts w:asciiTheme="minorHAnsi" w:eastAsia="Times New Roman" w:hAnsiTheme="minorHAnsi"/>
                <w:color w:val="222222"/>
                <w:sz w:val="20"/>
                <w:lang w:val="en-US"/>
              </w:rPr>
              <w:t>n HRD</w:t>
            </w:r>
            <w:r w:rsidR="00291B40">
              <w:rPr>
                <w:rFonts w:asciiTheme="minorHAnsi" w:eastAsia="Times New Roman" w:hAnsiTheme="minorHAnsi"/>
                <w:color w:val="222222"/>
                <w:sz w:val="20"/>
                <w:lang w:val="en-US"/>
              </w:rPr>
              <w:t xml:space="preserve"> </w:t>
            </w:r>
          </w:p>
        </w:tc>
        <w:tc>
          <w:tcPr>
            <w:tcW w:w="810" w:type="dxa"/>
            <w:tcBorders>
              <w:top w:val="nil"/>
              <w:left w:val="nil"/>
              <w:right w:val="single" w:sz="8" w:space="0" w:color="auto"/>
            </w:tcBorders>
            <w:shd w:val="clear" w:color="auto" w:fill="C4BC96" w:themeFill="background2" w:themeFillShade="B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r w:rsidR="007E77BD" w:rsidRPr="00A35FB6" w:rsidTr="00B752DB">
        <w:tc>
          <w:tcPr>
            <w:tcW w:w="2070"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 xml:space="preserve">Number of district hospitals providing </w:t>
            </w:r>
            <w:proofErr w:type="spellStart"/>
            <w:r w:rsidRPr="00A35FB6">
              <w:rPr>
                <w:rFonts w:asciiTheme="minorHAnsi" w:eastAsia="Times New Roman" w:hAnsiTheme="minorHAnsi"/>
                <w:color w:val="222222"/>
                <w:sz w:val="20"/>
                <w:lang w:val="en-US"/>
              </w:rPr>
              <w:t>CEmONC</w:t>
            </w:r>
            <w:proofErr w:type="spellEnd"/>
            <w:r w:rsidRPr="00A35FB6">
              <w:rPr>
                <w:rFonts w:asciiTheme="minorHAnsi" w:eastAsia="Times New Roman" w:hAnsiTheme="minorHAnsi"/>
                <w:color w:val="222222"/>
                <w:sz w:val="20"/>
                <w:lang w:val="en-US"/>
              </w:rPr>
              <w:t xml:space="preserve"> services in </w:t>
            </w:r>
            <w:proofErr w:type="spellStart"/>
            <w:r w:rsidRPr="00A35FB6">
              <w:rPr>
                <w:rFonts w:asciiTheme="minorHAnsi" w:eastAsia="Times New Roman" w:hAnsiTheme="minorHAnsi"/>
                <w:color w:val="222222"/>
                <w:sz w:val="20"/>
                <w:lang w:val="en-US"/>
              </w:rPr>
              <w:t>Sylhet</w:t>
            </w:r>
            <w:proofErr w:type="spellEnd"/>
            <w:r w:rsidRPr="00A35FB6">
              <w:rPr>
                <w:rFonts w:asciiTheme="minorHAnsi" w:eastAsia="Times New Roman" w:hAnsiTheme="minorHAnsi"/>
                <w:color w:val="222222"/>
                <w:sz w:val="20"/>
                <w:lang w:val="en-US"/>
              </w:rPr>
              <w:t xml:space="preserve"> and Chittagong divisions</w:t>
            </w:r>
          </w:p>
        </w:tc>
        <w:tc>
          <w:tcPr>
            <w:tcW w:w="162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Number of district hospitals</w:t>
            </w:r>
          </w:p>
        </w:tc>
        <w:tc>
          <w:tcPr>
            <w:tcW w:w="126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00</w:t>
            </w:r>
          </w:p>
        </w:tc>
        <w:tc>
          <w:tcPr>
            <w:tcW w:w="144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6</w:t>
            </w:r>
          </w:p>
        </w:tc>
        <w:tc>
          <w:tcPr>
            <w:tcW w:w="117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7</w:t>
            </w:r>
          </w:p>
        </w:tc>
        <w:tc>
          <w:tcPr>
            <w:tcW w:w="135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09</w:t>
            </w:r>
          </w:p>
        </w:tc>
        <w:tc>
          <w:tcPr>
            <w:tcW w:w="135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r w:rsidRPr="00A35FB6">
              <w:rPr>
                <w:rFonts w:asciiTheme="minorHAnsi" w:eastAsia="Times New Roman" w:hAnsiTheme="minorHAnsi"/>
                <w:color w:val="222222"/>
                <w:sz w:val="20"/>
                <w:lang w:val="en-US"/>
              </w:rPr>
              <w:t>13</w:t>
            </w:r>
          </w:p>
        </w:tc>
        <w:tc>
          <w:tcPr>
            <w:tcW w:w="189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c>
          <w:tcPr>
            <w:tcW w:w="810" w:type="dxa"/>
            <w:tcBorders>
              <w:top w:val="nil"/>
              <w:left w:val="nil"/>
              <w:bottom w:val="single" w:sz="4" w:space="0" w:color="auto"/>
              <w:right w:val="single" w:sz="8" w:space="0" w:color="auto"/>
            </w:tcBorders>
            <w:shd w:val="clear" w:color="auto" w:fill="00B050"/>
            <w:tcMar>
              <w:top w:w="0" w:type="dxa"/>
              <w:left w:w="108" w:type="dxa"/>
              <w:bottom w:w="0" w:type="dxa"/>
              <w:right w:w="108" w:type="dxa"/>
            </w:tcMar>
            <w:hideMark/>
          </w:tcPr>
          <w:p w:rsidR="007E77BD" w:rsidRPr="00A35FB6" w:rsidRDefault="007E77BD" w:rsidP="007E77BD">
            <w:pPr>
              <w:spacing w:after="0" w:line="240" w:lineRule="auto"/>
              <w:rPr>
                <w:rFonts w:asciiTheme="minorHAnsi" w:eastAsia="Times New Roman" w:hAnsiTheme="minorHAnsi"/>
                <w:color w:val="222222"/>
                <w:sz w:val="20"/>
                <w:lang w:val="en-US"/>
              </w:rPr>
            </w:pPr>
          </w:p>
        </w:tc>
      </w:tr>
    </w:tbl>
    <w:p w:rsidR="007E77BD" w:rsidRDefault="007E77BD" w:rsidP="007B43CD">
      <w:pPr>
        <w:ind w:left="576" w:hanging="576"/>
        <w:jc w:val="both"/>
        <w:rPr>
          <w:rFonts w:asciiTheme="minorHAnsi" w:hAnsiTheme="minorHAnsi"/>
          <w:b/>
          <w:i/>
        </w:rPr>
        <w:sectPr w:rsidR="007E77BD" w:rsidSect="008963C7">
          <w:pgSz w:w="15840" w:h="12240" w:orient="landscape"/>
          <w:pgMar w:top="1440" w:right="1440" w:bottom="1440" w:left="1440" w:header="720" w:footer="720" w:gutter="0"/>
          <w:pgNumType w:start="1"/>
          <w:cols w:space="720"/>
          <w:docGrid w:linePitch="360"/>
        </w:sectPr>
      </w:pPr>
    </w:p>
    <w:p w:rsidR="00676A40" w:rsidRPr="00A35FB6" w:rsidRDefault="00F91AC4" w:rsidP="007B43CD">
      <w:pPr>
        <w:ind w:left="576" w:hanging="576"/>
        <w:jc w:val="both"/>
        <w:rPr>
          <w:rFonts w:asciiTheme="minorHAnsi" w:hAnsiTheme="minorHAnsi"/>
          <w:b/>
          <w:i/>
        </w:rPr>
      </w:pPr>
      <w:r>
        <w:rPr>
          <w:rFonts w:asciiTheme="minorHAnsi" w:hAnsiTheme="minorHAnsi"/>
          <w:b/>
          <w:i/>
        </w:rPr>
        <w:lastRenderedPageBreak/>
        <w:t>5</w:t>
      </w:r>
      <w:r w:rsidR="00676A40" w:rsidRPr="00A35FB6">
        <w:rPr>
          <w:rFonts w:asciiTheme="minorHAnsi" w:hAnsiTheme="minorHAnsi"/>
          <w:b/>
          <w:i/>
        </w:rPr>
        <w:t>.4</w:t>
      </w:r>
      <w:r w:rsidR="007B43CD">
        <w:rPr>
          <w:rFonts w:asciiTheme="minorHAnsi" w:hAnsiTheme="minorHAnsi"/>
          <w:b/>
          <w:i/>
        </w:rPr>
        <w:tab/>
      </w:r>
      <w:r w:rsidR="00676A40" w:rsidRPr="00A35FB6">
        <w:rPr>
          <w:rFonts w:asciiTheme="minorHAnsi" w:hAnsiTheme="minorHAnsi"/>
          <w:b/>
          <w:i/>
        </w:rPr>
        <w:t>Progress on priority activities</w:t>
      </w:r>
    </w:p>
    <w:p w:rsidR="00676A40" w:rsidRDefault="00676A40" w:rsidP="00676A40">
      <w:pPr>
        <w:jc w:val="both"/>
        <w:rPr>
          <w:rFonts w:asciiTheme="minorHAnsi" w:hAnsiTheme="minorHAnsi"/>
        </w:rPr>
      </w:pPr>
      <w:r w:rsidRPr="00A35FB6">
        <w:rPr>
          <w:rFonts w:asciiTheme="minorHAnsi" w:hAnsiTheme="minorHAnsi"/>
        </w:rPr>
        <w:t xml:space="preserve">A number of priority areas were listed in the IRT Consultant’s terms of reference, for </w:t>
      </w:r>
      <w:proofErr w:type="gramStart"/>
      <w:r w:rsidRPr="00A35FB6">
        <w:rPr>
          <w:rFonts w:asciiTheme="minorHAnsi" w:hAnsiTheme="minorHAnsi"/>
        </w:rPr>
        <w:t>assessing  progress</w:t>
      </w:r>
      <w:proofErr w:type="gramEnd"/>
      <w:r w:rsidRPr="00A35FB6">
        <w:rPr>
          <w:rFonts w:asciiTheme="minorHAnsi" w:hAnsiTheme="minorHAnsi"/>
        </w:rPr>
        <w:t xml:space="preserve">. The </w:t>
      </w:r>
      <w:r w:rsidR="00D50807">
        <w:rPr>
          <w:rFonts w:asciiTheme="minorHAnsi" w:hAnsiTheme="minorHAnsi"/>
        </w:rPr>
        <w:t xml:space="preserve">following </w:t>
      </w:r>
      <w:proofErr w:type="gramStart"/>
      <w:r w:rsidRPr="00A35FB6">
        <w:rPr>
          <w:rFonts w:asciiTheme="minorHAnsi" w:hAnsiTheme="minorHAnsi"/>
        </w:rPr>
        <w:t>table  summarises</w:t>
      </w:r>
      <w:proofErr w:type="gramEnd"/>
      <w:r w:rsidRPr="00A35FB6">
        <w:rPr>
          <w:rFonts w:asciiTheme="minorHAnsi" w:hAnsiTheme="minorHAnsi"/>
        </w:rPr>
        <w:t xml:space="preserve"> the progress in those areas. </w:t>
      </w:r>
    </w:p>
    <w:p w:rsidR="00D50807" w:rsidRPr="00A35FB6" w:rsidRDefault="00D50807" w:rsidP="00D50807">
      <w:pPr>
        <w:jc w:val="both"/>
        <w:rPr>
          <w:rFonts w:asciiTheme="minorHAnsi" w:hAnsiTheme="minorHAnsi"/>
          <w:b/>
        </w:rPr>
      </w:pPr>
      <w:r>
        <w:rPr>
          <w:rFonts w:asciiTheme="minorHAnsi" w:hAnsiTheme="minorHAnsi"/>
          <w:b/>
        </w:rPr>
        <w:t xml:space="preserve">Table 2: </w:t>
      </w:r>
      <w:r w:rsidRPr="00A35FB6">
        <w:rPr>
          <w:rFonts w:asciiTheme="minorHAnsi" w:hAnsiTheme="minorHAnsi"/>
          <w:b/>
        </w:rPr>
        <w:t>Progress in Priority Activities</w:t>
      </w:r>
    </w:p>
    <w:tbl>
      <w:tblPr>
        <w:tblStyle w:val="TableGrid"/>
        <w:tblW w:w="0" w:type="auto"/>
        <w:tblInd w:w="108" w:type="dxa"/>
        <w:tblLook w:val="04A0" w:firstRow="1" w:lastRow="0" w:firstColumn="1" w:lastColumn="0" w:noHBand="0" w:noVBand="1"/>
      </w:tblPr>
      <w:tblGrid>
        <w:gridCol w:w="2297"/>
        <w:gridCol w:w="6945"/>
      </w:tblGrid>
      <w:tr w:rsidR="00D50807" w:rsidRPr="00130730" w:rsidTr="00E77CBF">
        <w:tc>
          <w:tcPr>
            <w:tcW w:w="2297" w:type="dxa"/>
          </w:tcPr>
          <w:p w:rsidR="00D50807" w:rsidRPr="00130730" w:rsidRDefault="00D50807" w:rsidP="00030036">
            <w:pPr>
              <w:jc w:val="both"/>
              <w:rPr>
                <w:rFonts w:asciiTheme="minorHAnsi" w:hAnsiTheme="minorHAnsi"/>
                <w:b/>
              </w:rPr>
            </w:pPr>
            <w:r w:rsidRPr="00130730">
              <w:rPr>
                <w:rFonts w:asciiTheme="minorHAnsi" w:hAnsiTheme="minorHAnsi"/>
                <w:b/>
              </w:rPr>
              <w:t>Priority activity</w:t>
            </w:r>
          </w:p>
        </w:tc>
        <w:tc>
          <w:tcPr>
            <w:tcW w:w="6945" w:type="dxa"/>
          </w:tcPr>
          <w:p w:rsidR="00D50807" w:rsidRPr="00130730" w:rsidRDefault="00D50807" w:rsidP="00030036">
            <w:pPr>
              <w:jc w:val="both"/>
              <w:rPr>
                <w:rFonts w:asciiTheme="minorHAnsi" w:hAnsiTheme="minorHAnsi"/>
                <w:b/>
              </w:rPr>
            </w:pPr>
            <w:r w:rsidRPr="00130730">
              <w:rPr>
                <w:rFonts w:asciiTheme="minorHAnsi" w:hAnsiTheme="minorHAnsi"/>
                <w:b/>
              </w:rPr>
              <w:t xml:space="preserve">Progress </w:t>
            </w:r>
          </w:p>
        </w:tc>
      </w:tr>
      <w:tr w:rsidR="00D50807" w:rsidRPr="00A35FB6" w:rsidTr="00E77CBF">
        <w:tc>
          <w:tcPr>
            <w:tcW w:w="2297" w:type="dxa"/>
          </w:tcPr>
          <w:p w:rsidR="00D50807" w:rsidRPr="00A35FB6" w:rsidRDefault="00D50807" w:rsidP="00030036">
            <w:pPr>
              <w:rPr>
                <w:rFonts w:asciiTheme="minorHAnsi" w:hAnsiTheme="minorHAnsi"/>
              </w:rPr>
            </w:pPr>
            <w:r w:rsidRPr="00A35FB6">
              <w:rPr>
                <w:rFonts w:asciiTheme="minorHAnsi" w:hAnsiTheme="minorHAnsi"/>
              </w:rPr>
              <w:t>Implementation of National Strategy for Maternal Health</w:t>
            </w:r>
          </w:p>
        </w:tc>
        <w:tc>
          <w:tcPr>
            <w:tcW w:w="6945" w:type="dxa"/>
          </w:tcPr>
          <w:p w:rsidR="00D50807" w:rsidRPr="00A35FB6" w:rsidRDefault="00D50807" w:rsidP="00030036">
            <w:pPr>
              <w:jc w:val="both"/>
              <w:rPr>
                <w:rFonts w:asciiTheme="minorHAnsi" w:hAnsiTheme="minorHAnsi"/>
              </w:rPr>
            </w:pPr>
            <w:r>
              <w:rPr>
                <w:rFonts w:asciiTheme="minorHAnsi" w:hAnsiTheme="minorHAnsi"/>
              </w:rPr>
              <w:t>The revised National Maternal H</w:t>
            </w:r>
            <w:r w:rsidRPr="00A35FB6">
              <w:rPr>
                <w:rFonts w:asciiTheme="minorHAnsi" w:hAnsiTheme="minorHAnsi"/>
              </w:rPr>
              <w:t>eal</w:t>
            </w:r>
            <w:r>
              <w:rPr>
                <w:rFonts w:asciiTheme="minorHAnsi" w:hAnsiTheme="minorHAnsi"/>
              </w:rPr>
              <w:t xml:space="preserve">th </w:t>
            </w:r>
            <w:proofErr w:type="spellStart"/>
            <w:r>
              <w:rPr>
                <w:rFonts w:asciiTheme="minorHAnsi" w:hAnsiTheme="minorHAnsi"/>
              </w:rPr>
              <w:t>Strategywas</w:t>
            </w:r>
            <w:proofErr w:type="spellEnd"/>
            <w:r>
              <w:rPr>
                <w:rFonts w:asciiTheme="minorHAnsi" w:hAnsiTheme="minorHAnsi"/>
              </w:rPr>
              <w:t xml:space="preserve"> submitted to MOHFW and is being translated into Bangla. It is expected to be approved soon. Implementation </w:t>
            </w:r>
            <w:r w:rsidRPr="00A35FB6">
              <w:rPr>
                <w:rFonts w:asciiTheme="minorHAnsi" w:hAnsiTheme="minorHAnsi"/>
              </w:rPr>
              <w:t>plan</w:t>
            </w:r>
            <w:r>
              <w:rPr>
                <w:rFonts w:asciiTheme="minorHAnsi" w:hAnsiTheme="minorHAnsi"/>
              </w:rPr>
              <w:t xml:space="preserve"> and costing needs to be developed.</w:t>
            </w:r>
          </w:p>
        </w:tc>
      </w:tr>
      <w:tr w:rsidR="00D50807" w:rsidRPr="00A35FB6" w:rsidTr="00E77CBF">
        <w:tc>
          <w:tcPr>
            <w:tcW w:w="2297" w:type="dxa"/>
          </w:tcPr>
          <w:p w:rsidR="00D50807" w:rsidRPr="00A35FB6" w:rsidRDefault="00D50807" w:rsidP="00030036">
            <w:pPr>
              <w:rPr>
                <w:rFonts w:asciiTheme="minorHAnsi" w:hAnsiTheme="minorHAnsi"/>
              </w:rPr>
            </w:pPr>
            <w:r w:rsidRPr="00A35FB6">
              <w:rPr>
                <w:rFonts w:asciiTheme="minorHAnsi" w:hAnsiTheme="minorHAnsi"/>
              </w:rPr>
              <w:t>Maternal and Perinatal Death Surveillance</w:t>
            </w:r>
          </w:p>
        </w:tc>
        <w:tc>
          <w:tcPr>
            <w:tcW w:w="6945" w:type="dxa"/>
          </w:tcPr>
          <w:p w:rsidR="00D50807" w:rsidRPr="00A35FB6" w:rsidRDefault="00D50807" w:rsidP="00030036">
            <w:pPr>
              <w:jc w:val="both"/>
              <w:rPr>
                <w:rFonts w:asciiTheme="minorHAnsi" w:hAnsiTheme="minorHAnsi"/>
              </w:rPr>
            </w:pPr>
            <w:r>
              <w:rPr>
                <w:rFonts w:asciiTheme="minorHAnsi" w:hAnsiTheme="minorHAnsi"/>
              </w:rPr>
              <w:t xml:space="preserve">MPDSR had been introduced in 22 districts under the previous sector programme, HPNSDP. Work has continued during the current review period and 32 districts were brought under the cover of this initiative. National MPDSR guidelines, TOT guidelines, and a pocketbook guideline have developed to support the initiative. TOT has been completed in all 32 districts and orientation training in respective </w:t>
            </w:r>
            <w:proofErr w:type="spellStart"/>
            <w:r>
              <w:rPr>
                <w:rFonts w:asciiTheme="minorHAnsi" w:hAnsiTheme="minorHAnsi"/>
              </w:rPr>
              <w:t>upazilas</w:t>
            </w:r>
            <w:proofErr w:type="spellEnd"/>
            <w:r>
              <w:rPr>
                <w:rFonts w:asciiTheme="minorHAnsi" w:hAnsiTheme="minorHAnsi"/>
              </w:rPr>
              <w:t xml:space="preserve">. </w:t>
            </w:r>
            <w:proofErr w:type="spellStart"/>
            <w:r>
              <w:rPr>
                <w:rFonts w:asciiTheme="minorHAnsi" w:hAnsiTheme="minorHAnsi"/>
              </w:rPr>
              <w:t>Upazila</w:t>
            </w:r>
            <w:proofErr w:type="spellEnd"/>
            <w:r>
              <w:rPr>
                <w:rFonts w:asciiTheme="minorHAnsi" w:hAnsiTheme="minorHAnsi"/>
              </w:rPr>
              <w:t xml:space="preserve">, district and divisional level MPDSR committees have been put into place to review the deaths and suggest remedial measures. Maternal and neonatal deaths are both </w:t>
            </w:r>
            <w:proofErr w:type="spellStart"/>
            <w:r>
              <w:rPr>
                <w:rFonts w:asciiTheme="minorHAnsi" w:hAnsiTheme="minorHAnsi"/>
              </w:rPr>
              <w:t>notifiable</w:t>
            </w:r>
            <w:proofErr w:type="spellEnd"/>
            <w:r>
              <w:rPr>
                <w:rFonts w:asciiTheme="minorHAnsi" w:hAnsiTheme="minorHAnsi"/>
              </w:rPr>
              <w:t xml:space="preserve">. Since MRDSR has only been introduced in about half of all districts, the proportion of deaths covered by MPDSR and uploaded into DHIS 2 is small; in the earlier 22 districts where MPDSR was introduced before HPNSP, higher (about 48 </w:t>
            </w:r>
            <w:proofErr w:type="spellStart"/>
            <w:r>
              <w:rPr>
                <w:rFonts w:asciiTheme="minorHAnsi" w:hAnsiTheme="minorHAnsi"/>
              </w:rPr>
              <w:t>percent</w:t>
            </w:r>
            <w:proofErr w:type="spellEnd"/>
            <w:r>
              <w:rPr>
                <w:rFonts w:asciiTheme="minorHAnsi" w:hAnsiTheme="minorHAnsi"/>
              </w:rPr>
              <w:t xml:space="preserve">) deaths are reported (KI interview, UNICEF). And SOP has been developed to support the initiative. Training of Trainers has been completed in these districts and orientation training in related </w:t>
            </w:r>
            <w:proofErr w:type="spellStart"/>
            <w:r>
              <w:rPr>
                <w:rFonts w:asciiTheme="minorHAnsi" w:hAnsiTheme="minorHAnsi"/>
              </w:rPr>
              <w:t>upazilas</w:t>
            </w:r>
            <w:proofErr w:type="spellEnd"/>
            <w:r>
              <w:rPr>
                <w:rFonts w:asciiTheme="minorHAnsi" w:hAnsiTheme="minorHAnsi"/>
              </w:rPr>
              <w:t xml:space="preserve">. Both maternal and neonatal deaths are </w:t>
            </w:r>
            <w:proofErr w:type="spellStart"/>
            <w:r>
              <w:rPr>
                <w:rFonts w:asciiTheme="minorHAnsi" w:hAnsiTheme="minorHAnsi"/>
              </w:rPr>
              <w:t>notifiable</w:t>
            </w:r>
            <w:proofErr w:type="spellEnd"/>
            <w:r>
              <w:rPr>
                <w:rFonts w:asciiTheme="minorHAnsi" w:hAnsiTheme="minorHAnsi"/>
              </w:rPr>
              <w:t xml:space="preserve"> and all cases of such deaths need to be covered by MPDSR and information uploaded in DHIS 2. However, information on only 2-28 </w:t>
            </w:r>
            <w:proofErr w:type="spellStart"/>
            <w:r>
              <w:rPr>
                <w:rFonts w:asciiTheme="minorHAnsi" w:hAnsiTheme="minorHAnsi"/>
              </w:rPr>
              <w:t>percent</w:t>
            </w:r>
            <w:proofErr w:type="spellEnd"/>
            <w:r>
              <w:rPr>
                <w:rFonts w:asciiTheme="minorHAnsi" w:hAnsiTheme="minorHAnsi"/>
              </w:rPr>
              <w:t xml:space="preserve"> of notified maternal deaths and 2-14 </w:t>
            </w:r>
            <w:proofErr w:type="spellStart"/>
            <w:r>
              <w:rPr>
                <w:rFonts w:asciiTheme="minorHAnsi" w:hAnsiTheme="minorHAnsi"/>
              </w:rPr>
              <w:t>percent</w:t>
            </w:r>
            <w:proofErr w:type="spellEnd"/>
            <w:r>
              <w:rPr>
                <w:rFonts w:asciiTheme="minorHAnsi" w:hAnsiTheme="minorHAnsi"/>
              </w:rPr>
              <w:t xml:space="preserve"> of notified neonatal deaths had been updated in DGHS’ Dashboard in 2018. Once reviewed, the review findings are discussed in district level MPDSR committees and at facility level, in case of facility deaths. </w:t>
            </w:r>
          </w:p>
        </w:tc>
      </w:tr>
      <w:tr w:rsidR="00D50807" w:rsidRPr="00A35FB6" w:rsidTr="00E77CBF">
        <w:tc>
          <w:tcPr>
            <w:tcW w:w="2297" w:type="dxa"/>
          </w:tcPr>
          <w:p w:rsidR="00D50807" w:rsidRPr="00A35FB6" w:rsidRDefault="00D50807" w:rsidP="00030036">
            <w:pPr>
              <w:rPr>
                <w:rFonts w:asciiTheme="minorHAnsi" w:hAnsiTheme="minorHAnsi"/>
              </w:rPr>
            </w:pPr>
            <w:r w:rsidRPr="00A35FB6">
              <w:rPr>
                <w:rFonts w:asciiTheme="minorHAnsi" w:hAnsiTheme="minorHAnsi"/>
              </w:rPr>
              <w:t xml:space="preserve">PPH and </w:t>
            </w:r>
            <w:proofErr w:type="spellStart"/>
            <w:r w:rsidRPr="00A35FB6">
              <w:rPr>
                <w:rFonts w:asciiTheme="minorHAnsi" w:hAnsiTheme="minorHAnsi"/>
              </w:rPr>
              <w:t>Eclampsia</w:t>
            </w:r>
            <w:proofErr w:type="spellEnd"/>
            <w:r w:rsidRPr="00A35FB6">
              <w:rPr>
                <w:rFonts w:asciiTheme="minorHAnsi" w:hAnsiTheme="minorHAnsi"/>
              </w:rPr>
              <w:t xml:space="preserve"> Action Plan</w:t>
            </w:r>
          </w:p>
        </w:tc>
        <w:tc>
          <w:tcPr>
            <w:tcW w:w="6945" w:type="dxa"/>
          </w:tcPr>
          <w:p w:rsidR="00D50807" w:rsidRPr="00A35FB6" w:rsidRDefault="00D50807" w:rsidP="00030036">
            <w:pPr>
              <w:jc w:val="both"/>
              <w:rPr>
                <w:rFonts w:asciiTheme="minorHAnsi" w:hAnsiTheme="minorHAnsi"/>
              </w:rPr>
            </w:pPr>
            <w:r>
              <w:rPr>
                <w:rFonts w:asciiTheme="minorHAnsi" w:hAnsiTheme="minorHAnsi"/>
              </w:rPr>
              <w:t>The PPH/</w:t>
            </w:r>
            <w:proofErr w:type="spellStart"/>
            <w:r>
              <w:rPr>
                <w:rFonts w:asciiTheme="minorHAnsi" w:hAnsiTheme="minorHAnsi"/>
              </w:rPr>
              <w:t>Eclampsia</w:t>
            </w:r>
            <w:proofErr w:type="spellEnd"/>
            <w:r>
              <w:rPr>
                <w:rFonts w:asciiTheme="minorHAnsi" w:hAnsiTheme="minorHAnsi"/>
              </w:rPr>
              <w:t xml:space="preserve"> Action Plan was developed under the leadership of the EOC Technical Committee under DGHS, with facilitation from MNCAH. An implementation plan was also developed during this period. </w:t>
            </w:r>
          </w:p>
        </w:tc>
      </w:tr>
      <w:tr w:rsidR="00D50807" w:rsidRPr="00A35FB6" w:rsidTr="00E77CBF">
        <w:tc>
          <w:tcPr>
            <w:tcW w:w="2297" w:type="dxa"/>
          </w:tcPr>
          <w:p w:rsidR="00D50807" w:rsidRPr="00A35FB6" w:rsidRDefault="00D50807" w:rsidP="00030036">
            <w:pPr>
              <w:rPr>
                <w:rFonts w:asciiTheme="minorHAnsi" w:hAnsiTheme="minorHAnsi"/>
              </w:rPr>
            </w:pPr>
            <w:r w:rsidRPr="00A35FB6">
              <w:rPr>
                <w:rFonts w:asciiTheme="minorHAnsi" w:hAnsiTheme="minorHAnsi"/>
              </w:rPr>
              <w:t>MNH SOPs</w:t>
            </w:r>
          </w:p>
        </w:tc>
        <w:tc>
          <w:tcPr>
            <w:tcW w:w="6945" w:type="dxa"/>
          </w:tcPr>
          <w:p w:rsidR="00D50807" w:rsidRPr="00A35FB6" w:rsidRDefault="00D50807" w:rsidP="00030036">
            <w:pPr>
              <w:jc w:val="both"/>
              <w:rPr>
                <w:rFonts w:asciiTheme="minorHAnsi" w:hAnsiTheme="minorHAnsi"/>
              </w:rPr>
            </w:pPr>
            <w:r>
              <w:rPr>
                <w:rFonts w:asciiTheme="minorHAnsi" w:hAnsiTheme="minorHAnsi"/>
              </w:rPr>
              <w:t xml:space="preserve">A total of 34 MNH related SOPs have been developed over a period of about five years, and </w:t>
            </w:r>
            <w:proofErr w:type="gramStart"/>
            <w:r>
              <w:rPr>
                <w:rFonts w:asciiTheme="minorHAnsi" w:hAnsiTheme="minorHAnsi"/>
              </w:rPr>
              <w:t>published  through</w:t>
            </w:r>
            <w:proofErr w:type="gramEnd"/>
            <w:r>
              <w:rPr>
                <w:rFonts w:asciiTheme="minorHAnsi" w:hAnsiTheme="minorHAnsi"/>
              </w:rPr>
              <w:t xml:space="preserve"> the technical assistance of OGSB, in two volumes. </w:t>
            </w:r>
            <w:r w:rsidRPr="00A35FB6">
              <w:rPr>
                <w:rFonts w:asciiTheme="minorHAnsi" w:hAnsiTheme="minorHAnsi"/>
              </w:rPr>
              <w:t>SOPs have been developed by QIS, they are more on processes related to facility</w:t>
            </w:r>
            <w:r>
              <w:rPr>
                <w:rFonts w:asciiTheme="minorHAnsi" w:hAnsiTheme="minorHAnsi"/>
              </w:rPr>
              <w:t>-</w:t>
            </w:r>
            <w:r w:rsidRPr="00A35FB6">
              <w:rPr>
                <w:rFonts w:asciiTheme="minorHAnsi" w:hAnsiTheme="minorHAnsi"/>
              </w:rPr>
              <w:t xml:space="preserve">based service delivery than on thematic areas and include SOPs on Operation theatre, OPD, IPD, Radiology, Pathology, MPDSR. </w:t>
            </w:r>
          </w:p>
        </w:tc>
      </w:tr>
      <w:tr w:rsidR="00D50807" w:rsidRPr="00A35FB6" w:rsidTr="00E77CBF">
        <w:tc>
          <w:tcPr>
            <w:tcW w:w="2297" w:type="dxa"/>
          </w:tcPr>
          <w:p w:rsidR="00D50807" w:rsidRPr="00A35FB6" w:rsidRDefault="00D50807" w:rsidP="00030036">
            <w:pPr>
              <w:rPr>
                <w:rFonts w:asciiTheme="minorHAnsi" w:hAnsiTheme="minorHAnsi"/>
              </w:rPr>
            </w:pPr>
            <w:r w:rsidRPr="00A35FB6">
              <w:rPr>
                <w:rFonts w:asciiTheme="minorHAnsi" w:hAnsiTheme="minorHAnsi"/>
              </w:rPr>
              <w:t>24/7 deliveries at UZ and union levels</w:t>
            </w:r>
          </w:p>
        </w:tc>
        <w:tc>
          <w:tcPr>
            <w:tcW w:w="6945" w:type="dxa"/>
          </w:tcPr>
          <w:p w:rsidR="00D50807" w:rsidRPr="00A35FB6" w:rsidRDefault="00D50807" w:rsidP="00030036">
            <w:pPr>
              <w:jc w:val="both"/>
              <w:rPr>
                <w:rFonts w:asciiTheme="minorHAnsi" w:hAnsiTheme="minorHAnsi"/>
              </w:rPr>
            </w:pPr>
            <w:r w:rsidRPr="00A35FB6">
              <w:rPr>
                <w:rFonts w:asciiTheme="minorHAnsi" w:hAnsiTheme="minorHAnsi"/>
              </w:rPr>
              <w:t xml:space="preserve">No </w:t>
            </w:r>
            <w:r>
              <w:rPr>
                <w:rFonts w:asciiTheme="minorHAnsi" w:hAnsiTheme="minorHAnsi"/>
              </w:rPr>
              <w:t xml:space="preserve">specific </w:t>
            </w:r>
            <w:r w:rsidRPr="00A35FB6">
              <w:rPr>
                <w:rFonts w:asciiTheme="minorHAnsi" w:hAnsiTheme="minorHAnsi"/>
              </w:rPr>
              <w:t>progress during this period</w:t>
            </w:r>
          </w:p>
        </w:tc>
      </w:tr>
      <w:tr w:rsidR="00D50807" w:rsidRPr="00A35FB6" w:rsidTr="00E77CBF">
        <w:tc>
          <w:tcPr>
            <w:tcW w:w="2297" w:type="dxa"/>
          </w:tcPr>
          <w:p w:rsidR="00D50807" w:rsidRPr="00A35FB6" w:rsidRDefault="00D50807" w:rsidP="00030036">
            <w:pPr>
              <w:rPr>
                <w:rFonts w:asciiTheme="minorHAnsi" w:hAnsiTheme="minorHAnsi"/>
              </w:rPr>
            </w:pPr>
            <w:r w:rsidRPr="00A35FB6">
              <w:rPr>
                <w:rFonts w:asciiTheme="minorHAnsi" w:hAnsiTheme="minorHAnsi"/>
              </w:rPr>
              <w:t xml:space="preserve">Strengthening of strategically located facilities for </w:t>
            </w:r>
            <w:proofErr w:type="spellStart"/>
            <w:r w:rsidRPr="00A35FB6">
              <w:rPr>
                <w:rFonts w:asciiTheme="minorHAnsi" w:hAnsiTheme="minorHAnsi"/>
              </w:rPr>
              <w:t>BEmONC</w:t>
            </w:r>
            <w:proofErr w:type="spellEnd"/>
            <w:r w:rsidRPr="00A35FB6">
              <w:rPr>
                <w:rFonts w:asciiTheme="minorHAnsi" w:hAnsiTheme="minorHAnsi"/>
              </w:rPr>
              <w:t xml:space="preserve"> and </w:t>
            </w:r>
            <w:proofErr w:type="spellStart"/>
            <w:r w:rsidRPr="00A35FB6">
              <w:rPr>
                <w:rFonts w:asciiTheme="minorHAnsi" w:hAnsiTheme="minorHAnsi"/>
              </w:rPr>
              <w:t>CEmONC</w:t>
            </w:r>
            <w:proofErr w:type="spellEnd"/>
          </w:p>
        </w:tc>
        <w:tc>
          <w:tcPr>
            <w:tcW w:w="6945" w:type="dxa"/>
          </w:tcPr>
          <w:p w:rsidR="00D50807" w:rsidRPr="00A35FB6" w:rsidRDefault="00D50807" w:rsidP="00030036">
            <w:pPr>
              <w:jc w:val="both"/>
              <w:rPr>
                <w:rFonts w:asciiTheme="minorHAnsi" w:hAnsiTheme="minorHAnsi"/>
              </w:rPr>
            </w:pPr>
            <w:r>
              <w:rPr>
                <w:rFonts w:asciiTheme="minorHAnsi" w:hAnsiTheme="minorHAnsi"/>
              </w:rPr>
              <w:t xml:space="preserve">No progress on the </w:t>
            </w:r>
            <w:proofErr w:type="spellStart"/>
            <w:r>
              <w:rPr>
                <w:rFonts w:asciiTheme="minorHAnsi" w:hAnsiTheme="minorHAnsi"/>
              </w:rPr>
              <w:t>EmONC</w:t>
            </w:r>
            <w:proofErr w:type="spellEnd"/>
            <w:r>
              <w:rPr>
                <w:rFonts w:asciiTheme="minorHAnsi" w:hAnsiTheme="minorHAnsi"/>
              </w:rPr>
              <w:t xml:space="preserve"> assessment during this period. Critical HR gap- non availability of service provider pair- does not allow putting in place signal functions in the designated facility.</w:t>
            </w:r>
          </w:p>
        </w:tc>
      </w:tr>
      <w:tr w:rsidR="00D50807" w:rsidRPr="00A35FB6" w:rsidTr="00E77CBF">
        <w:tc>
          <w:tcPr>
            <w:tcW w:w="2297" w:type="dxa"/>
          </w:tcPr>
          <w:p w:rsidR="00D50807" w:rsidRPr="00A35FB6" w:rsidRDefault="00D50807" w:rsidP="00030036">
            <w:pPr>
              <w:rPr>
                <w:rFonts w:asciiTheme="minorHAnsi" w:hAnsiTheme="minorHAnsi"/>
              </w:rPr>
            </w:pPr>
            <w:r w:rsidRPr="00A35FB6">
              <w:rPr>
                <w:rFonts w:asciiTheme="minorHAnsi" w:hAnsiTheme="minorHAnsi"/>
              </w:rPr>
              <w:t xml:space="preserve">Addressing indirect </w:t>
            </w:r>
            <w:r w:rsidRPr="00A35FB6">
              <w:rPr>
                <w:rFonts w:asciiTheme="minorHAnsi" w:hAnsiTheme="minorHAnsi"/>
              </w:rPr>
              <w:lastRenderedPageBreak/>
              <w:t>causes of maternal death, malnutrition and chronic diseases</w:t>
            </w:r>
          </w:p>
        </w:tc>
        <w:tc>
          <w:tcPr>
            <w:tcW w:w="6945" w:type="dxa"/>
          </w:tcPr>
          <w:p w:rsidR="00D50807" w:rsidRPr="00A35FB6" w:rsidRDefault="00D50807" w:rsidP="00030036">
            <w:pPr>
              <w:jc w:val="both"/>
              <w:rPr>
                <w:rFonts w:asciiTheme="minorHAnsi" w:hAnsiTheme="minorHAnsi"/>
              </w:rPr>
            </w:pPr>
            <w:r w:rsidRPr="00A35FB6">
              <w:rPr>
                <w:rFonts w:asciiTheme="minorHAnsi" w:hAnsiTheme="minorHAnsi"/>
              </w:rPr>
              <w:lastRenderedPageBreak/>
              <w:t xml:space="preserve">Progress on maternal malnutrition causes is narrated in the </w:t>
            </w:r>
            <w:r>
              <w:rPr>
                <w:rFonts w:asciiTheme="minorHAnsi" w:hAnsiTheme="minorHAnsi"/>
              </w:rPr>
              <w:t xml:space="preserve">related IRT </w:t>
            </w:r>
            <w:r>
              <w:rPr>
                <w:rFonts w:asciiTheme="minorHAnsi" w:hAnsiTheme="minorHAnsi"/>
              </w:rPr>
              <w:lastRenderedPageBreak/>
              <w:t>report. MPDSR data also captures causes of indirect deaths.</w:t>
            </w:r>
          </w:p>
        </w:tc>
      </w:tr>
      <w:tr w:rsidR="00D50807" w:rsidRPr="00A35FB6" w:rsidTr="00E77CBF">
        <w:tc>
          <w:tcPr>
            <w:tcW w:w="2297" w:type="dxa"/>
          </w:tcPr>
          <w:p w:rsidR="00D50807" w:rsidRPr="00A35FB6" w:rsidRDefault="00D50807" w:rsidP="00030036">
            <w:pPr>
              <w:rPr>
                <w:rFonts w:asciiTheme="minorHAnsi" w:hAnsiTheme="minorHAnsi"/>
              </w:rPr>
            </w:pPr>
            <w:r w:rsidRPr="00A35FB6">
              <w:rPr>
                <w:rFonts w:asciiTheme="minorHAnsi" w:hAnsiTheme="minorHAnsi"/>
              </w:rPr>
              <w:lastRenderedPageBreak/>
              <w:t xml:space="preserve">Implementation of the National </w:t>
            </w:r>
            <w:proofErr w:type="spellStart"/>
            <w:r w:rsidRPr="00A35FB6">
              <w:rPr>
                <w:rFonts w:asciiTheme="minorHAnsi" w:hAnsiTheme="minorHAnsi"/>
              </w:rPr>
              <w:t>Newborn</w:t>
            </w:r>
            <w:proofErr w:type="spellEnd"/>
            <w:r w:rsidRPr="00A35FB6">
              <w:rPr>
                <w:rFonts w:asciiTheme="minorHAnsi" w:hAnsiTheme="minorHAnsi"/>
              </w:rPr>
              <w:t xml:space="preserve"> Health Programme</w:t>
            </w:r>
          </w:p>
        </w:tc>
        <w:tc>
          <w:tcPr>
            <w:tcW w:w="6945" w:type="dxa"/>
          </w:tcPr>
          <w:p w:rsidR="00D50807" w:rsidRPr="00A35FB6" w:rsidRDefault="00D50807" w:rsidP="00030036">
            <w:pPr>
              <w:jc w:val="both"/>
              <w:rPr>
                <w:rFonts w:asciiTheme="minorHAnsi" w:hAnsiTheme="minorHAnsi"/>
              </w:rPr>
            </w:pPr>
            <w:r w:rsidRPr="00A35FB6">
              <w:rPr>
                <w:rFonts w:asciiTheme="minorHAnsi" w:hAnsiTheme="minorHAnsi"/>
              </w:rPr>
              <w:t xml:space="preserve">The Plan has been developed however there was no progress in actual implementation. </w:t>
            </w:r>
            <w:proofErr w:type="spellStart"/>
            <w:r w:rsidRPr="00A35FB6">
              <w:rPr>
                <w:rFonts w:asciiTheme="minorHAnsi" w:hAnsiTheme="minorHAnsi"/>
              </w:rPr>
              <w:t>Costed</w:t>
            </w:r>
            <w:proofErr w:type="spellEnd"/>
            <w:r w:rsidRPr="00A35FB6">
              <w:rPr>
                <w:rFonts w:asciiTheme="minorHAnsi" w:hAnsiTheme="minorHAnsi"/>
              </w:rPr>
              <w:t xml:space="preserve"> implementation plan to be developed early 2019</w:t>
            </w:r>
          </w:p>
        </w:tc>
      </w:tr>
      <w:tr w:rsidR="00D50807" w:rsidRPr="00A35FB6" w:rsidTr="00E77CBF">
        <w:tc>
          <w:tcPr>
            <w:tcW w:w="2297" w:type="dxa"/>
          </w:tcPr>
          <w:p w:rsidR="00D50807" w:rsidRPr="00A35FB6" w:rsidRDefault="00D50807" w:rsidP="00030036">
            <w:pPr>
              <w:rPr>
                <w:rFonts w:asciiTheme="minorHAnsi" w:hAnsiTheme="minorHAnsi"/>
              </w:rPr>
            </w:pPr>
            <w:r w:rsidRPr="00A35FB6">
              <w:rPr>
                <w:rFonts w:asciiTheme="minorHAnsi" w:hAnsiTheme="minorHAnsi"/>
              </w:rPr>
              <w:t>IMCI</w:t>
            </w:r>
          </w:p>
        </w:tc>
        <w:tc>
          <w:tcPr>
            <w:tcW w:w="6945" w:type="dxa"/>
          </w:tcPr>
          <w:p w:rsidR="00D50807" w:rsidRPr="00A35FB6" w:rsidRDefault="00D50807" w:rsidP="00030036">
            <w:pPr>
              <w:jc w:val="both"/>
              <w:rPr>
                <w:rFonts w:asciiTheme="minorHAnsi" w:hAnsiTheme="minorHAnsi"/>
              </w:rPr>
            </w:pPr>
            <w:r w:rsidRPr="00A35FB6">
              <w:rPr>
                <w:rFonts w:asciiTheme="minorHAnsi" w:hAnsiTheme="minorHAnsi"/>
              </w:rPr>
              <w:t>Good progress in 3</w:t>
            </w:r>
            <w:r w:rsidRPr="00A35FB6">
              <w:rPr>
                <w:rFonts w:asciiTheme="minorHAnsi" w:hAnsiTheme="minorHAnsi"/>
                <w:vertAlign w:val="superscript"/>
              </w:rPr>
              <w:t>rd</w:t>
            </w:r>
            <w:r w:rsidRPr="00A35FB6">
              <w:rPr>
                <w:rFonts w:asciiTheme="minorHAnsi" w:hAnsiTheme="minorHAnsi"/>
              </w:rPr>
              <w:t xml:space="preserve"> sector plan; progress has stalled somewhat due to introduction of NNHP which has subsumed IMCI </w:t>
            </w:r>
          </w:p>
        </w:tc>
      </w:tr>
      <w:tr w:rsidR="00D50807" w:rsidRPr="00A35FB6" w:rsidTr="00E77CBF">
        <w:tc>
          <w:tcPr>
            <w:tcW w:w="2297" w:type="dxa"/>
          </w:tcPr>
          <w:p w:rsidR="00D50807" w:rsidRPr="00A35FB6" w:rsidRDefault="00D50807" w:rsidP="00030036">
            <w:pPr>
              <w:rPr>
                <w:rFonts w:asciiTheme="minorHAnsi" w:hAnsiTheme="minorHAnsi"/>
              </w:rPr>
            </w:pPr>
            <w:r w:rsidRPr="00A35FB6">
              <w:rPr>
                <w:rFonts w:asciiTheme="minorHAnsi" w:hAnsiTheme="minorHAnsi"/>
              </w:rPr>
              <w:t>EPI</w:t>
            </w:r>
          </w:p>
        </w:tc>
        <w:tc>
          <w:tcPr>
            <w:tcW w:w="6945" w:type="dxa"/>
          </w:tcPr>
          <w:p w:rsidR="00D50807" w:rsidRPr="00A35FB6" w:rsidRDefault="00D50807" w:rsidP="00030036">
            <w:pPr>
              <w:jc w:val="both"/>
              <w:rPr>
                <w:rFonts w:asciiTheme="minorHAnsi" w:hAnsiTheme="minorHAnsi"/>
              </w:rPr>
            </w:pPr>
            <w:r w:rsidRPr="00A35FB6">
              <w:rPr>
                <w:rFonts w:asciiTheme="minorHAnsi" w:hAnsiTheme="minorHAnsi"/>
              </w:rPr>
              <w:t xml:space="preserve">Overall coverage has improved. Since vaccines are now being procured with </w:t>
            </w:r>
            <w:proofErr w:type="spellStart"/>
            <w:r w:rsidRPr="00A35FB6">
              <w:rPr>
                <w:rFonts w:asciiTheme="minorHAnsi" w:hAnsiTheme="minorHAnsi"/>
              </w:rPr>
              <w:t>GoB</w:t>
            </w:r>
            <w:proofErr w:type="spellEnd"/>
            <w:r w:rsidRPr="00A35FB6">
              <w:rPr>
                <w:rFonts w:asciiTheme="minorHAnsi" w:hAnsiTheme="minorHAnsi"/>
              </w:rPr>
              <w:t xml:space="preserve"> funds by UNICEF</w:t>
            </w:r>
            <w:r>
              <w:rPr>
                <w:rFonts w:asciiTheme="minorHAnsi" w:hAnsiTheme="minorHAnsi"/>
              </w:rPr>
              <w:t xml:space="preserve"> following </w:t>
            </w:r>
            <w:r w:rsidRPr="00A35FB6">
              <w:rPr>
                <w:rFonts w:asciiTheme="minorHAnsi" w:hAnsiTheme="minorHAnsi"/>
              </w:rPr>
              <w:t xml:space="preserve">a procurement process </w:t>
            </w:r>
            <w:r>
              <w:rPr>
                <w:rFonts w:asciiTheme="minorHAnsi" w:hAnsiTheme="minorHAnsi"/>
              </w:rPr>
              <w:t>prescribed by</w:t>
            </w:r>
            <w:r w:rsidRPr="00A35FB6">
              <w:rPr>
                <w:rFonts w:asciiTheme="minorHAnsi" w:hAnsiTheme="minorHAnsi"/>
              </w:rPr>
              <w:t xml:space="preserve"> Ministry of Finance</w:t>
            </w:r>
            <w:r>
              <w:rPr>
                <w:rFonts w:asciiTheme="minorHAnsi" w:hAnsiTheme="minorHAnsi"/>
              </w:rPr>
              <w:t>, t</w:t>
            </w:r>
            <w:r w:rsidRPr="00A35FB6">
              <w:rPr>
                <w:rFonts w:asciiTheme="minorHAnsi" w:hAnsiTheme="minorHAnsi"/>
              </w:rPr>
              <w:t xml:space="preserve">his resulted in delay in </w:t>
            </w:r>
            <w:proofErr w:type="gramStart"/>
            <w:r w:rsidRPr="00A35FB6">
              <w:rPr>
                <w:rFonts w:asciiTheme="minorHAnsi" w:hAnsiTheme="minorHAnsi"/>
              </w:rPr>
              <w:t>few initial procurements</w:t>
            </w:r>
            <w:proofErr w:type="gramEnd"/>
            <w:r w:rsidRPr="00A35FB6">
              <w:rPr>
                <w:rFonts w:asciiTheme="minorHAnsi" w:hAnsiTheme="minorHAnsi"/>
              </w:rPr>
              <w:t xml:space="preserve">.  This problem has been temporarily solved through a bridge funding to tide over procedural delays. </w:t>
            </w:r>
          </w:p>
        </w:tc>
      </w:tr>
      <w:tr w:rsidR="00D50807" w:rsidRPr="00A35FB6" w:rsidTr="00E77CBF">
        <w:tc>
          <w:tcPr>
            <w:tcW w:w="2297" w:type="dxa"/>
          </w:tcPr>
          <w:p w:rsidR="00D50807" w:rsidRPr="00A35FB6" w:rsidRDefault="00D50807" w:rsidP="00030036">
            <w:pPr>
              <w:rPr>
                <w:rFonts w:asciiTheme="minorHAnsi" w:hAnsiTheme="minorHAnsi"/>
              </w:rPr>
            </w:pPr>
            <w:r w:rsidRPr="00A35FB6">
              <w:rPr>
                <w:rFonts w:asciiTheme="minorHAnsi" w:hAnsiTheme="minorHAnsi"/>
              </w:rPr>
              <w:t>Adolescent Health Programme</w:t>
            </w:r>
          </w:p>
        </w:tc>
        <w:tc>
          <w:tcPr>
            <w:tcW w:w="6945" w:type="dxa"/>
          </w:tcPr>
          <w:p w:rsidR="00D50807" w:rsidRPr="00A35FB6" w:rsidRDefault="00D50807" w:rsidP="00030036">
            <w:pPr>
              <w:jc w:val="both"/>
              <w:rPr>
                <w:rFonts w:asciiTheme="minorHAnsi" w:hAnsiTheme="minorHAnsi"/>
              </w:rPr>
            </w:pPr>
            <w:r>
              <w:rPr>
                <w:rFonts w:asciiTheme="minorHAnsi" w:hAnsiTheme="minorHAnsi"/>
              </w:rPr>
              <w:t xml:space="preserve">A national Adolescent Health Strategy (2017-2030) has been completed during this period, along with Action Plan, and is awaiting approval of MOHFW. </w:t>
            </w:r>
            <w:r w:rsidRPr="00A35FB6">
              <w:rPr>
                <w:rFonts w:asciiTheme="minorHAnsi" w:hAnsiTheme="minorHAnsi"/>
              </w:rPr>
              <w:t xml:space="preserve">Preparatory activities for introducing school based adolescent health and nutrition service initiated (please see IRT report on nutrition also); adolescent health services introduced in 200 DGFP facilities through adolescent corners (Please see </w:t>
            </w:r>
            <w:proofErr w:type="spellStart"/>
            <w:r>
              <w:rPr>
                <w:rFonts w:asciiTheme="minorHAnsi" w:hAnsiTheme="minorHAnsi"/>
              </w:rPr>
              <w:t>Anneex</w:t>
            </w:r>
            <w:proofErr w:type="spellEnd"/>
            <w:r>
              <w:rPr>
                <w:rFonts w:asciiTheme="minorHAnsi" w:hAnsiTheme="minorHAnsi"/>
              </w:rPr>
              <w:t xml:space="preserve"> 1, </w:t>
            </w:r>
            <w:r w:rsidRPr="00A35FB6">
              <w:rPr>
                <w:rFonts w:asciiTheme="minorHAnsi" w:hAnsiTheme="minorHAnsi"/>
              </w:rPr>
              <w:t>Indicator 3 under MNCAH, Indicator 6 under MCRAH OPs for details). School health programme under MNCAH is yet to start services.</w:t>
            </w:r>
            <w:r>
              <w:rPr>
                <w:rFonts w:asciiTheme="minorHAnsi" w:hAnsiTheme="minorHAnsi"/>
              </w:rPr>
              <w:t xml:space="preserve"> An SOP on adolescent health, teachers and basic health workers guideline to train targeted service providers have also been developed.</w:t>
            </w:r>
          </w:p>
        </w:tc>
      </w:tr>
    </w:tbl>
    <w:p w:rsidR="00676A40" w:rsidRPr="00A35FB6" w:rsidRDefault="00F91AC4" w:rsidP="007B43CD">
      <w:pPr>
        <w:ind w:left="576" w:hanging="576"/>
        <w:jc w:val="both"/>
        <w:rPr>
          <w:rFonts w:asciiTheme="minorHAnsi" w:hAnsiTheme="minorHAnsi"/>
          <w:b/>
          <w:i/>
        </w:rPr>
      </w:pPr>
      <w:r>
        <w:rPr>
          <w:rFonts w:asciiTheme="minorHAnsi" w:hAnsiTheme="minorHAnsi"/>
          <w:b/>
          <w:i/>
        </w:rPr>
        <w:t>5</w:t>
      </w:r>
      <w:r w:rsidR="007B43CD">
        <w:rPr>
          <w:rFonts w:asciiTheme="minorHAnsi" w:hAnsiTheme="minorHAnsi"/>
          <w:b/>
          <w:i/>
        </w:rPr>
        <w:t>.5</w:t>
      </w:r>
      <w:r w:rsidR="007B43CD">
        <w:rPr>
          <w:rFonts w:asciiTheme="minorHAnsi" w:hAnsiTheme="minorHAnsi"/>
          <w:b/>
          <w:i/>
        </w:rPr>
        <w:tab/>
      </w:r>
      <w:r w:rsidR="00676A40" w:rsidRPr="00A35FB6">
        <w:rPr>
          <w:rFonts w:asciiTheme="minorHAnsi" w:hAnsiTheme="minorHAnsi"/>
          <w:b/>
          <w:i/>
        </w:rPr>
        <w:t>Progress in quality of care</w:t>
      </w:r>
    </w:p>
    <w:p w:rsidR="00676A40" w:rsidRPr="00A35FB6" w:rsidRDefault="00676A40" w:rsidP="00676A40">
      <w:pPr>
        <w:jc w:val="both"/>
        <w:rPr>
          <w:rFonts w:asciiTheme="minorHAnsi" w:hAnsiTheme="minorHAnsi"/>
        </w:rPr>
      </w:pPr>
      <w:r w:rsidRPr="00A35FB6">
        <w:rPr>
          <w:rFonts w:asciiTheme="minorHAnsi" w:hAnsiTheme="minorHAnsi"/>
        </w:rPr>
        <w:t>There is a long history of investments and inputs in improving qual</w:t>
      </w:r>
      <w:r w:rsidR="00D50807">
        <w:rPr>
          <w:rFonts w:asciiTheme="minorHAnsi" w:hAnsiTheme="minorHAnsi"/>
        </w:rPr>
        <w:t xml:space="preserve">ity of care. Work in this area </w:t>
      </w:r>
      <w:r w:rsidRPr="00A35FB6">
        <w:rPr>
          <w:rFonts w:asciiTheme="minorHAnsi" w:hAnsiTheme="minorHAnsi"/>
        </w:rPr>
        <w:t xml:space="preserve">was first undertaken as a pilot project during 1994-98, and then incorporated as dedicated OP in the next two sector programmes, HPSP and HPNSP. Under the last sector programme, HPNSDP, quality was included in the HSM OP and it was decided to adopt the TQM (Total Quality Management) which was piloted in a small number of facilities (32 UHCs, 3 MCWCs, 14 DHs and 3 MCHs). In addition, accreditation process of Women Friendly Hospital was developed and perinatal and </w:t>
      </w:r>
      <w:proofErr w:type="spellStart"/>
      <w:r w:rsidRPr="00A35FB6">
        <w:rPr>
          <w:rFonts w:asciiTheme="minorHAnsi" w:hAnsiTheme="minorHAnsi"/>
        </w:rPr>
        <w:t>newborn</w:t>
      </w:r>
      <w:proofErr w:type="spellEnd"/>
      <w:r w:rsidRPr="00A35FB6">
        <w:rPr>
          <w:rFonts w:asciiTheme="minorHAnsi" w:hAnsiTheme="minorHAnsi"/>
        </w:rPr>
        <w:t xml:space="preserve"> death review was introduced in a limited number of centres. Alongside, a dedicated Quality Improvement Secretariat (QIS) was established under the Health Economics Unit (HEU) which undertook various initiatives including development of a national strategy for quality improvement, formation of a Technical Advisory Group for reviewing standards, guidelines etc., development of key performance indicators for monitoring quality, etc. The QIS also worked in parallel with a number of DPs and NGOs to develop guidelines, pilots etc. with direct funding.</w:t>
      </w:r>
    </w:p>
    <w:p w:rsidR="00E10E47" w:rsidRDefault="00676A40" w:rsidP="00612661">
      <w:pPr>
        <w:rPr>
          <w:rFonts w:asciiTheme="minorHAnsi" w:hAnsiTheme="minorHAnsi"/>
        </w:rPr>
      </w:pPr>
      <w:r w:rsidRPr="00A35FB6">
        <w:rPr>
          <w:rFonts w:asciiTheme="minorHAnsi" w:hAnsiTheme="minorHAnsi"/>
        </w:rPr>
        <w:t>This substantial investment of time and money over the years resulted in pockets of improvement, but there has been no systemic impact on quality of care. In the current sector plan, two OPs, HSM and HEF have included quality improvement, though with different scopes. The HSM OP under RMNCAH component initiated a few discrete activities, including development of an action plan for quality improvement, drafting</w:t>
      </w:r>
      <w:r w:rsidR="00291B40">
        <w:rPr>
          <w:rFonts w:asciiTheme="minorHAnsi" w:hAnsiTheme="minorHAnsi"/>
        </w:rPr>
        <w:t xml:space="preserve"> an accreditation protocol and </w:t>
      </w:r>
      <w:r w:rsidRPr="00A35FB6">
        <w:rPr>
          <w:rFonts w:asciiTheme="minorHAnsi" w:hAnsiTheme="minorHAnsi"/>
        </w:rPr>
        <w:t xml:space="preserve">hospital emergency management guidelines, which were awaiting approval of by the end of the review period. There has been no progress in the </w:t>
      </w:r>
      <w:r w:rsidRPr="00A35FB6">
        <w:rPr>
          <w:rFonts w:asciiTheme="minorHAnsi" w:hAnsiTheme="minorHAnsi"/>
        </w:rPr>
        <w:lastRenderedPageBreak/>
        <w:t xml:space="preserve">single OP level indicator (on number of public and non-public facilities accredited) during the review period.  </w:t>
      </w:r>
    </w:p>
    <w:p w:rsidR="00612661" w:rsidRPr="00E10E47" w:rsidRDefault="00F91AC4" w:rsidP="00612661">
      <w:pPr>
        <w:rPr>
          <w:rFonts w:asciiTheme="minorHAnsi" w:hAnsiTheme="minorHAnsi"/>
          <w:b/>
          <w:i/>
        </w:rPr>
      </w:pPr>
      <w:r>
        <w:rPr>
          <w:rFonts w:asciiTheme="minorHAnsi" w:hAnsiTheme="minorHAnsi"/>
          <w:b/>
          <w:i/>
        </w:rPr>
        <w:t>5</w:t>
      </w:r>
      <w:r w:rsidR="00612661" w:rsidRPr="00E10E47">
        <w:rPr>
          <w:rFonts w:asciiTheme="minorHAnsi" w:hAnsiTheme="minorHAnsi"/>
          <w:b/>
          <w:i/>
        </w:rPr>
        <w:t>.6 GEVA (Gender, Equity, Voice and Accountability)</w:t>
      </w:r>
    </w:p>
    <w:p w:rsidR="00612661" w:rsidRPr="00E10E47" w:rsidRDefault="00612661" w:rsidP="00612661">
      <w:pPr>
        <w:rPr>
          <w:rFonts w:asciiTheme="minorHAnsi" w:hAnsiTheme="minorHAnsi"/>
        </w:rPr>
      </w:pPr>
      <w:r w:rsidRPr="00E10E47">
        <w:rPr>
          <w:rFonts w:asciiTheme="minorHAnsi" w:hAnsiTheme="minorHAnsi"/>
        </w:rPr>
        <w:t xml:space="preserve">The sub-themes of GEVA need to be more strongly embedded in the planning, implementation and reporting of progress of HPNSP. The only gender disaggregated data available in the APIR relates to training where female and male participants have been disaggregated and presented. This however does not enable any conclusion to be drawn, since trainees have been naturally drawn in for various training programmes based upon the role they were engaged in. Reporting disaggregated data at the service level too would help to ensure that the programme has been able to provide equitable access to males and females. WFHI (Women Friendly Hospital Initiative), PMDSR, establishment of breastfeeding corners are some positive steps which have been included in PIP and are being introduced. However, these </w:t>
      </w:r>
      <w:proofErr w:type="gramStart"/>
      <w:r w:rsidRPr="00E10E47">
        <w:rPr>
          <w:rFonts w:asciiTheme="minorHAnsi" w:hAnsiTheme="minorHAnsi"/>
        </w:rPr>
        <w:t>initiatives  need</w:t>
      </w:r>
      <w:proofErr w:type="gramEnd"/>
      <w:r w:rsidRPr="00E10E47">
        <w:rPr>
          <w:rFonts w:asciiTheme="minorHAnsi" w:hAnsiTheme="minorHAnsi"/>
        </w:rPr>
        <w:t xml:space="preserve"> to be strongly embedded i</w:t>
      </w:r>
      <w:r w:rsidR="00D50807">
        <w:rPr>
          <w:rFonts w:asciiTheme="minorHAnsi" w:hAnsiTheme="minorHAnsi"/>
        </w:rPr>
        <w:t>n the programme.  Maternal and g</w:t>
      </w:r>
      <w:r w:rsidRPr="00E10E47">
        <w:rPr>
          <w:rFonts w:asciiTheme="minorHAnsi" w:hAnsiTheme="minorHAnsi"/>
        </w:rPr>
        <w:t xml:space="preserve">eographical equity has been ensured to a large extent by including the two underperforming divisions in the DLIs; the maternal voucher scheme enables some disadvantaged mothers to access services, but information on </w:t>
      </w:r>
      <w:proofErr w:type="gramStart"/>
      <w:r w:rsidRPr="00E10E47">
        <w:rPr>
          <w:rFonts w:asciiTheme="minorHAnsi" w:hAnsiTheme="minorHAnsi"/>
        </w:rPr>
        <w:t>this</w:t>
      </w:r>
      <w:r w:rsidR="00D50807">
        <w:rPr>
          <w:rFonts w:asciiTheme="minorHAnsi" w:hAnsiTheme="minorHAnsi"/>
        </w:rPr>
        <w:t xml:space="preserve"> needs</w:t>
      </w:r>
      <w:proofErr w:type="gramEnd"/>
      <w:r w:rsidR="00D50807">
        <w:rPr>
          <w:rFonts w:asciiTheme="minorHAnsi" w:hAnsiTheme="minorHAnsi"/>
        </w:rPr>
        <w:t xml:space="preserve"> to be </w:t>
      </w:r>
      <w:r w:rsidR="00A26AD9">
        <w:rPr>
          <w:rFonts w:asciiTheme="minorHAnsi" w:hAnsiTheme="minorHAnsi"/>
        </w:rPr>
        <w:t xml:space="preserve">visible and </w:t>
      </w:r>
      <w:r w:rsidR="00D50807">
        <w:rPr>
          <w:rFonts w:asciiTheme="minorHAnsi" w:hAnsiTheme="minorHAnsi"/>
        </w:rPr>
        <w:t>avail</w:t>
      </w:r>
      <w:r w:rsidRPr="00E10E47">
        <w:rPr>
          <w:rFonts w:asciiTheme="minorHAnsi" w:hAnsiTheme="minorHAnsi"/>
        </w:rPr>
        <w:t xml:space="preserve">able in the APIR report. Equity in terms of access to the poor however is being served by the programme as the facilities have been historically providing services mostly to the poor although there </w:t>
      </w:r>
      <w:r w:rsidR="00A26AD9">
        <w:rPr>
          <w:rFonts w:asciiTheme="minorHAnsi" w:hAnsiTheme="minorHAnsi"/>
        </w:rPr>
        <w:t>is</w:t>
      </w:r>
      <w:r w:rsidRPr="00E10E47">
        <w:rPr>
          <w:rFonts w:asciiTheme="minorHAnsi" w:hAnsiTheme="minorHAnsi"/>
        </w:rPr>
        <w:t xml:space="preserve"> </w:t>
      </w:r>
      <w:proofErr w:type="gramStart"/>
      <w:r w:rsidRPr="00E10E47">
        <w:rPr>
          <w:rFonts w:asciiTheme="minorHAnsi" w:hAnsiTheme="minorHAnsi"/>
        </w:rPr>
        <w:t>numerous anecdotal evidence of the rich and/or influential getting preferential services</w:t>
      </w:r>
      <w:proofErr w:type="gramEnd"/>
      <w:r w:rsidRPr="00E10E47">
        <w:rPr>
          <w:rFonts w:asciiTheme="minorHAnsi" w:hAnsiTheme="minorHAnsi"/>
        </w:rPr>
        <w:t xml:space="preserve">. There have been </w:t>
      </w:r>
      <w:r w:rsidR="00A26AD9">
        <w:rPr>
          <w:rFonts w:asciiTheme="minorHAnsi" w:hAnsiTheme="minorHAnsi"/>
        </w:rPr>
        <w:t xml:space="preserve">efforts in the past to channel </w:t>
      </w:r>
      <w:r w:rsidRPr="00E10E47">
        <w:rPr>
          <w:rFonts w:asciiTheme="minorHAnsi" w:hAnsiTheme="minorHAnsi"/>
        </w:rPr>
        <w:t xml:space="preserve">the voice of beneficiaries into the programme through district and divisional committees, which have not worked with the exception of places where inputs from NGOs through off budget projects were provided. The community groups around some of the CCs however have been found to be active good example of community involvement. There has been no visible work on accountability; accountability has many aspects and it is necessary to develop a uniform understanding of the term and build systems to establish and measure accountability.     </w:t>
      </w:r>
    </w:p>
    <w:p w:rsidR="00612661" w:rsidRPr="00E10E47" w:rsidRDefault="00F91AC4" w:rsidP="00612661">
      <w:pPr>
        <w:rPr>
          <w:rFonts w:asciiTheme="minorHAnsi" w:hAnsiTheme="minorHAnsi"/>
          <w:b/>
          <w:i/>
        </w:rPr>
      </w:pPr>
      <w:r>
        <w:rPr>
          <w:rFonts w:asciiTheme="minorHAnsi" w:hAnsiTheme="minorHAnsi"/>
          <w:b/>
          <w:i/>
        </w:rPr>
        <w:t>5</w:t>
      </w:r>
      <w:r w:rsidR="00612661" w:rsidRPr="00E10E47">
        <w:rPr>
          <w:rFonts w:asciiTheme="minorHAnsi" w:hAnsiTheme="minorHAnsi"/>
          <w:b/>
          <w:i/>
        </w:rPr>
        <w:t>.7 Public-Private Partnership</w:t>
      </w:r>
    </w:p>
    <w:p w:rsidR="00612661" w:rsidRDefault="00612661" w:rsidP="00612661">
      <w:pPr>
        <w:rPr>
          <w:rFonts w:asciiTheme="minorHAnsi" w:hAnsiTheme="minorHAnsi"/>
        </w:rPr>
      </w:pPr>
      <w:r w:rsidRPr="00E10E47">
        <w:rPr>
          <w:rFonts w:asciiTheme="minorHAnsi" w:hAnsiTheme="minorHAnsi"/>
        </w:rPr>
        <w:t xml:space="preserve">Several discrete public-private partnerships have been in place during the review period, mostly having continued from the previous sector programme. Save the Children has been providing technical assistance to MOHFW in ten districts in system strengthening; OGSB has worked closely with MNCAH OP in developing the PPH </w:t>
      </w:r>
      <w:proofErr w:type="spellStart"/>
      <w:r w:rsidRPr="00E10E47">
        <w:rPr>
          <w:rFonts w:asciiTheme="minorHAnsi" w:hAnsiTheme="minorHAnsi"/>
        </w:rPr>
        <w:t>eclampsia</w:t>
      </w:r>
      <w:proofErr w:type="spellEnd"/>
      <w:r w:rsidRPr="00E10E47">
        <w:rPr>
          <w:rFonts w:asciiTheme="minorHAnsi" w:hAnsiTheme="minorHAnsi"/>
        </w:rPr>
        <w:t xml:space="preserve"> action plan; and an autonomous institute (BSSMU) has been closely involved in extending cervical screening programmes in various </w:t>
      </w:r>
      <w:proofErr w:type="spellStart"/>
      <w:r w:rsidRPr="00E10E47">
        <w:rPr>
          <w:rFonts w:asciiTheme="minorHAnsi" w:hAnsiTheme="minorHAnsi"/>
        </w:rPr>
        <w:t>GoB</w:t>
      </w:r>
      <w:proofErr w:type="spellEnd"/>
      <w:r w:rsidRPr="00E10E47">
        <w:rPr>
          <w:rFonts w:asciiTheme="minorHAnsi" w:hAnsiTheme="minorHAnsi"/>
        </w:rPr>
        <w:t xml:space="preserve"> health facilities in addition to providing training and referral services. Recently, a forum to stop the escalation of C-section has been established which has been working mainly to generate awareness about the risks and hazards of unnecessary C-sections, and is composed of a range of participants including private and public sector specialists, researchers and thought leaders in the sector.</w:t>
      </w:r>
    </w:p>
    <w:p w:rsidR="00F91AC4" w:rsidRDefault="00F91AC4" w:rsidP="00612661">
      <w:pPr>
        <w:rPr>
          <w:rFonts w:asciiTheme="minorHAnsi" w:hAnsiTheme="minorHAnsi"/>
          <w:b/>
          <w:i/>
        </w:rPr>
      </w:pPr>
      <w:r>
        <w:rPr>
          <w:rFonts w:asciiTheme="minorHAnsi" w:hAnsiTheme="minorHAnsi"/>
          <w:b/>
          <w:i/>
        </w:rPr>
        <w:t xml:space="preserve">5.8 </w:t>
      </w:r>
      <w:r w:rsidR="00786DD8">
        <w:rPr>
          <w:rFonts w:asciiTheme="minorHAnsi" w:hAnsiTheme="minorHAnsi"/>
          <w:b/>
          <w:i/>
        </w:rPr>
        <w:t>Facility observation and b</w:t>
      </w:r>
      <w:r>
        <w:rPr>
          <w:rFonts w:asciiTheme="minorHAnsi" w:hAnsiTheme="minorHAnsi"/>
          <w:b/>
          <w:i/>
        </w:rPr>
        <w:t>eneficiary feedback</w:t>
      </w:r>
    </w:p>
    <w:p w:rsidR="00F91AC4" w:rsidRPr="00F91AC4" w:rsidRDefault="006024BD" w:rsidP="00612661">
      <w:pPr>
        <w:rPr>
          <w:rFonts w:asciiTheme="minorHAnsi" w:hAnsiTheme="minorHAnsi"/>
        </w:rPr>
      </w:pPr>
      <w:r>
        <w:rPr>
          <w:rFonts w:asciiTheme="minorHAnsi" w:hAnsiTheme="minorHAnsi"/>
        </w:rPr>
        <w:t xml:space="preserve">The tight timeframe of the assignment did not provide the space to carry out structured focus groups with beneficiaries. </w:t>
      </w:r>
      <w:proofErr w:type="gramStart"/>
      <w:r>
        <w:rPr>
          <w:rFonts w:asciiTheme="minorHAnsi" w:hAnsiTheme="minorHAnsi"/>
        </w:rPr>
        <w:t>However ,</w:t>
      </w:r>
      <w:proofErr w:type="gramEnd"/>
      <w:r>
        <w:rPr>
          <w:rFonts w:asciiTheme="minorHAnsi" w:hAnsiTheme="minorHAnsi"/>
        </w:rPr>
        <w:t xml:space="preserve"> the Consultant had the opportunity to interact with a number of attending patients at the facilities visited. In the </w:t>
      </w:r>
      <w:proofErr w:type="spellStart"/>
      <w:r>
        <w:rPr>
          <w:rFonts w:asciiTheme="minorHAnsi" w:hAnsiTheme="minorHAnsi"/>
        </w:rPr>
        <w:t>ob</w:t>
      </w:r>
      <w:proofErr w:type="spellEnd"/>
      <w:r>
        <w:rPr>
          <w:rFonts w:asciiTheme="minorHAnsi" w:hAnsiTheme="minorHAnsi"/>
        </w:rPr>
        <w:t>/</w:t>
      </w:r>
      <w:proofErr w:type="spellStart"/>
      <w:r>
        <w:rPr>
          <w:rFonts w:asciiTheme="minorHAnsi" w:hAnsiTheme="minorHAnsi"/>
        </w:rPr>
        <w:t>gyn</w:t>
      </w:r>
      <w:proofErr w:type="spellEnd"/>
      <w:r>
        <w:rPr>
          <w:rFonts w:asciiTheme="minorHAnsi" w:hAnsiTheme="minorHAnsi"/>
        </w:rPr>
        <w:t xml:space="preserve"> unit of the </w:t>
      </w:r>
      <w:proofErr w:type="spellStart"/>
      <w:r>
        <w:rPr>
          <w:rFonts w:asciiTheme="minorHAnsi" w:hAnsiTheme="minorHAnsi"/>
        </w:rPr>
        <w:t>Sylhet</w:t>
      </w:r>
      <w:proofErr w:type="spellEnd"/>
      <w:r>
        <w:rPr>
          <w:rFonts w:asciiTheme="minorHAnsi" w:hAnsiTheme="minorHAnsi"/>
        </w:rPr>
        <w:t xml:space="preserve"> Medical College Hospital which the IRT team visited in the evening, </w:t>
      </w:r>
      <w:proofErr w:type="gramStart"/>
      <w:r>
        <w:rPr>
          <w:rFonts w:asciiTheme="minorHAnsi" w:hAnsiTheme="minorHAnsi"/>
        </w:rPr>
        <w:t>severe  overcrowding</w:t>
      </w:r>
      <w:proofErr w:type="gramEnd"/>
      <w:r>
        <w:rPr>
          <w:rFonts w:asciiTheme="minorHAnsi" w:hAnsiTheme="minorHAnsi"/>
        </w:rPr>
        <w:t>, lack of adequate number of providers</w:t>
      </w:r>
      <w:r w:rsidR="00786DD8">
        <w:rPr>
          <w:rFonts w:asciiTheme="minorHAnsi" w:hAnsiTheme="minorHAnsi"/>
        </w:rPr>
        <w:t>,</w:t>
      </w:r>
      <w:r>
        <w:rPr>
          <w:rFonts w:asciiTheme="minorHAnsi" w:hAnsiTheme="minorHAnsi"/>
        </w:rPr>
        <w:t xml:space="preserve"> lack of smooth </w:t>
      </w:r>
      <w:r>
        <w:rPr>
          <w:rFonts w:asciiTheme="minorHAnsi" w:hAnsiTheme="minorHAnsi"/>
        </w:rPr>
        <w:lastRenderedPageBreak/>
        <w:t xml:space="preserve">patient flow was observed. It appeared that many of the patients had come from far, </w:t>
      </w:r>
      <w:r w:rsidR="00A26AD9">
        <w:rPr>
          <w:rFonts w:asciiTheme="minorHAnsi" w:hAnsiTheme="minorHAnsi"/>
        </w:rPr>
        <w:t xml:space="preserve">enduring </w:t>
      </w:r>
      <w:r>
        <w:rPr>
          <w:rFonts w:asciiTheme="minorHAnsi" w:hAnsiTheme="minorHAnsi"/>
        </w:rPr>
        <w:t xml:space="preserve">2-5 hours of travel. Some of them had been referred from lower level facilities but majority had come </w:t>
      </w:r>
      <w:r w:rsidR="00786DD8">
        <w:rPr>
          <w:rFonts w:asciiTheme="minorHAnsi" w:hAnsiTheme="minorHAnsi"/>
        </w:rPr>
        <w:t xml:space="preserve">directly to the hospital…’what is the point of going to the hospital near  my home when they will send me here anyway’ said one of the attendants. </w:t>
      </w:r>
      <w:proofErr w:type="gramStart"/>
      <w:r w:rsidR="00786DD8">
        <w:rPr>
          <w:rFonts w:asciiTheme="minorHAnsi" w:hAnsiTheme="minorHAnsi"/>
        </w:rPr>
        <w:t>‘ We</w:t>
      </w:r>
      <w:proofErr w:type="gramEnd"/>
      <w:r w:rsidR="00786DD8">
        <w:rPr>
          <w:rFonts w:asciiTheme="minorHAnsi" w:hAnsiTheme="minorHAnsi"/>
        </w:rPr>
        <w:t xml:space="preserve"> came here at 11 am. I was seen </w:t>
      </w:r>
      <w:proofErr w:type="spellStart"/>
      <w:r w:rsidR="00786DD8">
        <w:rPr>
          <w:rFonts w:asciiTheme="minorHAnsi" w:hAnsiTheme="minorHAnsi"/>
        </w:rPr>
        <w:t>soonafter</w:t>
      </w:r>
      <w:proofErr w:type="spellEnd"/>
      <w:r w:rsidR="00786DD8">
        <w:rPr>
          <w:rFonts w:asciiTheme="minorHAnsi" w:hAnsiTheme="minorHAnsi"/>
        </w:rPr>
        <w:t xml:space="preserve"> and told to arrange blood; it’s 7 pm now but my husband has still not been able to manage it’- said another woman. </w:t>
      </w:r>
      <w:r>
        <w:rPr>
          <w:rFonts w:asciiTheme="minorHAnsi" w:hAnsiTheme="minorHAnsi"/>
        </w:rPr>
        <w:t>Overall there was satisfaction with the services</w:t>
      </w:r>
      <w:r w:rsidR="00A26AD9">
        <w:rPr>
          <w:rFonts w:asciiTheme="minorHAnsi" w:hAnsiTheme="minorHAnsi"/>
        </w:rPr>
        <w:t xml:space="preserve">, in spite of the difficult surroundings. </w:t>
      </w:r>
      <w:r w:rsidR="005D2F28">
        <w:rPr>
          <w:rFonts w:asciiTheme="minorHAnsi" w:hAnsiTheme="minorHAnsi"/>
        </w:rPr>
        <w:t>T</w:t>
      </w:r>
      <w:r w:rsidR="00786DD8">
        <w:rPr>
          <w:rFonts w:asciiTheme="minorHAnsi" w:hAnsiTheme="minorHAnsi"/>
        </w:rPr>
        <w:t>he IRT members observed that the providers were under tremendous stress</w:t>
      </w:r>
      <w:r w:rsidR="00A26AD9">
        <w:rPr>
          <w:rFonts w:asciiTheme="minorHAnsi" w:hAnsiTheme="minorHAnsi"/>
        </w:rPr>
        <w:t>,</w:t>
      </w:r>
      <w:r w:rsidR="00786DD8">
        <w:rPr>
          <w:rFonts w:asciiTheme="minorHAnsi" w:hAnsiTheme="minorHAnsi"/>
        </w:rPr>
        <w:t xml:space="preserve"> having to handle the rush of </w:t>
      </w:r>
      <w:r w:rsidR="00A26AD9">
        <w:rPr>
          <w:rFonts w:asciiTheme="minorHAnsi" w:hAnsiTheme="minorHAnsi"/>
        </w:rPr>
        <w:t>patients with a small team</w:t>
      </w:r>
      <w:r w:rsidR="00786DD8">
        <w:rPr>
          <w:rFonts w:asciiTheme="minorHAnsi" w:hAnsiTheme="minorHAnsi"/>
        </w:rPr>
        <w:t xml:space="preserve"> and were often harsh in their behaviour and handling of </w:t>
      </w:r>
      <w:r w:rsidR="00A26AD9">
        <w:rPr>
          <w:rFonts w:asciiTheme="minorHAnsi" w:hAnsiTheme="minorHAnsi"/>
        </w:rPr>
        <w:t>patients</w:t>
      </w:r>
      <w:r w:rsidR="00786DD8">
        <w:rPr>
          <w:rFonts w:asciiTheme="minorHAnsi" w:hAnsiTheme="minorHAnsi"/>
        </w:rPr>
        <w:t xml:space="preserve">. In the </w:t>
      </w:r>
      <w:proofErr w:type="spellStart"/>
      <w:r w:rsidR="00786DD8">
        <w:rPr>
          <w:rFonts w:asciiTheme="minorHAnsi" w:hAnsiTheme="minorHAnsi"/>
        </w:rPr>
        <w:t>Sunamganj</w:t>
      </w:r>
      <w:proofErr w:type="spellEnd"/>
      <w:r w:rsidR="00786DD8">
        <w:rPr>
          <w:rFonts w:asciiTheme="minorHAnsi" w:hAnsiTheme="minorHAnsi"/>
        </w:rPr>
        <w:t xml:space="preserve"> District hospital, there was less rush. About 70 </w:t>
      </w:r>
      <w:proofErr w:type="spellStart"/>
      <w:r w:rsidR="00786DD8">
        <w:rPr>
          <w:rFonts w:asciiTheme="minorHAnsi" w:hAnsiTheme="minorHAnsi"/>
        </w:rPr>
        <w:t>percent</w:t>
      </w:r>
      <w:proofErr w:type="spellEnd"/>
      <w:r w:rsidR="00786DD8">
        <w:rPr>
          <w:rFonts w:asciiTheme="minorHAnsi" w:hAnsiTheme="minorHAnsi"/>
        </w:rPr>
        <w:t xml:space="preserve"> </w:t>
      </w:r>
      <w:proofErr w:type="gramStart"/>
      <w:r w:rsidR="00786DD8">
        <w:rPr>
          <w:rFonts w:asciiTheme="minorHAnsi" w:hAnsiTheme="minorHAnsi"/>
        </w:rPr>
        <w:t>of  the</w:t>
      </w:r>
      <w:proofErr w:type="gramEnd"/>
      <w:r w:rsidR="00786DD8">
        <w:rPr>
          <w:rFonts w:asciiTheme="minorHAnsi" w:hAnsiTheme="minorHAnsi"/>
        </w:rPr>
        <w:t xml:space="preserve"> beds in the  </w:t>
      </w:r>
      <w:proofErr w:type="spellStart"/>
      <w:r w:rsidR="00786DD8">
        <w:rPr>
          <w:rFonts w:asciiTheme="minorHAnsi" w:hAnsiTheme="minorHAnsi"/>
        </w:rPr>
        <w:t>ob</w:t>
      </w:r>
      <w:proofErr w:type="spellEnd"/>
      <w:r w:rsidR="00786DD8">
        <w:rPr>
          <w:rFonts w:asciiTheme="minorHAnsi" w:hAnsiTheme="minorHAnsi"/>
        </w:rPr>
        <w:t>/</w:t>
      </w:r>
      <w:proofErr w:type="spellStart"/>
      <w:r w:rsidR="00786DD8">
        <w:rPr>
          <w:rFonts w:asciiTheme="minorHAnsi" w:hAnsiTheme="minorHAnsi"/>
        </w:rPr>
        <w:t>gyn</w:t>
      </w:r>
      <w:proofErr w:type="spellEnd"/>
      <w:r w:rsidR="00786DD8">
        <w:rPr>
          <w:rFonts w:asciiTheme="minorHAnsi" w:hAnsiTheme="minorHAnsi"/>
        </w:rPr>
        <w:t xml:space="preserve"> unit appeared full. Two patients whom the Consultant talked with appeared satisfied with services, though one mentioned that she had to buy medicines from outside. Both patients lived a long distance from the hospital; one had come to the hospital on the advice of a relative, and the second was referred from a UHC. </w:t>
      </w:r>
      <w:r w:rsidR="005D2F28">
        <w:rPr>
          <w:rFonts w:asciiTheme="minorHAnsi" w:hAnsiTheme="minorHAnsi"/>
        </w:rPr>
        <w:t xml:space="preserve">In interpreting the patient feedback though, one needs to remember that the conversations took place within the hospital premises and so </w:t>
      </w:r>
      <w:proofErr w:type="spellStart"/>
      <w:r w:rsidR="005D2F28">
        <w:rPr>
          <w:rFonts w:asciiTheme="minorHAnsi" w:hAnsiTheme="minorHAnsi"/>
        </w:rPr>
        <w:t>thepatients</w:t>
      </w:r>
      <w:proofErr w:type="spellEnd"/>
      <w:r w:rsidR="005D2F28">
        <w:rPr>
          <w:rFonts w:asciiTheme="minorHAnsi" w:hAnsiTheme="minorHAnsi"/>
        </w:rPr>
        <w:t xml:space="preserve"> may not have been totally frank in expressing their views. </w:t>
      </w:r>
    </w:p>
    <w:p w:rsidR="00612661" w:rsidRPr="00E10E47" w:rsidRDefault="00F91AC4" w:rsidP="00612661">
      <w:pPr>
        <w:rPr>
          <w:rFonts w:asciiTheme="minorHAnsi" w:hAnsiTheme="minorHAnsi"/>
          <w:b/>
          <w:i/>
        </w:rPr>
      </w:pPr>
      <w:r>
        <w:rPr>
          <w:rFonts w:asciiTheme="minorHAnsi" w:hAnsiTheme="minorHAnsi"/>
          <w:b/>
          <w:i/>
        </w:rPr>
        <w:t>5.9</w:t>
      </w:r>
      <w:r w:rsidR="00612661" w:rsidRPr="00E10E47">
        <w:rPr>
          <w:rFonts w:asciiTheme="minorHAnsi" w:hAnsiTheme="minorHAnsi"/>
          <w:b/>
          <w:i/>
        </w:rPr>
        <w:t xml:space="preserve"> Financial progress</w:t>
      </w:r>
    </w:p>
    <w:p w:rsidR="00612661" w:rsidRDefault="00612661" w:rsidP="00612661">
      <w:r w:rsidRPr="00E10E47">
        <w:rPr>
          <w:rFonts w:asciiTheme="minorHAnsi" w:hAnsiTheme="minorHAnsi"/>
        </w:rPr>
        <w:t xml:space="preserve">Total allocation of fund was released for two of the 4OPs; close to the full amount was released for one and 96 </w:t>
      </w:r>
      <w:proofErr w:type="spellStart"/>
      <w:r w:rsidRPr="00E10E47">
        <w:rPr>
          <w:rFonts w:asciiTheme="minorHAnsi" w:hAnsiTheme="minorHAnsi"/>
        </w:rPr>
        <w:t>percent</w:t>
      </w:r>
      <w:proofErr w:type="spellEnd"/>
      <w:r w:rsidRPr="00E10E47">
        <w:rPr>
          <w:rFonts w:asciiTheme="minorHAnsi" w:hAnsiTheme="minorHAnsi"/>
        </w:rPr>
        <w:t xml:space="preserve"> for another one. The spending rate was healthy (&gt;90 </w:t>
      </w:r>
      <w:proofErr w:type="spellStart"/>
      <w:r w:rsidRPr="00E10E47">
        <w:rPr>
          <w:rFonts w:asciiTheme="minorHAnsi" w:hAnsiTheme="minorHAnsi"/>
        </w:rPr>
        <w:t>percent</w:t>
      </w:r>
      <w:proofErr w:type="spellEnd"/>
      <w:r w:rsidRPr="00E10E47">
        <w:rPr>
          <w:rFonts w:asciiTheme="minorHAnsi" w:hAnsiTheme="minorHAnsi"/>
        </w:rPr>
        <w:t>) for all the OPs.</w:t>
      </w:r>
    </w:p>
    <w:p w:rsidR="00A26AD9" w:rsidRPr="00A26AD9" w:rsidRDefault="00A26AD9" w:rsidP="00612661">
      <w:pPr>
        <w:rPr>
          <w:rFonts w:asciiTheme="minorHAnsi" w:hAnsiTheme="minorHAnsi"/>
          <w:b/>
        </w:rPr>
      </w:pPr>
      <w:r w:rsidRPr="00A26AD9">
        <w:rPr>
          <w:rFonts w:asciiTheme="minorHAnsi" w:hAnsiTheme="minorHAnsi"/>
          <w:b/>
        </w:rPr>
        <w:t>Table 3: Fund allocation and expenditure of the 5 RMNCAH OPs</w:t>
      </w:r>
    </w:p>
    <w:tbl>
      <w:tblPr>
        <w:tblStyle w:val="TableGrid"/>
        <w:tblW w:w="0" w:type="auto"/>
        <w:tblInd w:w="108" w:type="dxa"/>
        <w:tblLook w:val="04A0" w:firstRow="1" w:lastRow="0" w:firstColumn="1" w:lastColumn="0" w:noHBand="0" w:noVBand="1"/>
      </w:tblPr>
      <w:tblGrid>
        <w:gridCol w:w="1023"/>
        <w:gridCol w:w="1947"/>
        <w:gridCol w:w="2070"/>
        <w:gridCol w:w="1980"/>
        <w:gridCol w:w="2070"/>
      </w:tblGrid>
      <w:tr w:rsidR="00612661" w:rsidRPr="00A26AD9" w:rsidTr="00A770B3">
        <w:tc>
          <w:tcPr>
            <w:tcW w:w="1023" w:type="dxa"/>
          </w:tcPr>
          <w:p w:rsidR="00612661" w:rsidRPr="00A26AD9" w:rsidRDefault="00612661" w:rsidP="00A770B3">
            <w:pPr>
              <w:rPr>
                <w:rFonts w:asciiTheme="minorHAnsi" w:hAnsiTheme="minorHAnsi"/>
                <w:b/>
                <w:sz w:val="20"/>
              </w:rPr>
            </w:pPr>
            <w:r w:rsidRPr="00A26AD9">
              <w:rPr>
                <w:rFonts w:asciiTheme="minorHAnsi" w:hAnsiTheme="minorHAnsi"/>
                <w:b/>
                <w:sz w:val="20"/>
              </w:rPr>
              <w:t>OP title</w:t>
            </w:r>
          </w:p>
        </w:tc>
        <w:tc>
          <w:tcPr>
            <w:tcW w:w="1947" w:type="dxa"/>
          </w:tcPr>
          <w:p w:rsidR="00612661" w:rsidRPr="00A26AD9" w:rsidRDefault="00612661" w:rsidP="00A770B3">
            <w:pPr>
              <w:rPr>
                <w:rFonts w:asciiTheme="minorHAnsi" w:hAnsiTheme="minorHAnsi"/>
                <w:b/>
                <w:sz w:val="20"/>
              </w:rPr>
            </w:pPr>
            <w:r w:rsidRPr="00A26AD9">
              <w:rPr>
                <w:rFonts w:asciiTheme="minorHAnsi" w:hAnsiTheme="minorHAnsi"/>
                <w:b/>
                <w:sz w:val="20"/>
              </w:rPr>
              <w:t xml:space="preserve">Total Allocation* </w:t>
            </w:r>
            <w:r w:rsidRPr="00A26AD9">
              <w:rPr>
                <w:rFonts w:asciiTheme="minorHAnsi" w:hAnsiTheme="minorHAnsi"/>
                <w:sz w:val="20"/>
              </w:rPr>
              <w:t xml:space="preserve">(in </w:t>
            </w:r>
            <w:proofErr w:type="spellStart"/>
            <w:r w:rsidRPr="00A26AD9">
              <w:rPr>
                <w:rFonts w:asciiTheme="minorHAnsi" w:hAnsiTheme="minorHAnsi"/>
                <w:sz w:val="20"/>
              </w:rPr>
              <w:t>crore</w:t>
            </w:r>
            <w:proofErr w:type="spellEnd"/>
            <w:r w:rsidRPr="00A26AD9">
              <w:rPr>
                <w:rFonts w:asciiTheme="minorHAnsi" w:hAnsiTheme="minorHAnsi"/>
                <w:sz w:val="20"/>
              </w:rPr>
              <w:t xml:space="preserve"> Tk.)</w:t>
            </w:r>
          </w:p>
        </w:tc>
        <w:tc>
          <w:tcPr>
            <w:tcW w:w="2070" w:type="dxa"/>
          </w:tcPr>
          <w:p w:rsidR="00612661" w:rsidRPr="00A26AD9" w:rsidRDefault="00612661" w:rsidP="00A770B3">
            <w:pPr>
              <w:rPr>
                <w:rFonts w:asciiTheme="minorHAnsi" w:hAnsiTheme="minorHAnsi"/>
                <w:b/>
                <w:sz w:val="20"/>
              </w:rPr>
            </w:pPr>
            <w:r w:rsidRPr="00A26AD9">
              <w:rPr>
                <w:rFonts w:asciiTheme="minorHAnsi" w:hAnsiTheme="minorHAnsi"/>
                <w:b/>
                <w:sz w:val="20"/>
              </w:rPr>
              <w:t>Fund released</w:t>
            </w:r>
          </w:p>
          <w:p w:rsidR="00612661" w:rsidRPr="00A26AD9" w:rsidRDefault="00612661" w:rsidP="00A770B3">
            <w:pPr>
              <w:rPr>
                <w:rFonts w:asciiTheme="minorHAnsi" w:hAnsiTheme="minorHAnsi"/>
                <w:sz w:val="20"/>
              </w:rPr>
            </w:pPr>
            <w:r w:rsidRPr="00A26AD9">
              <w:rPr>
                <w:rFonts w:asciiTheme="minorHAnsi" w:hAnsiTheme="minorHAnsi"/>
                <w:sz w:val="20"/>
              </w:rPr>
              <w:t>(% of allocation)</w:t>
            </w:r>
          </w:p>
        </w:tc>
        <w:tc>
          <w:tcPr>
            <w:tcW w:w="1980" w:type="dxa"/>
          </w:tcPr>
          <w:p w:rsidR="00612661" w:rsidRPr="00A26AD9" w:rsidRDefault="00612661" w:rsidP="00A770B3">
            <w:pPr>
              <w:rPr>
                <w:rFonts w:asciiTheme="minorHAnsi" w:hAnsiTheme="minorHAnsi"/>
                <w:b/>
                <w:sz w:val="20"/>
              </w:rPr>
            </w:pPr>
            <w:r w:rsidRPr="00A26AD9">
              <w:rPr>
                <w:rFonts w:asciiTheme="minorHAnsi" w:hAnsiTheme="minorHAnsi"/>
                <w:b/>
                <w:sz w:val="20"/>
              </w:rPr>
              <w:t>Fund utilisation against release</w:t>
            </w:r>
          </w:p>
          <w:p w:rsidR="00612661" w:rsidRPr="00A26AD9" w:rsidRDefault="00612661" w:rsidP="00A770B3">
            <w:pPr>
              <w:rPr>
                <w:rFonts w:asciiTheme="minorHAnsi" w:hAnsiTheme="minorHAnsi"/>
                <w:sz w:val="20"/>
              </w:rPr>
            </w:pPr>
            <w:r w:rsidRPr="00A26AD9">
              <w:rPr>
                <w:rFonts w:asciiTheme="minorHAnsi" w:hAnsiTheme="minorHAnsi"/>
                <w:sz w:val="20"/>
              </w:rPr>
              <w:t>(% of fund released)</w:t>
            </w:r>
          </w:p>
        </w:tc>
        <w:tc>
          <w:tcPr>
            <w:tcW w:w="2070" w:type="dxa"/>
          </w:tcPr>
          <w:p w:rsidR="00612661" w:rsidRPr="00A26AD9" w:rsidRDefault="00612661" w:rsidP="00A770B3">
            <w:pPr>
              <w:rPr>
                <w:rFonts w:asciiTheme="minorHAnsi" w:hAnsiTheme="minorHAnsi"/>
                <w:b/>
                <w:sz w:val="20"/>
              </w:rPr>
            </w:pPr>
            <w:r w:rsidRPr="00A26AD9">
              <w:rPr>
                <w:rFonts w:asciiTheme="minorHAnsi" w:hAnsiTheme="minorHAnsi"/>
                <w:b/>
                <w:sz w:val="20"/>
              </w:rPr>
              <w:t xml:space="preserve">Fund utilisation against allocation </w:t>
            </w:r>
            <w:r w:rsidRPr="00A26AD9">
              <w:rPr>
                <w:rFonts w:asciiTheme="minorHAnsi" w:hAnsiTheme="minorHAnsi"/>
                <w:sz w:val="20"/>
              </w:rPr>
              <w:t xml:space="preserve"> (% of fund allocated)</w:t>
            </w:r>
          </w:p>
        </w:tc>
      </w:tr>
      <w:tr w:rsidR="00612661" w:rsidRPr="00A26AD9" w:rsidTr="00A770B3">
        <w:tc>
          <w:tcPr>
            <w:tcW w:w="1023" w:type="dxa"/>
          </w:tcPr>
          <w:p w:rsidR="00612661" w:rsidRPr="00A26AD9" w:rsidRDefault="00612661" w:rsidP="00A770B3">
            <w:pPr>
              <w:rPr>
                <w:rFonts w:asciiTheme="minorHAnsi" w:hAnsiTheme="minorHAnsi"/>
              </w:rPr>
            </w:pPr>
            <w:r w:rsidRPr="00A26AD9">
              <w:rPr>
                <w:rFonts w:asciiTheme="minorHAnsi" w:hAnsiTheme="minorHAnsi"/>
              </w:rPr>
              <w:t>NMES</w:t>
            </w:r>
          </w:p>
        </w:tc>
        <w:tc>
          <w:tcPr>
            <w:tcW w:w="1947" w:type="dxa"/>
          </w:tcPr>
          <w:p w:rsidR="00612661" w:rsidRPr="00A26AD9" w:rsidRDefault="00612661" w:rsidP="00A770B3">
            <w:pPr>
              <w:jc w:val="center"/>
              <w:rPr>
                <w:rFonts w:asciiTheme="minorHAnsi" w:hAnsiTheme="minorHAnsi"/>
              </w:rPr>
            </w:pPr>
            <w:r w:rsidRPr="00A26AD9">
              <w:rPr>
                <w:rFonts w:asciiTheme="minorHAnsi" w:hAnsiTheme="minorHAnsi"/>
              </w:rPr>
              <w:t>913</w:t>
            </w:r>
          </w:p>
        </w:tc>
        <w:tc>
          <w:tcPr>
            <w:tcW w:w="2070" w:type="dxa"/>
          </w:tcPr>
          <w:p w:rsidR="00612661" w:rsidRPr="00A26AD9" w:rsidRDefault="004B0004" w:rsidP="00A770B3">
            <w:pPr>
              <w:jc w:val="center"/>
              <w:rPr>
                <w:rFonts w:asciiTheme="minorHAnsi" w:hAnsiTheme="minorHAnsi"/>
              </w:rPr>
            </w:pPr>
            <w:r>
              <w:rPr>
                <w:rFonts w:asciiTheme="minorHAnsi" w:hAnsiTheme="minorHAnsi"/>
              </w:rPr>
              <w:t>100</w:t>
            </w:r>
          </w:p>
        </w:tc>
        <w:tc>
          <w:tcPr>
            <w:tcW w:w="1980" w:type="dxa"/>
          </w:tcPr>
          <w:p w:rsidR="00612661" w:rsidRPr="00A26AD9" w:rsidRDefault="004B0004" w:rsidP="00A770B3">
            <w:pPr>
              <w:jc w:val="center"/>
              <w:rPr>
                <w:rFonts w:asciiTheme="minorHAnsi" w:hAnsiTheme="minorHAnsi"/>
              </w:rPr>
            </w:pPr>
            <w:r>
              <w:rPr>
                <w:rFonts w:asciiTheme="minorHAnsi" w:hAnsiTheme="minorHAnsi"/>
              </w:rPr>
              <w:t>68</w:t>
            </w:r>
          </w:p>
        </w:tc>
        <w:tc>
          <w:tcPr>
            <w:tcW w:w="2070" w:type="dxa"/>
          </w:tcPr>
          <w:p w:rsidR="00612661" w:rsidRPr="00A26AD9" w:rsidRDefault="004B0004" w:rsidP="004B0004">
            <w:pPr>
              <w:jc w:val="center"/>
              <w:rPr>
                <w:rFonts w:asciiTheme="minorHAnsi" w:hAnsiTheme="minorHAnsi"/>
              </w:rPr>
            </w:pPr>
            <w:r>
              <w:rPr>
                <w:rFonts w:asciiTheme="minorHAnsi" w:hAnsiTheme="minorHAnsi"/>
              </w:rPr>
              <w:t>68</w:t>
            </w:r>
            <w:bookmarkStart w:id="0" w:name="_GoBack"/>
            <w:bookmarkEnd w:id="0"/>
          </w:p>
        </w:tc>
      </w:tr>
      <w:tr w:rsidR="00612661" w:rsidRPr="00A26AD9" w:rsidTr="00A770B3">
        <w:tc>
          <w:tcPr>
            <w:tcW w:w="1023" w:type="dxa"/>
          </w:tcPr>
          <w:p w:rsidR="00612661" w:rsidRPr="00A26AD9" w:rsidRDefault="00612661" w:rsidP="00A770B3">
            <w:pPr>
              <w:rPr>
                <w:rFonts w:asciiTheme="minorHAnsi" w:hAnsiTheme="minorHAnsi"/>
              </w:rPr>
            </w:pPr>
            <w:r w:rsidRPr="00A26AD9">
              <w:rPr>
                <w:rFonts w:asciiTheme="minorHAnsi" w:hAnsiTheme="minorHAnsi"/>
              </w:rPr>
              <w:t>MNCAH</w:t>
            </w:r>
          </w:p>
        </w:tc>
        <w:tc>
          <w:tcPr>
            <w:tcW w:w="1947" w:type="dxa"/>
          </w:tcPr>
          <w:p w:rsidR="00612661" w:rsidRPr="00A26AD9" w:rsidRDefault="00612661" w:rsidP="00A770B3">
            <w:pPr>
              <w:jc w:val="center"/>
              <w:rPr>
                <w:rFonts w:asciiTheme="minorHAnsi" w:hAnsiTheme="minorHAnsi"/>
              </w:rPr>
            </w:pPr>
            <w:r w:rsidRPr="00A26AD9">
              <w:rPr>
                <w:rFonts w:asciiTheme="minorHAnsi" w:hAnsiTheme="minorHAnsi"/>
              </w:rPr>
              <w:t>703</w:t>
            </w:r>
          </w:p>
        </w:tc>
        <w:tc>
          <w:tcPr>
            <w:tcW w:w="2070" w:type="dxa"/>
          </w:tcPr>
          <w:p w:rsidR="00612661" w:rsidRPr="00A26AD9" w:rsidRDefault="00612661" w:rsidP="00A770B3">
            <w:pPr>
              <w:jc w:val="center"/>
              <w:rPr>
                <w:rFonts w:asciiTheme="minorHAnsi" w:hAnsiTheme="minorHAnsi"/>
              </w:rPr>
            </w:pPr>
            <w:r w:rsidRPr="00A26AD9">
              <w:rPr>
                <w:rFonts w:asciiTheme="minorHAnsi" w:hAnsiTheme="minorHAnsi"/>
              </w:rPr>
              <w:t>96</w:t>
            </w:r>
          </w:p>
        </w:tc>
        <w:tc>
          <w:tcPr>
            <w:tcW w:w="1980" w:type="dxa"/>
          </w:tcPr>
          <w:p w:rsidR="00612661" w:rsidRPr="00A26AD9" w:rsidRDefault="00612661" w:rsidP="00A770B3">
            <w:pPr>
              <w:jc w:val="center"/>
              <w:rPr>
                <w:rFonts w:asciiTheme="minorHAnsi" w:hAnsiTheme="minorHAnsi"/>
              </w:rPr>
            </w:pPr>
            <w:r w:rsidRPr="00A26AD9">
              <w:rPr>
                <w:rFonts w:asciiTheme="minorHAnsi" w:hAnsiTheme="minorHAnsi"/>
              </w:rPr>
              <w:t>98</w:t>
            </w:r>
          </w:p>
        </w:tc>
        <w:tc>
          <w:tcPr>
            <w:tcW w:w="2070" w:type="dxa"/>
          </w:tcPr>
          <w:p w:rsidR="00612661" w:rsidRPr="00A26AD9" w:rsidRDefault="00612661" w:rsidP="00A770B3">
            <w:pPr>
              <w:jc w:val="center"/>
              <w:rPr>
                <w:rFonts w:asciiTheme="minorHAnsi" w:hAnsiTheme="minorHAnsi"/>
              </w:rPr>
            </w:pPr>
            <w:r w:rsidRPr="00A26AD9">
              <w:rPr>
                <w:rFonts w:asciiTheme="minorHAnsi" w:hAnsiTheme="minorHAnsi"/>
              </w:rPr>
              <w:t>94</w:t>
            </w:r>
          </w:p>
        </w:tc>
      </w:tr>
      <w:tr w:rsidR="00612661" w:rsidRPr="00A26AD9" w:rsidTr="00A770B3">
        <w:tc>
          <w:tcPr>
            <w:tcW w:w="1023" w:type="dxa"/>
          </w:tcPr>
          <w:p w:rsidR="00612661" w:rsidRPr="00A26AD9" w:rsidRDefault="00612661" w:rsidP="00A770B3">
            <w:pPr>
              <w:rPr>
                <w:rFonts w:asciiTheme="minorHAnsi" w:hAnsiTheme="minorHAnsi"/>
              </w:rPr>
            </w:pPr>
            <w:r w:rsidRPr="00A26AD9">
              <w:rPr>
                <w:rFonts w:asciiTheme="minorHAnsi" w:hAnsiTheme="minorHAnsi"/>
              </w:rPr>
              <w:t>MRCAH</w:t>
            </w:r>
          </w:p>
        </w:tc>
        <w:tc>
          <w:tcPr>
            <w:tcW w:w="1947" w:type="dxa"/>
          </w:tcPr>
          <w:p w:rsidR="00612661" w:rsidRPr="00A26AD9" w:rsidRDefault="00612661" w:rsidP="00A770B3">
            <w:pPr>
              <w:jc w:val="center"/>
              <w:rPr>
                <w:rFonts w:asciiTheme="minorHAnsi" w:hAnsiTheme="minorHAnsi"/>
              </w:rPr>
            </w:pPr>
            <w:r w:rsidRPr="00A26AD9">
              <w:rPr>
                <w:rFonts w:asciiTheme="minorHAnsi" w:hAnsiTheme="minorHAnsi"/>
              </w:rPr>
              <w:t>182</w:t>
            </w:r>
          </w:p>
        </w:tc>
        <w:tc>
          <w:tcPr>
            <w:tcW w:w="2070" w:type="dxa"/>
          </w:tcPr>
          <w:p w:rsidR="00612661" w:rsidRPr="00A26AD9" w:rsidRDefault="00612661" w:rsidP="00A770B3">
            <w:pPr>
              <w:jc w:val="center"/>
              <w:rPr>
                <w:rFonts w:asciiTheme="minorHAnsi" w:hAnsiTheme="minorHAnsi"/>
              </w:rPr>
            </w:pPr>
            <w:r w:rsidRPr="00A26AD9">
              <w:rPr>
                <w:rFonts w:asciiTheme="minorHAnsi" w:hAnsiTheme="minorHAnsi"/>
              </w:rPr>
              <w:t>100</w:t>
            </w:r>
          </w:p>
        </w:tc>
        <w:tc>
          <w:tcPr>
            <w:tcW w:w="1980" w:type="dxa"/>
          </w:tcPr>
          <w:p w:rsidR="00612661" w:rsidRPr="00A26AD9" w:rsidRDefault="00612661" w:rsidP="00A770B3">
            <w:pPr>
              <w:jc w:val="center"/>
              <w:rPr>
                <w:rFonts w:asciiTheme="minorHAnsi" w:hAnsiTheme="minorHAnsi"/>
              </w:rPr>
            </w:pPr>
            <w:r w:rsidRPr="00A26AD9">
              <w:rPr>
                <w:rFonts w:asciiTheme="minorHAnsi" w:hAnsiTheme="minorHAnsi"/>
              </w:rPr>
              <w:t>92</w:t>
            </w:r>
          </w:p>
        </w:tc>
        <w:tc>
          <w:tcPr>
            <w:tcW w:w="2070" w:type="dxa"/>
          </w:tcPr>
          <w:p w:rsidR="00612661" w:rsidRPr="00A26AD9" w:rsidRDefault="00612661" w:rsidP="00A770B3">
            <w:pPr>
              <w:jc w:val="center"/>
              <w:rPr>
                <w:rFonts w:asciiTheme="minorHAnsi" w:hAnsiTheme="minorHAnsi"/>
              </w:rPr>
            </w:pPr>
            <w:r w:rsidRPr="00A26AD9">
              <w:rPr>
                <w:rFonts w:asciiTheme="minorHAnsi" w:hAnsiTheme="minorHAnsi"/>
              </w:rPr>
              <w:t>92</w:t>
            </w:r>
          </w:p>
        </w:tc>
      </w:tr>
      <w:tr w:rsidR="00612661" w:rsidRPr="00A26AD9" w:rsidTr="00A770B3">
        <w:trPr>
          <w:trHeight w:val="395"/>
        </w:trPr>
        <w:tc>
          <w:tcPr>
            <w:tcW w:w="1023" w:type="dxa"/>
          </w:tcPr>
          <w:p w:rsidR="00612661" w:rsidRPr="00A26AD9" w:rsidRDefault="00612661" w:rsidP="00A770B3">
            <w:pPr>
              <w:rPr>
                <w:rFonts w:asciiTheme="minorHAnsi" w:hAnsiTheme="minorHAnsi"/>
              </w:rPr>
            </w:pPr>
            <w:r w:rsidRPr="00A26AD9">
              <w:rPr>
                <w:rFonts w:asciiTheme="minorHAnsi" w:hAnsiTheme="minorHAnsi"/>
              </w:rPr>
              <w:t>CBHC</w:t>
            </w:r>
          </w:p>
        </w:tc>
        <w:tc>
          <w:tcPr>
            <w:tcW w:w="1947" w:type="dxa"/>
          </w:tcPr>
          <w:p w:rsidR="00612661" w:rsidRPr="00A26AD9" w:rsidRDefault="00612661" w:rsidP="00A770B3">
            <w:pPr>
              <w:jc w:val="center"/>
              <w:rPr>
                <w:rFonts w:asciiTheme="minorHAnsi" w:hAnsiTheme="minorHAnsi"/>
              </w:rPr>
            </w:pPr>
            <w:r w:rsidRPr="00A26AD9">
              <w:rPr>
                <w:rFonts w:asciiTheme="minorHAnsi" w:hAnsiTheme="minorHAnsi"/>
              </w:rPr>
              <w:t>769</w:t>
            </w:r>
          </w:p>
        </w:tc>
        <w:tc>
          <w:tcPr>
            <w:tcW w:w="2070" w:type="dxa"/>
          </w:tcPr>
          <w:p w:rsidR="00612661" w:rsidRPr="00A26AD9" w:rsidRDefault="00612661" w:rsidP="00A770B3">
            <w:pPr>
              <w:jc w:val="center"/>
              <w:rPr>
                <w:rFonts w:asciiTheme="minorHAnsi" w:hAnsiTheme="minorHAnsi"/>
              </w:rPr>
            </w:pPr>
            <w:r w:rsidRPr="00A26AD9">
              <w:rPr>
                <w:rFonts w:asciiTheme="minorHAnsi" w:hAnsiTheme="minorHAnsi"/>
              </w:rPr>
              <w:t>100</w:t>
            </w:r>
          </w:p>
        </w:tc>
        <w:tc>
          <w:tcPr>
            <w:tcW w:w="1980" w:type="dxa"/>
          </w:tcPr>
          <w:p w:rsidR="00612661" w:rsidRPr="00A26AD9" w:rsidRDefault="00612661" w:rsidP="00A770B3">
            <w:pPr>
              <w:jc w:val="center"/>
              <w:rPr>
                <w:rFonts w:asciiTheme="minorHAnsi" w:hAnsiTheme="minorHAnsi"/>
              </w:rPr>
            </w:pPr>
            <w:r w:rsidRPr="00A26AD9">
              <w:rPr>
                <w:rFonts w:asciiTheme="minorHAnsi" w:hAnsiTheme="minorHAnsi"/>
              </w:rPr>
              <w:t>96</w:t>
            </w:r>
          </w:p>
        </w:tc>
        <w:tc>
          <w:tcPr>
            <w:tcW w:w="2070" w:type="dxa"/>
          </w:tcPr>
          <w:p w:rsidR="00612661" w:rsidRPr="00A26AD9" w:rsidRDefault="00612661" w:rsidP="00A770B3">
            <w:pPr>
              <w:jc w:val="center"/>
              <w:rPr>
                <w:rFonts w:asciiTheme="minorHAnsi" w:hAnsiTheme="minorHAnsi"/>
              </w:rPr>
            </w:pPr>
            <w:r w:rsidRPr="00A26AD9">
              <w:rPr>
                <w:rFonts w:asciiTheme="minorHAnsi" w:hAnsiTheme="minorHAnsi"/>
              </w:rPr>
              <w:t>96</w:t>
            </w:r>
          </w:p>
        </w:tc>
      </w:tr>
      <w:tr w:rsidR="00612661" w:rsidRPr="00A26AD9" w:rsidTr="00A770B3">
        <w:trPr>
          <w:trHeight w:val="395"/>
        </w:trPr>
        <w:tc>
          <w:tcPr>
            <w:tcW w:w="1023" w:type="dxa"/>
          </w:tcPr>
          <w:p w:rsidR="00612661" w:rsidRPr="00A26AD9" w:rsidRDefault="00612661" w:rsidP="00A770B3">
            <w:pPr>
              <w:rPr>
                <w:rFonts w:asciiTheme="minorHAnsi" w:hAnsiTheme="minorHAnsi"/>
              </w:rPr>
            </w:pPr>
            <w:r w:rsidRPr="00A26AD9">
              <w:rPr>
                <w:rFonts w:asciiTheme="minorHAnsi" w:hAnsiTheme="minorHAnsi"/>
              </w:rPr>
              <w:t>HSM</w:t>
            </w:r>
          </w:p>
        </w:tc>
        <w:tc>
          <w:tcPr>
            <w:tcW w:w="1947" w:type="dxa"/>
          </w:tcPr>
          <w:p w:rsidR="00612661" w:rsidRPr="00A26AD9" w:rsidRDefault="00612661" w:rsidP="00A770B3">
            <w:pPr>
              <w:jc w:val="center"/>
              <w:rPr>
                <w:rFonts w:asciiTheme="minorHAnsi" w:hAnsiTheme="minorHAnsi"/>
              </w:rPr>
            </w:pPr>
            <w:r w:rsidRPr="00A26AD9">
              <w:rPr>
                <w:rFonts w:asciiTheme="minorHAnsi" w:hAnsiTheme="minorHAnsi"/>
              </w:rPr>
              <w:t>913</w:t>
            </w:r>
          </w:p>
        </w:tc>
        <w:tc>
          <w:tcPr>
            <w:tcW w:w="2070" w:type="dxa"/>
          </w:tcPr>
          <w:p w:rsidR="00612661" w:rsidRPr="00A26AD9" w:rsidRDefault="00612661" w:rsidP="00A770B3">
            <w:pPr>
              <w:jc w:val="center"/>
              <w:rPr>
                <w:rFonts w:asciiTheme="minorHAnsi" w:hAnsiTheme="minorHAnsi"/>
              </w:rPr>
            </w:pPr>
            <w:r w:rsidRPr="00A26AD9">
              <w:rPr>
                <w:rFonts w:asciiTheme="minorHAnsi" w:hAnsiTheme="minorHAnsi"/>
              </w:rPr>
              <w:t>99</w:t>
            </w:r>
          </w:p>
        </w:tc>
        <w:tc>
          <w:tcPr>
            <w:tcW w:w="1980" w:type="dxa"/>
          </w:tcPr>
          <w:p w:rsidR="00612661" w:rsidRPr="00A26AD9" w:rsidRDefault="00612661" w:rsidP="00A770B3">
            <w:pPr>
              <w:jc w:val="center"/>
              <w:rPr>
                <w:rFonts w:asciiTheme="minorHAnsi" w:hAnsiTheme="minorHAnsi"/>
              </w:rPr>
            </w:pPr>
            <w:r w:rsidRPr="00A26AD9">
              <w:rPr>
                <w:rFonts w:asciiTheme="minorHAnsi" w:hAnsiTheme="minorHAnsi"/>
              </w:rPr>
              <w:t>95</w:t>
            </w:r>
          </w:p>
        </w:tc>
        <w:tc>
          <w:tcPr>
            <w:tcW w:w="2070" w:type="dxa"/>
          </w:tcPr>
          <w:p w:rsidR="00612661" w:rsidRPr="00A26AD9" w:rsidRDefault="00612661" w:rsidP="00A770B3">
            <w:pPr>
              <w:jc w:val="center"/>
              <w:rPr>
                <w:rFonts w:asciiTheme="minorHAnsi" w:hAnsiTheme="minorHAnsi"/>
              </w:rPr>
            </w:pPr>
            <w:r w:rsidRPr="00A26AD9">
              <w:rPr>
                <w:rFonts w:asciiTheme="minorHAnsi" w:hAnsiTheme="minorHAnsi"/>
              </w:rPr>
              <w:t>94</w:t>
            </w:r>
          </w:p>
        </w:tc>
      </w:tr>
    </w:tbl>
    <w:p w:rsidR="00612661" w:rsidRDefault="00612661" w:rsidP="00612661">
      <w:pPr>
        <w:rPr>
          <w:rFonts w:asciiTheme="minorHAnsi" w:hAnsiTheme="minorHAnsi"/>
          <w:sz w:val="18"/>
          <w:szCs w:val="18"/>
        </w:rPr>
      </w:pPr>
      <w:r w:rsidRPr="00A26AD9">
        <w:rPr>
          <w:rFonts w:asciiTheme="minorHAnsi" w:hAnsiTheme="minorHAnsi"/>
          <w:sz w:val="18"/>
          <w:szCs w:val="18"/>
        </w:rPr>
        <w:t xml:space="preserve"> APIR 2017   *rounded off</w:t>
      </w:r>
    </w:p>
    <w:p w:rsidR="00676A40" w:rsidRPr="00E10E47" w:rsidRDefault="00E938A3" w:rsidP="00676A40">
      <w:pPr>
        <w:jc w:val="both"/>
        <w:rPr>
          <w:rFonts w:asciiTheme="minorHAnsi" w:hAnsiTheme="minorHAnsi"/>
          <w:b/>
          <w:i/>
        </w:rPr>
      </w:pPr>
      <w:r>
        <w:rPr>
          <w:rFonts w:asciiTheme="minorHAnsi" w:hAnsiTheme="minorHAnsi"/>
          <w:b/>
          <w:i/>
        </w:rPr>
        <w:t>5.10</w:t>
      </w:r>
      <w:r w:rsidR="00E10E47" w:rsidRPr="00E10E47">
        <w:rPr>
          <w:rFonts w:asciiTheme="minorHAnsi" w:hAnsiTheme="minorHAnsi"/>
          <w:b/>
          <w:i/>
        </w:rPr>
        <w:t xml:space="preserve"> D</w:t>
      </w:r>
      <w:r w:rsidR="00A26AD9">
        <w:rPr>
          <w:rFonts w:asciiTheme="minorHAnsi" w:hAnsiTheme="minorHAnsi"/>
          <w:b/>
          <w:i/>
        </w:rPr>
        <w:t xml:space="preserve">irect </w:t>
      </w:r>
      <w:r w:rsidR="00E10E47" w:rsidRPr="00E10E47">
        <w:rPr>
          <w:rFonts w:asciiTheme="minorHAnsi" w:hAnsiTheme="minorHAnsi"/>
          <w:b/>
          <w:i/>
        </w:rPr>
        <w:t>P</w:t>
      </w:r>
      <w:r w:rsidR="00A26AD9">
        <w:rPr>
          <w:rFonts w:asciiTheme="minorHAnsi" w:hAnsiTheme="minorHAnsi"/>
          <w:b/>
          <w:i/>
        </w:rPr>
        <w:t xml:space="preserve">roject </w:t>
      </w:r>
      <w:r w:rsidR="00E10E47" w:rsidRPr="00E10E47">
        <w:rPr>
          <w:rFonts w:asciiTheme="minorHAnsi" w:hAnsiTheme="minorHAnsi"/>
          <w:b/>
          <w:i/>
        </w:rPr>
        <w:t>A</w:t>
      </w:r>
      <w:r w:rsidR="00A26AD9">
        <w:rPr>
          <w:rFonts w:asciiTheme="minorHAnsi" w:hAnsiTheme="minorHAnsi"/>
          <w:b/>
          <w:i/>
        </w:rPr>
        <w:t>id</w:t>
      </w:r>
      <w:r w:rsidR="00E10E47" w:rsidRPr="00E10E47">
        <w:rPr>
          <w:rFonts w:asciiTheme="minorHAnsi" w:hAnsiTheme="minorHAnsi"/>
          <w:b/>
          <w:i/>
        </w:rPr>
        <w:t xml:space="preserve"> to HPNSP</w:t>
      </w:r>
    </w:p>
    <w:p w:rsidR="00612661" w:rsidRDefault="00842EDC" w:rsidP="00676A40">
      <w:pPr>
        <w:jc w:val="both"/>
        <w:rPr>
          <w:rFonts w:asciiTheme="minorHAnsi" w:hAnsiTheme="minorHAnsi"/>
        </w:rPr>
      </w:pPr>
      <w:r>
        <w:rPr>
          <w:rFonts w:asciiTheme="minorHAnsi" w:hAnsiTheme="minorHAnsi"/>
        </w:rPr>
        <w:t xml:space="preserve">During the review period, in addition to HPNSP, a number of projects, directly funded by various DPs </w:t>
      </w:r>
      <w:r w:rsidR="00AE5A65">
        <w:rPr>
          <w:rFonts w:asciiTheme="minorHAnsi" w:hAnsiTheme="minorHAnsi"/>
        </w:rPr>
        <w:t xml:space="preserve">also contributed to </w:t>
      </w:r>
      <w:r w:rsidR="00A26AD9">
        <w:rPr>
          <w:rFonts w:asciiTheme="minorHAnsi" w:hAnsiTheme="minorHAnsi"/>
        </w:rPr>
        <w:t>RMNCAH</w:t>
      </w:r>
      <w:r w:rsidR="00AE5A65">
        <w:rPr>
          <w:rFonts w:asciiTheme="minorHAnsi" w:hAnsiTheme="minorHAnsi"/>
        </w:rPr>
        <w:t xml:space="preserve"> progress</w:t>
      </w:r>
      <w:r>
        <w:rPr>
          <w:rFonts w:asciiTheme="minorHAnsi" w:hAnsiTheme="minorHAnsi"/>
        </w:rPr>
        <w:t xml:space="preserve">. </w:t>
      </w:r>
      <w:r w:rsidR="00A26AD9">
        <w:rPr>
          <w:rFonts w:asciiTheme="minorHAnsi" w:hAnsiTheme="minorHAnsi"/>
        </w:rPr>
        <w:t xml:space="preserve">The major actors in this were USAID, DFID, Global Affairs Canada (GAC), Swedish International Development Cooperation Agency and EKN. </w:t>
      </w:r>
      <w:r w:rsidR="00030036">
        <w:rPr>
          <w:rFonts w:asciiTheme="minorHAnsi" w:hAnsiTheme="minorHAnsi"/>
        </w:rPr>
        <w:t>A total of 4</w:t>
      </w:r>
      <w:r w:rsidR="001E4223">
        <w:rPr>
          <w:rFonts w:asciiTheme="minorHAnsi" w:hAnsiTheme="minorHAnsi"/>
        </w:rPr>
        <w:t>5</w:t>
      </w:r>
      <w:r w:rsidR="00030036">
        <w:rPr>
          <w:rFonts w:asciiTheme="minorHAnsi" w:hAnsiTheme="minorHAnsi"/>
        </w:rPr>
        <w:t xml:space="preserve"> projects in the RMNCAH area had been active during </w:t>
      </w:r>
      <w:r w:rsidR="001E4223">
        <w:rPr>
          <w:rFonts w:asciiTheme="minorHAnsi" w:hAnsiTheme="minorHAnsi"/>
        </w:rPr>
        <w:t>the review period, including five</w:t>
      </w:r>
      <w:r w:rsidR="00030036">
        <w:rPr>
          <w:rFonts w:asciiTheme="minorHAnsi" w:hAnsiTheme="minorHAnsi"/>
        </w:rPr>
        <w:t xml:space="preserve">r supporting operations among the </w:t>
      </w:r>
      <w:proofErr w:type="spellStart"/>
      <w:r w:rsidR="00030036">
        <w:rPr>
          <w:rFonts w:asciiTheme="minorHAnsi" w:hAnsiTheme="minorHAnsi"/>
        </w:rPr>
        <w:t>Rohingyas</w:t>
      </w:r>
      <w:proofErr w:type="spellEnd"/>
      <w:r w:rsidR="00030036">
        <w:rPr>
          <w:rFonts w:asciiTheme="minorHAnsi" w:hAnsiTheme="minorHAnsi"/>
        </w:rPr>
        <w:t>. USAID alone had 13 projects with duration</w:t>
      </w:r>
      <w:r w:rsidR="00ED799D">
        <w:rPr>
          <w:rFonts w:asciiTheme="minorHAnsi" w:hAnsiTheme="minorHAnsi"/>
        </w:rPr>
        <w:t>s</w:t>
      </w:r>
      <w:r w:rsidR="00030036">
        <w:rPr>
          <w:rFonts w:asciiTheme="minorHAnsi" w:hAnsiTheme="minorHAnsi"/>
        </w:rPr>
        <w:t xml:space="preserve"> ranging from 3-5 years and of total value of about USD 271 million on the ground (discounting projects in non-RMNCAH areas). DFID had 3 projects with a combined value of about GBP 19 million, ranging between 4-5 years. GAC’s projects were of 2-7 years and together amounted to CAD 90 million. </w:t>
      </w:r>
      <w:r w:rsidR="00ED799D">
        <w:rPr>
          <w:rFonts w:asciiTheme="minorHAnsi" w:hAnsiTheme="minorHAnsi"/>
        </w:rPr>
        <w:t>SIDCA and EKN had substantial contribution as well (SEK equivalent to USD 7 million and 10 million approximately).</w:t>
      </w:r>
      <w:r>
        <w:rPr>
          <w:rFonts w:asciiTheme="minorHAnsi" w:hAnsiTheme="minorHAnsi"/>
        </w:rPr>
        <w:t xml:space="preserve"> The</w:t>
      </w:r>
      <w:r w:rsidR="00ED799D">
        <w:rPr>
          <w:rFonts w:asciiTheme="minorHAnsi" w:hAnsiTheme="minorHAnsi"/>
        </w:rPr>
        <w:t>se</w:t>
      </w:r>
      <w:r>
        <w:rPr>
          <w:rFonts w:asciiTheme="minorHAnsi" w:hAnsiTheme="minorHAnsi"/>
        </w:rPr>
        <w:t xml:space="preserve"> DPA projects are </w:t>
      </w:r>
      <w:r w:rsidR="00ED799D">
        <w:rPr>
          <w:rFonts w:asciiTheme="minorHAnsi" w:hAnsiTheme="minorHAnsi"/>
        </w:rPr>
        <w:t>contributing to all the areas of RMNCAH.</w:t>
      </w:r>
    </w:p>
    <w:p w:rsidR="00A02277" w:rsidRPr="00ED799D" w:rsidRDefault="00A02277" w:rsidP="00676A40">
      <w:pPr>
        <w:jc w:val="both"/>
        <w:rPr>
          <w:rFonts w:asciiTheme="minorHAnsi" w:hAnsiTheme="minorHAnsi"/>
          <w:i/>
        </w:rPr>
      </w:pPr>
      <w:r w:rsidRPr="00ED799D">
        <w:rPr>
          <w:rFonts w:asciiTheme="minorHAnsi" w:hAnsiTheme="minorHAnsi"/>
          <w:i/>
        </w:rPr>
        <w:lastRenderedPageBreak/>
        <w:t xml:space="preserve">Please see Annex </w:t>
      </w:r>
      <w:r w:rsidR="00ED799D" w:rsidRPr="00ED799D">
        <w:rPr>
          <w:rFonts w:asciiTheme="minorHAnsi" w:hAnsiTheme="minorHAnsi"/>
          <w:i/>
        </w:rPr>
        <w:t xml:space="preserve">2 </w:t>
      </w:r>
      <w:r w:rsidRPr="00ED799D">
        <w:rPr>
          <w:rFonts w:asciiTheme="minorHAnsi" w:hAnsiTheme="minorHAnsi"/>
          <w:i/>
        </w:rPr>
        <w:t>for a listing of the major DPA investments</w:t>
      </w:r>
      <w:r w:rsidR="00ED799D">
        <w:rPr>
          <w:rFonts w:asciiTheme="minorHAnsi" w:hAnsiTheme="minorHAnsi"/>
          <w:i/>
        </w:rPr>
        <w:t xml:space="preserve"> in RMNCAH</w:t>
      </w:r>
      <w:r w:rsidRPr="00ED799D">
        <w:rPr>
          <w:rFonts w:asciiTheme="minorHAnsi" w:hAnsiTheme="minorHAnsi"/>
          <w:i/>
        </w:rPr>
        <w:t>.</w:t>
      </w:r>
    </w:p>
    <w:p w:rsidR="00676A40" w:rsidRPr="00A35FB6" w:rsidRDefault="00676A40" w:rsidP="007B43CD">
      <w:pPr>
        <w:pStyle w:val="ListParagraph"/>
        <w:numPr>
          <w:ilvl w:val="0"/>
          <w:numId w:val="2"/>
        </w:numPr>
        <w:ind w:left="576" w:hanging="576"/>
        <w:jc w:val="both"/>
        <w:rPr>
          <w:rFonts w:asciiTheme="minorHAnsi" w:hAnsiTheme="minorHAnsi"/>
          <w:b/>
        </w:rPr>
      </w:pPr>
      <w:r w:rsidRPr="00A35FB6">
        <w:rPr>
          <w:rFonts w:asciiTheme="minorHAnsi" w:hAnsiTheme="minorHAnsi"/>
          <w:b/>
        </w:rPr>
        <w:t>Challenges</w:t>
      </w:r>
    </w:p>
    <w:p w:rsidR="00676A40" w:rsidRPr="00A35FB6" w:rsidRDefault="00676A40" w:rsidP="00676A40">
      <w:pPr>
        <w:jc w:val="both"/>
        <w:rPr>
          <w:rFonts w:asciiTheme="minorHAnsi" w:hAnsiTheme="minorHAnsi"/>
        </w:rPr>
      </w:pPr>
      <w:r w:rsidRPr="00A35FB6">
        <w:rPr>
          <w:rFonts w:asciiTheme="minorHAnsi" w:hAnsiTheme="minorHAnsi"/>
        </w:rPr>
        <w:t xml:space="preserve">A number of challenges in RMNCAH area were identified in course of this review. </w:t>
      </w:r>
    </w:p>
    <w:p w:rsidR="00676A40" w:rsidRPr="00A35FB6" w:rsidRDefault="00E938A3" w:rsidP="007B43CD">
      <w:pPr>
        <w:pStyle w:val="ListParagraph"/>
        <w:ind w:left="576" w:hanging="576"/>
        <w:jc w:val="both"/>
        <w:rPr>
          <w:rFonts w:asciiTheme="minorHAnsi" w:hAnsiTheme="minorHAnsi"/>
        </w:rPr>
      </w:pPr>
      <w:r>
        <w:rPr>
          <w:rFonts w:asciiTheme="minorHAnsi" w:hAnsiTheme="minorHAnsi"/>
          <w:b/>
          <w:i/>
        </w:rPr>
        <w:t>6</w:t>
      </w:r>
      <w:r w:rsidR="007B43CD">
        <w:rPr>
          <w:rFonts w:asciiTheme="minorHAnsi" w:hAnsiTheme="minorHAnsi"/>
          <w:b/>
          <w:i/>
        </w:rPr>
        <w:t xml:space="preserve">.1 </w:t>
      </w:r>
      <w:r w:rsidR="007B43CD">
        <w:rPr>
          <w:rFonts w:asciiTheme="minorHAnsi" w:hAnsiTheme="minorHAnsi"/>
          <w:b/>
          <w:i/>
        </w:rPr>
        <w:tab/>
      </w:r>
      <w:r w:rsidR="00A92010">
        <w:rPr>
          <w:rFonts w:asciiTheme="minorHAnsi" w:hAnsiTheme="minorHAnsi"/>
          <w:b/>
          <w:i/>
        </w:rPr>
        <w:t xml:space="preserve">Formulation of </w:t>
      </w:r>
      <w:r w:rsidR="00676A40" w:rsidRPr="00A35FB6">
        <w:rPr>
          <w:rFonts w:asciiTheme="minorHAnsi" w:hAnsiTheme="minorHAnsi"/>
          <w:b/>
          <w:i/>
        </w:rPr>
        <w:t>OPs and OP indicators</w:t>
      </w:r>
    </w:p>
    <w:p w:rsidR="00676A40" w:rsidRPr="00A35FB6" w:rsidRDefault="00676A40" w:rsidP="00676A40">
      <w:pPr>
        <w:pStyle w:val="ListParagraph"/>
        <w:ind w:left="0"/>
        <w:jc w:val="both"/>
        <w:rPr>
          <w:rFonts w:asciiTheme="minorHAnsi" w:hAnsiTheme="minorHAnsi"/>
        </w:rPr>
      </w:pPr>
    </w:p>
    <w:p w:rsidR="008237BF" w:rsidRPr="008237BF" w:rsidRDefault="00B752DB" w:rsidP="00676A40">
      <w:pPr>
        <w:pStyle w:val="ListParagraph"/>
        <w:ind w:left="0"/>
        <w:jc w:val="both"/>
        <w:rPr>
          <w:rFonts w:asciiTheme="minorHAnsi" w:hAnsiTheme="minorHAnsi"/>
          <w:b/>
        </w:rPr>
      </w:pPr>
      <w:r>
        <w:rPr>
          <w:rFonts w:asciiTheme="minorHAnsi" w:hAnsiTheme="minorHAnsi"/>
          <w:b/>
        </w:rPr>
        <w:t>6</w:t>
      </w:r>
      <w:r w:rsidR="00676A40" w:rsidRPr="008237BF">
        <w:rPr>
          <w:rFonts w:asciiTheme="minorHAnsi" w:hAnsiTheme="minorHAnsi"/>
          <w:b/>
        </w:rPr>
        <w:t xml:space="preserve">.1.1 </w:t>
      </w:r>
      <w:proofErr w:type="spellStart"/>
      <w:r w:rsidR="00676A40" w:rsidRPr="008237BF">
        <w:rPr>
          <w:rFonts w:asciiTheme="minorHAnsi" w:hAnsiTheme="minorHAnsi"/>
          <w:b/>
          <w:u w:val="single"/>
        </w:rPr>
        <w:t>Inappropraite</w:t>
      </w:r>
      <w:proofErr w:type="spellEnd"/>
      <w:r w:rsidR="00676A40" w:rsidRPr="008237BF">
        <w:rPr>
          <w:rFonts w:asciiTheme="minorHAnsi" w:hAnsiTheme="minorHAnsi"/>
          <w:b/>
          <w:u w:val="single"/>
        </w:rPr>
        <w:t xml:space="preserve"> indicators:</w:t>
      </w: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 xml:space="preserve">Some indicators are </w:t>
      </w:r>
      <w:proofErr w:type="gramStart"/>
      <w:r w:rsidRPr="00A35FB6">
        <w:rPr>
          <w:rFonts w:asciiTheme="minorHAnsi" w:hAnsiTheme="minorHAnsi"/>
        </w:rPr>
        <w:t>not relevant to the OP, not specific</w:t>
      </w:r>
      <w:proofErr w:type="gramEnd"/>
      <w:r w:rsidRPr="00A35FB6">
        <w:rPr>
          <w:rFonts w:asciiTheme="minorHAnsi" w:hAnsiTheme="minorHAnsi"/>
        </w:rPr>
        <w:t xml:space="preserve"> or are hard to measure given the data available. </w:t>
      </w:r>
      <w:r w:rsidR="00ED799D">
        <w:rPr>
          <w:rFonts w:asciiTheme="minorHAnsi" w:hAnsiTheme="minorHAnsi"/>
        </w:rPr>
        <w:t>In</w:t>
      </w:r>
      <w:r w:rsidRPr="00A35FB6">
        <w:rPr>
          <w:rFonts w:asciiTheme="minorHAnsi" w:hAnsiTheme="minorHAnsi"/>
        </w:rPr>
        <w:t xml:space="preserve"> the APIR, progress has been reported </w:t>
      </w:r>
      <w:r w:rsidR="00ED799D">
        <w:rPr>
          <w:rFonts w:asciiTheme="minorHAnsi" w:hAnsiTheme="minorHAnsi"/>
        </w:rPr>
        <w:t xml:space="preserve">against annual </w:t>
      </w:r>
      <w:proofErr w:type="spellStart"/>
      <w:r w:rsidR="00ED799D">
        <w:rPr>
          <w:rFonts w:asciiTheme="minorHAnsi" w:hAnsiTheme="minorHAnsi"/>
        </w:rPr>
        <w:t>workplan</w:t>
      </w:r>
      <w:proofErr w:type="spellEnd"/>
      <w:r w:rsidR="00ED799D">
        <w:rPr>
          <w:rFonts w:asciiTheme="minorHAnsi" w:hAnsiTheme="minorHAnsi"/>
        </w:rPr>
        <w:t xml:space="preserve"> targets</w:t>
      </w:r>
      <w:r w:rsidRPr="00A35FB6">
        <w:rPr>
          <w:rFonts w:asciiTheme="minorHAnsi" w:hAnsiTheme="minorHAnsi"/>
        </w:rPr>
        <w:t xml:space="preserve">, which makes it hard to estimate if the activities are actually contributing adequately to achieving midterm or </w:t>
      </w:r>
      <w:proofErr w:type="spellStart"/>
      <w:r w:rsidRPr="00A35FB6">
        <w:rPr>
          <w:rFonts w:asciiTheme="minorHAnsi" w:hAnsiTheme="minorHAnsi"/>
        </w:rPr>
        <w:t>endline</w:t>
      </w:r>
      <w:proofErr w:type="spellEnd"/>
      <w:r w:rsidRPr="00A35FB6">
        <w:rPr>
          <w:rFonts w:asciiTheme="minorHAnsi" w:hAnsiTheme="minorHAnsi"/>
        </w:rPr>
        <w:t xml:space="preserve"> targets. Sources of data used in reporting APIR progress are often not specified and questioned eve</w:t>
      </w:r>
      <w:r w:rsidR="00ED799D">
        <w:rPr>
          <w:rFonts w:asciiTheme="minorHAnsi" w:hAnsiTheme="minorHAnsi"/>
        </w:rPr>
        <w:t>n by the OP team members. I</w:t>
      </w:r>
      <w:r w:rsidRPr="00A35FB6">
        <w:rPr>
          <w:rFonts w:asciiTheme="minorHAnsi" w:hAnsiTheme="minorHAnsi"/>
        </w:rPr>
        <w:t xml:space="preserve">mportantly, there is no measurement framework for GEVA, equity and efficiency although these constitute important underlying principles for the programme. </w:t>
      </w:r>
    </w:p>
    <w:p w:rsidR="00676A40" w:rsidRPr="00A35FB6" w:rsidRDefault="00676A40" w:rsidP="00676A40">
      <w:pPr>
        <w:pStyle w:val="ListParagraph"/>
        <w:ind w:left="0"/>
        <w:jc w:val="both"/>
        <w:rPr>
          <w:rFonts w:asciiTheme="minorHAnsi" w:hAnsiTheme="minorHAnsi"/>
        </w:rPr>
      </w:pPr>
    </w:p>
    <w:p w:rsidR="008237BF" w:rsidRPr="008237BF" w:rsidRDefault="00B752DB" w:rsidP="00676A40">
      <w:pPr>
        <w:pStyle w:val="ListParagraph"/>
        <w:ind w:left="0"/>
        <w:jc w:val="both"/>
        <w:rPr>
          <w:rFonts w:asciiTheme="minorHAnsi" w:hAnsiTheme="minorHAnsi"/>
          <w:b/>
        </w:rPr>
      </w:pPr>
      <w:r>
        <w:rPr>
          <w:rFonts w:asciiTheme="minorHAnsi" w:hAnsiTheme="minorHAnsi"/>
          <w:b/>
        </w:rPr>
        <w:t>6</w:t>
      </w:r>
      <w:r w:rsidR="00676A40" w:rsidRPr="008237BF">
        <w:rPr>
          <w:rFonts w:asciiTheme="minorHAnsi" w:hAnsiTheme="minorHAnsi"/>
          <w:b/>
        </w:rPr>
        <w:t xml:space="preserve">.1.2 </w:t>
      </w:r>
      <w:r w:rsidR="00676A40" w:rsidRPr="008237BF">
        <w:rPr>
          <w:rFonts w:asciiTheme="minorHAnsi" w:hAnsiTheme="minorHAnsi"/>
          <w:b/>
          <w:u w:val="single"/>
        </w:rPr>
        <w:t>Gaps and overlaps in OPs:</w:t>
      </w: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 xml:space="preserve">Gaps have been observed between the </w:t>
      </w:r>
      <w:r w:rsidR="00DE53BB">
        <w:rPr>
          <w:rFonts w:asciiTheme="minorHAnsi" w:hAnsiTheme="minorHAnsi"/>
        </w:rPr>
        <w:t>OP narratives</w:t>
      </w:r>
      <w:r w:rsidRPr="00A35FB6">
        <w:rPr>
          <w:rFonts w:asciiTheme="minorHAnsi" w:hAnsiTheme="minorHAnsi"/>
        </w:rPr>
        <w:t xml:space="preserve"> and budget, with some activities </w:t>
      </w:r>
      <w:r w:rsidR="00DE53BB">
        <w:rPr>
          <w:rFonts w:asciiTheme="minorHAnsi" w:hAnsiTheme="minorHAnsi"/>
        </w:rPr>
        <w:t xml:space="preserve">in the narrative </w:t>
      </w:r>
      <w:r w:rsidRPr="00A35FB6">
        <w:rPr>
          <w:rFonts w:asciiTheme="minorHAnsi" w:hAnsiTheme="minorHAnsi"/>
        </w:rPr>
        <w:t xml:space="preserve">not budgeted for, and others budgeted but not reflected in the </w:t>
      </w:r>
      <w:r w:rsidR="00DE53BB">
        <w:rPr>
          <w:rFonts w:asciiTheme="minorHAnsi" w:hAnsiTheme="minorHAnsi"/>
        </w:rPr>
        <w:t>narrative</w:t>
      </w:r>
      <w:r w:rsidRPr="00A35FB6">
        <w:rPr>
          <w:rFonts w:asciiTheme="minorHAnsi" w:hAnsiTheme="minorHAnsi"/>
        </w:rPr>
        <w:t>. Trainings have been included in almost every OP; it is not clear how quality of these training will be ensured. Moreover there are no plans to ensure that trained personnel are retained in their position for at least a minimum duration after training.</w:t>
      </w:r>
    </w:p>
    <w:p w:rsidR="00676A40" w:rsidRPr="00A35FB6" w:rsidRDefault="00676A40" w:rsidP="00676A40">
      <w:pPr>
        <w:pStyle w:val="ListParagraph"/>
        <w:ind w:left="0"/>
        <w:jc w:val="both"/>
        <w:rPr>
          <w:rFonts w:asciiTheme="minorHAnsi" w:hAnsiTheme="minorHAnsi"/>
          <w:b/>
          <w:i/>
        </w:rPr>
      </w:pPr>
    </w:p>
    <w:p w:rsidR="008237BF" w:rsidRPr="008237BF" w:rsidRDefault="00B752DB" w:rsidP="00676A40">
      <w:pPr>
        <w:pStyle w:val="ListParagraph"/>
        <w:ind w:left="0"/>
        <w:jc w:val="both"/>
        <w:rPr>
          <w:rFonts w:asciiTheme="minorHAnsi" w:hAnsiTheme="minorHAnsi"/>
          <w:b/>
        </w:rPr>
      </w:pPr>
      <w:r>
        <w:rPr>
          <w:rFonts w:asciiTheme="minorHAnsi" w:hAnsiTheme="minorHAnsi"/>
          <w:b/>
        </w:rPr>
        <w:t>6</w:t>
      </w:r>
      <w:r w:rsidR="00676A40" w:rsidRPr="008237BF">
        <w:rPr>
          <w:rFonts w:asciiTheme="minorHAnsi" w:hAnsiTheme="minorHAnsi"/>
          <w:b/>
        </w:rPr>
        <w:t xml:space="preserve">.1.3 </w:t>
      </w:r>
      <w:r w:rsidR="005D2F28">
        <w:rPr>
          <w:rFonts w:asciiTheme="minorHAnsi" w:hAnsiTheme="minorHAnsi"/>
          <w:b/>
        </w:rPr>
        <w:t>La</w:t>
      </w:r>
      <w:r w:rsidR="00ED799D">
        <w:rPr>
          <w:rFonts w:asciiTheme="minorHAnsi" w:hAnsiTheme="minorHAnsi"/>
          <w:b/>
          <w:u w:val="single"/>
        </w:rPr>
        <w:t xml:space="preserve">ck of linkage </w:t>
      </w:r>
      <w:proofErr w:type="gramStart"/>
      <w:r w:rsidR="00ED799D">
        <w:rPr>
          <w:rFonts w:asciiTheme="minorHAnsi" w:hAnsiTheme="minorHAnsi"/>
          <w:b/>
          <w:u w:val="single"/>
        </w:rPr>
        <w:t>between  OPs</w:t>
      </w:r>
      <w:proofErr w:type="gramEnd"/>
      <w:r w:rsidR="00676A40" w:rsidRPr="008237BF">
        <w:rPr>
          <w:rFonts w:asciiTheme="minorHAnsi" w:hAnsiTheme="minorHAnsi"/>
          <w:b/>
          <w:u w:val="single"/>
        </w:rPr>
        <w:t>:</w:t>
      </w: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There are a number of initiatives which are interdependent on several OPs across both the MOHFW divisions. For example implementation of National Maternal Health Strategy, or Structured Referral System would require several different OPs to work together. Since the OPs work in silos, implementation becomes uncoordinated and synergies have no space to develop, resulting in fragmented implementa</w:t>
      </w:r>
      <w:r w:rsidR="00ED799D">
        <w:rPr>
          <w:rFonts w:asciiTheme="minorHAnsi" w:hAnsiTheme="minorHAnsi"/>
        </w:rPr>
        <w:t xml:space="preserve">tion and wastage of resources. </w:t>
      </w:r>
    </w:p>
    <w:p w:rsidR="00676A40" w:rsidRPr="00A35FB6" w:rsidRDefault="00676A40" w:rsidP="00676A40">
      <w:pPr>
        <w:pStyle w:val="ListParagraph"/>
        <w:ind w:left="0"/>
        <w:jc w:val="both"/>
        <w:rPr>
          <w:rFonts w:asciiTheme="minorHAnsi" w:hAnsiTheme="minorHAnsi"/>
          <w:b/>
          <w:i/>
        </w:rPr>
      </w:pPr>
    </w:p>
    <w:p w:rsidR="00676A40" w:rsidRDefault="00B752DB" w:rsidP="007B43CD">
      <w:pPr>
        <w:pStyle w:val="ListParagraph"/>
        <w:ind w:left="576" w:hanging="576"/>
        <w:jc w:val="both"/>
        <w:rPr>
          <w:rFonts w:asciiTheme="minorHAnsi" w:hAnsiTheme="minorHAnsi"/>
          <w:b/>
          <w:i/>
        </w:rPr>
      </w:pPr>
      <w:r>
        <w:rPr>
          <w:rFonts w:asciiTheme="minorHAnsi" w:hAnsiTheme="minorHAnsi"/>
          <w:b/>
          <w:i/>
        </w:rPr>
        <w:t>6</w:t>
      </w:r>
      <w:r w:rsidR="00676A40" w:rsidRPr="00A35FB6">
        <w:rPr>
          <w:rFonts w:asciiTheme="minorHAnsi" w:hAnsiTheme="minorHAnsi"/>
          <w:b/>
          <w:i/>
        </w:rPr>
        <w:t xml:space="preserve">.2 </w:t>
      </w:r>
      <w:r w:rsidR="007B43CD">
        <w:rPr>
          <w:rFonts w:asciiTheme="minorHAnsi" w:hAnsiTheme="minorHAnsi"/>
          <w:b/>
          <w:i/>
        </w:rPr>
        <w:tab/>
      </w:r>
      <w:r w:rsidR="00676A40" w:rsidRPr="00A35FB6">
        <w:rPr>
          <w:rFonts w:asciiTheme="minorHAnsi" w:hAnsiTheme="minorHAnsi"/>
          <w:b/>
          <w:i/>
        </w:rPr>
        <w:t xml:space="preserve">Systems related issues </w:t>
      </w:r>
    </w:p>
    <w:p w:rsidR="00BF631C" w:rsidRPr="00A35FB6" w:rsidRDefault="00BF631C" w:rsidP="007B43CD">
      <w:pPr>
        <w:pStyle w:val="ListParagraph"/>
        <w:ind w:left="576" w:hanging="576"/>
        <w:jc w:val="both"/>
        <w:rPr>
          <w:rFonts w:asciiTheme="minorHAnsi" w:hAnsiTheme="minorHAnsi"/>
          <w:b/>
          <w:i/>
        </w:rPr>
      </w:pPr>
    </w:p>
    <w:p w:rsidR="00823226" w:rsidRDefault="00B752DB" w:rsidP="00676A40">
      <w:pPr>
        <w:pStyle w:val="ListParagraph"/>
        <w:ind w:left="0"/>
        <w:jc w:val="both"/>
        <w:rPr>
          <w:rFonts w:asciiTheme="minorHAnsi" w:hAnsiTheme="minorHAnsi"/>
        </w:rPr>
      </w:pPr>
      <w:r>
        <w:rPr>
          <w:rFonts w:asciiTheme="minorHAnsi" w:hAnsiTheme="minorHAnsi"/>
          <w:b/>
        </w:rPr>
        <w:t>6</w:t>
      </w:r>
      <w:r w:rsidR="00676A40" w:rsidRPr="008237BF">
        <w:rPr>
          <w:rFonts w:asciiTheme="minorHAnsi" w:hAnsiTheme="minorHAnsi"/>
          <w:b/>
        </w:rPr>
        <w:t xml:space="preserve">.2.1 </w:t>
      </w:r>
      <w:r w:rsidR="00DE53BB" w:rsidRPr="00823226">
        <w:rPr>
          <w:rFonts w:asciiTheme="minorHAnsi" w:hAnsiTheme="minorHAnsi"/>
          <w:b/>
          <w:u w:val="single"/>
        </w:rPr>
        <w:t>Fragmented implementation:</w:t>
      </w:r>
    </w:p>
    <w:p w:rsidR="008237BF" w:rsidRDefault="00823226" w:rsidP="00676A40">
      <w:pPr>
        <w:pStyle w:val="ListParagraph"/>
        <w:ind w:left="0"/>
        <w:jc w:val="both"/>
        <w:rPr>
          <w:rFonts w:asciiTheme="minorHAnsi" w:hAnsiTheme="minorHAnsi"/>
        </w:rPr>
      </w:pPr>
      <w:r w:rsidRPr="00823226">
        <w:rPr>
          <w:rFonts w:asciiTheme="minorHAnsi" w:hAnsiTheme="minorHAnsi"/>
        </w:rPr>
        <w:t xml:space="preserve">Interventions are sometimes </w:t>
      </w:r>
      <w:r>
        <w:rPr>
          <w:rFonts w:asciiTheme="minorHAnsi" w:hAnsiTheme="minorHAnsi"/>
        </w:rPr>
        <w:t xml:space="preserve">designed and introduced in one part of the programme. Since the OPs are </w:t>
      </w:r>
      <w:proofErr w:type="spellStart"/>
      <w:r>
        <w:rPr>
          <w:rFonts w:asciiTheme="minorHAnsi" w:hAnsiTheme="minorHAnsi"/>
        </w:rPr>
        <w:t>self standing</w:t>
      </w:r>
      <w:proofErr w:type="spellEnd"/>
      <w:r w:rsidR="000C7E68">
        <w:rPr>
          <w:rFonts w:asciiTheme="minorHAnsi" w:hAnsiTheme="minorHAnsi"/>
        </w:rPr>
        <w:t>,</w:t>
      </w:r>
      <w:r>
        <w:rPr>
          <w:rFonts w:asciiTheme="minorHAnsi" w:hAnsiTheme="minorHAnsi"/>
        </w:rPr>
        <w:t xml:space="preserve"> the learning</w:t>
      </w:r>
      <w:r w:rsidR="000C7E68">
        <w:rPr>
          <w:rFonts w:asciiTheme="minorHAnsi" w:hAnsiTheme="minorHAnsi"/>
        </w:rPr>
        <w:t>’</w:t>
      </w:r>
      <w:r>
        <w:rPr>
          <w:rFonts w:asciiTheme="minorHAnsi" w:hAnsiTheme="minorHAnsi"/>
        </w:rPr>
        <w:t xml:space="preserve">s </w:t>
      </w:r>
      <w:r w:rsidR="000C7E68">
        <w:rPr>
          <w:rFonts w:asciiTheme="minorHAnsi" w:hAnsiTheme="minorHAnsi"/>
        </w:rPr>
        <w:t xml:space="preserve">from interventions are not shared across the </w:t>
      </w:r>
      <w:r w:rsidR="00D12519">
        <w:rPr>
          <w:rFonts w:asciiTheme="minorHAnsi" w:hAnsiTheme="minorHAnsi"/>
        </w:rPr>
        <w:t>programme; such sharing is more difficult among the two arms of MOHFW- HSD and DGFP</w:t>
      </w:r>
      <w:r w:rsidR="000C7E68">
        <w:rPr>
          <w:rFonts w:asciiTheme="minorHAnsi" w:hAnsiTheme="minorHAnsi"/>
        </w:rPr>
        <w:t xml:space="preserve">. Pilot interventions are </w:t>
      </w:r>
      <w:r w:rsidR="00D12519">
        <w:rPr>
          <w:rFonts w:asciiTheme="minorHAnsi" w:hAnsiTheme="minorHAnsi"/>
        </w:rPr>
        <w:t xml:space="preserve">being </w:t>
      </w:r>
      <w:r w:rsidR="000C7E68">
        <w:rPr>
          <w:rFonts w:asciiTheme="minorHAnsi" w:hAnsiTheme="minorHAnsi"/>
        </w:rPr>
        <w:t>developed with technical assistance from DPs, and</w:t>
      </w:r>
      <w:r w:rsidR="00D12519">
        <w:rPr>
          <w:rFonts w:asciiTheme="minorHAnsi" w:hAnsiTheme="minorHAnsi"/>
        </w:rPr>
        <w:t xml:space="preserve"> are</w:t>
      </w:r>
      <w:r w:rsidR="000C7E68">
        <w:rPr>
          <w:rFonts w:asciiTheme="minorHAnsi" w:hAnsiTheme="minorHAnsi"/>
        </w:rPr>
        <w:t xml:space="preserve"> result</w:t>
      </w:r>
      <w:r w:rsidR="00D12519">
        <w:rPr>
          <w:rFonts w:asciiTheme="minorHAnsi" w:hAnsiTheme="minorHAnsi"/>
        </w:rPr>
        <w:t>ing</w:t>
      </w:r>
      <w:r w:rsidR="000C7E68">
        <w:rPr>
          <w:rFonts w:asciiTheme="minorHAnsi" w:hAnsiTheme="minorHAnsi"/>
        </w:rPr>
        <w:t xml:space="preserve"> in pockets of improvement. </w:t>
      </w:r>
      <w:r w:rsidR="00ED799D">
        <w:rPr>
          <w:rFonts w:asciiTheme="minorHAnsi" w:hAnsiTheme="minorHAnsi"/>
        </w:rPr>
        <w:t xml:space="preserve">Previous experience has shown that </w:t>
      </w:r>
      <w:r w:rsidR="000C7E68">
        <w:rPr>
          <w:rFonts w:asciiTheme="minorHAnsi" w:hAnsiTheme="minorHAnsi"/>
        </w:rPr>
        <w:t xml:space="preserve">as DP funded activities end, scaling up </w:t>
      </w:r>
      <w:r w:rsidR="00D12519">
        <w:rPr>
          <w:rFonts w:asciiTheme="minorHAnsi" w:hAnsiTheme="minorHAnsi"/>
        </w:rPr>
        <w:t xml:space="preserve">of these interventions </w:t>
      </w:r>
      <w:r w:rsidR="00ED799D">
        <w:rPr>
          <w:rFonts w:asciiTheme="minorHAnsi" w:hAnsiTheme="minorHAnsi"/>
        </w:rPr>
        <w:t>does not take place</w:t>
      </w:r>
      <w:r w:rsidR="00D12519">
        <w:rPr>
          <w:rFonts w:asciiTheme="minorHAnsi" w:hAnsiTheme="minorHAnsi"/>
        </w:rPr>
        <w:t xml:space="preserve"> and the </w:t>
      </w:r>
      <w:r w:rsidR="00ED799D">
        <w:rPr>
          <w:rFonts w:asciiTheme="minorHAnsi" w:hAnsiTheme="minorHAnsi"/>
        </w:rPr>
        <w:t xml:space="preserve">earlier </w:t>
      </w:r>
      <w:r w:rsidR="00D12519">
        <w:rPr>
          <w:rFonts w:asciiTheme="minorHAnsi" w:hAnsiTheme="minorHAnsi"/>
        </w:rPr>
        <w:t xml:space="preserve">momentum is lost- e.g. the IMCI intervention. </w:t>
      </w:r>
    </w:p>
    <w:p w:rsidR="0077487C" w:rsidRDefault="0077487C" w:rsidP="00676A40">
      <w:pPr>
        <w:pStyle w:val="ListParagraph"/>
        <w:ind w:left="0"/>
        <w:jc w:val="both"/>
        <w:rPr>
          <w:rFonts w:asciiTheme="minorHAnsi" w:hAnsiTheme="minorHAnsi"/>
        </w:rPr>
      </w:pPr>
    </w:p>
    <w:p w:rsidR="0077487C" w:rsidRPr="008237BF" w:rsidRDefault="00B752DB" w:rsidP="0077487C">
      <w:pPr>
        <w:pStyle w:val="ListParagraph"/>
        <w:ind w:left="0"/>
        <w:jc w:val="both"/>
        <w:rPr>
          <w:rFonts w:asciiTheme="minorHAnsi" w:hAnsiTheme="minorHAnsi"/>
          <w:b/>
        </w:rPr>
      </w:pPr>
      <w:r>
        <w:rPr>
          <w:rFonts w:asciiTheme="minorHAnsi" w:hAnsiTheme="minorHAnsi"/>
          <w:b/>
        </w:rPr>
        <w:t>6</w:t>
      </w:r>
      <w:r w:rsidR="0077487C" w:rsidRPr="008237BF">
        <w:rPr>
          <w:rFonts w:asciiTheme="minorHAnsi" w:hAnsiTheme="minorHAnsi"/>
          <w:b/>
        </w:rPr>
        <w:t>.2.</w:t>
      </w:r>
      <w:r w:rsidR="0077487C">
        <w:rPr>
          <w:rFonts w:asciiTheme="minorHAnsi" w:hAnsiTheme="minorHAnsi"/>
          <w:b/>
        </w:rPr>
        <w:t>2</w:t>
      </w:r>
      <w:r w:rsidR="00BF631C">
        <w:rPr>
          <w:rFonts w:asciiTheme="minorHAnsi" w:hAnsiTheme="minorHAnsi"/>
          <w:b/>
        </w:rPr>
        <w:t xml:space="preserve"> </w:t>
      </w:r>
      <w:r w:rsidR="00291B40">
        <w:rPr>
          <w:rFonts w:asciiTheme="minorHAnsi" w:hAnsiTheme="minorHAnsi"/>
          <w:b/>
          <w:u w:val="single"/>
        </w:rPr>
        <w:t xml:space="preserve">Stronger </w:t>
      </w:r>
      <w:r w:rsidR="0077487C" w:rsidRPr="008237BF">
        <w:rPr>
          <w:rFonts w:asciiTheme="minorHAnsi" w:hAnsiTheme="minorHAnsi"/>
          <w:b/>
          <w:u w:val="single"/>
        </w:rPr>
        <w:t>leadership</w:t>
      </w:r>
      <w:r w:rsidR="00291B40">
        <w:rPr>
          <w:rFonts w:asciiTheme="minorHAnsi" w:hAnsiTheme="minorHAnsi"/>
          <w:b/>
          <w:u w:val="single"/>
        </w:rPr>
        <w:t xml:space="preserve"> </w:t>
      </w:r>
      <w:r w:rsidR="00E938A3">
        <w:rPr>
          <w:rFonts w:asciiTheme="minorHAnsi" w:hAnsiTheme="minorHAnsi"/>
          <w:b/>
          <w:u w:val="single"/>
        </w:rPr>
        <w:t xml:space="preserve">in, and </w:t>
      </w:r>
      <w:proofErr w:type="spellStart"/>
      <w:r w:rsidR="00E938A3">
        <w:rPr>
          <w:rFonts w:asciiTheme="minorHAnsi" w:hAnsiTheme="minorHAnsi"/>
          <w:b/>
          <w:u w:val="single"/>
        </w:rPr>
        <w:t>ownsership</w:t>
      </w:r>
      <w:proofErr w:type="spellEnd"/>
      <w:r w:rsidR="00E938A3">
        <w:rPr>
          <w:rFonts w:asciiTheme="minorHAnsi" w:hAnsiTheme="minorHAnsi"/>
          <w:b/>
          <w:u w:val="single"/>
        </w:rPr>
        <w:t xml:space="preserve"> of</w:t>
      </w:r>
      <w:r w:rsidR="00291B40">
        <w:rPr>
          <w:rFonts w:asciiTheme="minorHAnsi" w:hAnsiTheme="minorHAnsi"/>
          <w:b/>
          <w:u w:val="single"/>
        </w:rPr>
        <w:t xml:space="preserve"> </w:t>
      </w:r>
      <w:proofErr w:type="gramStart"/>
      <w:r w:rsidR="00291B40">
        <w:rPr>
          <w:rFonts w:asciiTheme="minorHAnsi" w:hAnsiTheme="minorHAnsi"/>
          <w:b/>
          <w:u w:val="single"/>
        </w:rPr>
        <w:t>OP</w:t>
      </w:r>
      <w:r w:rsidR="00E938A3">
        <w:rPr>
          <w:rFonts w:asciiTheme="minorHAnsi" w:hAnsiTheme="minorHAnsi"/>
          <w:b/>
          <w:u w:val="single"/>
        </w:rPr>
        <w:t>s</w:t>
      </w:r>
      <w:r w:rsidR="00291B40">
        <w:rPr>
          <w:rFonts w:asciiTheme="minorHAnsi" w:hAnsiTheme="minorHAnsi"/>
          <w:b/>
          <w:u w:val="single"/>
        </w:rPr>
        <w:t xml:space="preserve"> </w:t>
      </w:r>
      <w:r w:rsidR="0077487C" w:rsidRPr="008237BF">
        <w:rPr>
          <w:rFonts w:asciiTheme="minorHAnsi" w:hAnsiTheme="minorHAnsi"/>
          <w:b/>
          <w:u w:val="single"/>
        </w:rPr>
        <w:t>:</w:t>
      </w:r>
      <w:proofErr w:type="gramEnd"/>
    </w:p>
    <w:p w:rsidR="0077487C" w:rsidRPr="00A35FB6" w:rsidRDefault="0077487C" w:rsidP="0077487C">
      <w:pPr>
        <w:pStyle w:val="ListParagraph"/>
        <w:ind w:left="0"/>
        <w:jc w:val="both"/>
        <w:rPr>
          <w:rFonts w:asciiTheme="minorHAnsi" w:hAnsiTheme="minorHAnsi"/>
        </w:rPr>
      </w:pPr>
      <w:r w:rsidRPr="00A35FB6">
        <w:rPr>
          <w:rFonts w:asciiTheme="minorHAnsi" w:hAnsiTheme="minorHAnsi"/>
        </w:rPr>
        <w:t xml:space="preserve">The IRT team observed a lack of initiative and interest to take ownership of the OPs among some of the OP leadership teams. This was evidenced by their lack of knowledge on </w:t>
      </w:r>
      <w:proofErr w:type="spellStart"/>
      <w:r w:rsidRPr="00A35FB6">
        <w:rPr>
          <w:rFonts w:asciiTheme="minorHAnsi" w:hAnsiTheme="minorHAnsi"/>
        </w:rPr>
        <w:t>ongoing</w:t>
      </w:r>
      <w:proofErr w:type="spellEnd"/>
      <w:r w:rsidRPr="00A35FB6">
        <w:rPr>
          <w:rFonts w:asciiTheme="minorHAnsi" w:hAnsiTheme="minorHAnsi"/>
        </w:rPr>
        <w:t xml:space="preserve"> activities/reports and </w:t>
      </w:r>
      <w:r w:rsidRPr="00A35FB6">
        <w:rPr>
          <w:rFonts w:asciiTheme="minorHAnsi" w:hAnsiTheme="minorHAnsi"/>
        </w:rPr>
        <w:lastRenderedPageBreak/>
        <w:t xml:space="preserve">weak or no forward planning </w:t>
      </w:r>
      <w:proofErr w:type="gramStart"/>
      <w:r w:rsidRPr="00A35FB6">
        <w:rPr>
          <w:rFonts w:asciiTheme="minorHAnsi" w:hAnsiTheme="minorHAnsi"/>
        </w:rPr>
        <w:t>to  mitigate</w:t>
      </w:r>
      <w:proofErr w:type="gramEnd"/>
      <w:r w:rsidRPr="00A35FB6">
        <w:rPr>
          <w:rFonts w:asciiTheme="minorHAnsi" w:hAnsiTheme="minorHAnsi"/>
        </w:rPr>
        <w:t xml:space="preserve"> difficulties. Many of the initiatives were </w:t>
      </w:r>
      <w:proofErr w:type="gramStart"/>
      <w:r w:rsidRPr="00A35FB6">
        <w:rPr>
          <w:rFonts w:asciiTheme="minorHAnsi" w:hAnsiTheme="minorHAnsi"/>
        </w:rPr>
        <w:t>apparently  driven</w:t>
      </w:r>
      <w:proofErr w:type="gramEnd"/>
      <w:r w:rsidRPr="00A35FB6">
        <w:rPr>
          <w:rFonts w:asciiTheme="minorHAnsi" w:hAnsiTheme="minorHAnsi"/>
        </w:rPr>
        <w:t xml:space="preserve"> by DPs, the country teams providing limited inputs to planning of interventions.</w:t>
      </w:r>
    </w:p>
    <w:p w:rsidR="0077487C" w:rsidRDefault="0077487C" w:rsidP="00676A40">
      <w:pPr>
        <w:pStyle w:val="ListParagraph"/>
        <w:ind w:left="0"/>
        <w:jc w:val="both"/>
        <w:rPr>
          <w:rFonts w:asciiTheme="minorHAnsi" w:hAnsiTheme="minorHAnsi"/>
        </w:rPr>
      </w:pPr>
    </w:p>
    <w:p w:rsidR="0077487C" w:rsidRPr="008237BF" w:rsidRDefault="00B752DB" w:rsidP="0077487C">
      <w:pPr>
        <w:pStyle w:val="ListParagraph"/>
        <w:ind w:left="0"/>
        <w:jc w:val="both"/>
        <w:rPr>
          <w:rFonts w:asciiTheme="minorHAnsi" w:hAnsiTheme="minorHAnsi"/>
          <w:b/>
          <w:u w:val="single"/>
        </w:rPr>
      </w:pPr>
      <w:r>
        <w:rPr>
          <w:rFonts w:asciiTheme="minorHAnsi" w:hAnsiTheme="minorHAnsi"/>
          <w:b/>
        </w:rPr>
        <w:t>6</w:t>
      </w:r>
      <w:r w:rsidR="0077487C" w:rsidRPr="008237BF">
        <w:rPr>
          <w:rFonts w:asciiTheme="minorHAnsi" w:hAnsiTheme="minorHAnsi"/>
          <w:b/>
        </w:rPr>
        <w:t xml:space="preserve">.2.3 </w:t>
      </w:r>
      <w:r w:rsidR="0077487C" w:rsidRPr="008237BF">
        <w:rPr>
          <w:rFonts w:asciiTheme="minorHAnsi" w:hAnsiTheme="minorHAnsi"/>
          <w:b/>
          <w:u w:val="single"/>
        </w:rPr>
        <w:t xml:space="preserve">Vertical, </w:t>
      </w:r>
      <w:proofErr w:type="spellStart"/>
      <w:r w:rsidR="0077487C" w:rsidRPr="008237BF">
        <w:rPr>
          <w:rFonts w:asciiTheme="minorHAnsi" w:hAnsiTheme="minorHAnsi"/>
          <w:b/>
          <w:u w:val="single"/>
        </w:rPr>
        <w:t>silo’d</w:t>
      </w:r>
      <w:proofErr w:type="spellEnd"/>
      <w:r w:rsidR="0077487C" w:rsidRPr="008237BF">
        <w:rPr>
          <w:rFonts w:asciiTheme="minorHAnsi" w:hAnsiTheme="minorHAnsi"/>
          <w:b/>
          <w:u w:val="single"/>
        </w:rPr>
        <w:t xml:space="preserve"> interventions:</w:t>
      </w:r>
    </w:p>
    <w:p w:rsidR="0077487C" w:rsidRPr="00A35FB6" w:rsidRDefault="0077487C" w:rsidP="0077487C">
      <w:pPr>
        <w:pStyle w:val="ListParagraph"/>
        <w:ind w:left="0"/>
        <w:jc w:val="both"/>
        <w:rPr>
          <w:rFonts w:asciiTheme="minorHAnsi" w:hAnsiTheme="minorHAnsi"/>
        </w:rPr>
      </w:pPr>
      <w:r w:rsidRPr="00A35FB6">
        <w:rPr>
          <w:rFonts w:asciiTheme="minorHAnsi" w:hAnsiTheme="minorHAnsi"/>
        </w:rPr>
        <w:t xml:space="preserve">The approach of establishing ‘corners’ for carrying out targeted interventions in facilities seems to be taking ground, with several corners being already introduced at UHCs- IMCI corner, adolescents corner, breastfeeding corner, </w:t>
      </w:r>
      <w:r w:rsidR="00454D34">
        <w:rPr>
          <w:rFonts w:asciiTheme="minorHAnsi" w:hAnsiTheme="minorHAnsi"/>
        </w:rPr>
        <w:t xml:space="preserve">EPI corner, </w:t>
      </w:r>
      <w:r w:rsidRPr="00A35FB6">
        <w:rPr>
          <w:rFonts w:asciiTheme="minorHAnsi" w:hAnsiTheme="minorHAnsi"/>
        </w:rPr>
        <w:t>etc. This is not an effective strategy as it segregates the concerned service and moves it away from mainstreaming, stretches the service providers (as the same provider has competing demands on her/his time from several ‘corners’), and in the long run may not be sustainable</w:t>
      </w:r>
      <w:r w:rsidR="00454D34">
        <w:rPr>
          <w:rFonts w:asciiTheme="minorHAnsi" w:hAnsiTheme="minorHAnsi"/>
        </w:rPr>
        <w:t>.</w:t>
      </w:r>
      <w:r w:rsidRPr="00A35FB6">
        <w:rPr>
          <w:rFonts w:asciiTheme="minorHAnsi" w:hAnsiTheme="minorHAnsi"/>
        </w:rPr>
        <w:t>.</w:t>
      </w:r>
    </w:p>
    <w:p w:rsidR="0077487C" w:rsidRDefault="0077487C" w:rsidP="0077487C">
      <w:pPr>
        <w:pStyle w:val="ListParagraph"/>
        <w:ind w:left="0"/>
        <w:jc w:val="both"/>
        <w:rPr>
          <w:rFonts w:asciiTheme="minorHAnsi" w:hAnsiTheme="minorHAnsi"/>
          <w:b/>
        </w:rPr>
      </w:pPr>
    </w:p>
    <w:p w:rsidR="0077487C" w:rsidRPr="008237BF" w:rsidRDefault="00B752DB" w:rsidP="0077487C">
      <w:pPr>
        <w:pStyle w:val="ListParagraph"/>
        <w:ind w:left="0"/>
        <w:jc w:val="both"/>
        <w:rPr>
          <w:rFonts w:asciiTheme="minorHAnsi" w:hAnsiTheme="minorHAnsi"/>
          <w:b/>
        </w:rPr>
      </w:pPr>
      <w:r>
        <w:rPr>
          <w:rFonts w:asciiTheme="minorHAnsi" w:hAnsiTheme="minorHAnsi"/>
          <w:b/>
        </w:rPr>
        <w:t>6</w:t>
      </w:r>
      <w:r w:rsidR="0077487C" w:rsidRPr="008237BF">
        <w:rPr>
          <w:rFonts w:asciiTheme="minorHAnsi" w:hAnsiTheme="minorHAnsi"/>
          <w:b/>
        </w:rPr>
        <w:t>.2.</w:t>
      </w:r>
      <w:r w:rsidR="0077487C">
        <w:rPr>
          <w:rFonts w:asciiTheme="minorHAnsi" w:hAnsiTheme="minorHAnsi"/>
          <w:b/>
        </w:rPr>
        <w:t>4</w:t>
      </w:r>
      <w:r w:rsidR="00E938A3">
        <w:rPr>
          <w:rFonts w:asciiTheme="minorHAnsi" w:hAnsiTheme="minorHAnsi"/>
          <w:b/>
        </w:rPr>
        <w:t xml:space="preserve"> </w:t>
      </w:r>
      <w:r w:rsidR="0077487C" w:rsidRPr="008237BF">
        <w:rPr>
          <w:rFonts w:asciiTheme="minorHAnsi" w:hAnsiTheme="minorHAnsi"/>
          <w:b/>
          <w:u w:val="single"/>
        </w:rPr>
        <w:t>Waste management:</w:t>
      </w:r>
    </w:p>
    <w:p w:rsidR="0077487C" w:rsidRDefault="0077487C" w:rsidP="0077487C">
      <w:pPr>
        <w:pStyle w:val="ListParagraph"/>
        <w:ind w:left="0"/>
        <w:jc w:val="both"/>
        <w:rPr>
          <w:rFonts w:asciiTheme="minorHAnsi" w:hAnsiTheme="minorHAnsi"/>
        </w:rPr>
      </w:pPr>
      <w:r w:rsidRPr="00A35FB6">
        <w:rPr>
          <w:rFonts w:asciiTheme="minorHAnsi" w:hAnsiTheme="minorHAnsi"/>
        </w:rPr>
        <w:t>Progress has been achieved in waste management at the facilities level where waste segregation and transport to outhouses are in place. Except in those facilities where an NGO is contracted to collect, treat and then dispose the waste, the hospital waste is generally carried from the outhouse by local government authorities to landfills, without being treated, thus posing a public health and environmental hazard.</w:t>
      </w:r>
    </w:p>
    <w:p w:rsidR="0077487C" w:rsidRPr="00A35FB6" w:rsidRDefault="0077487C" w:rsidP="0077487C">
      <w:pPr>
        <w:pStyle w:val="ListParagraph"/>
        <w:ind w:left="0"/>
        <w:jc w:val="both"/>
        <w:rPr>
          <w:rFonts w:asciiTheme="minorHAnsi" w:hAnsiTheme="minorHAnsi"/>
        </w:rPr>
      </w:pPr>
    </w:p>
    <w:p w:rsidR="0077487C" w:rsidRPr="008237BF" w:rsidRDefault="00B752DB" w:rsidP="0077487C">
      <w:pPr>
        <w:pStyle w:val="ListParagraph"/>
        <w:ind w:left="0"/>
        <w:jc w:val="both"/>
        <w:rPr>
          <w:rFonts w:asciiTheme="minorHAnsi" w:hAnsiTheme="minorHAnsi"/>
          <w:b/>
        </w:rPr>
      </w:pPr>
      <w:r>
        <w:rPr>
          <w:rFonts w:asciiTheme="minorHAnsi" w:hAnsiTheme="minorHAnsi"/>
          <w:b/>
        </w:rPr>
        <w:t>6</w:t>
      </w:r>
      <w:r w:rsidR="0077487C" w:rsidRPr="008237BF">
        <w:rPr>
          <w:rFonts w:asciiTheme="minorHAnsi" w:hAnsiTheme="minorHAnsi"/>
          <w:b/>
        </w:rPr>
        <w:t>.2.</w:t>
      </w:r>
      <w:r w:rsidR="0077487C">
        <w:rPr>
          <w:rFonts w:asciiTheme="minorHAnsi" w:hAnsiTheme="minorHAnsi"/>
          <w:b/>
        </w:rPr>
        <w:t>5</w:t>
      </w:r>
      <w:r w:rsidR="0077487C" w:rsidRPr="00D12519">
        <w:rPr>
          <w:rFonts w:asciiTheme="minorHAnsi" w:hAnsiTheme="minorHAnsi"/>
          <w:b/>
          <w:u w:val="single"/>
        </w:rPr>
        <w:t xml:space="preserve"> Lack of ‘supportive’ supervision</w:t>
      </w:r>
      <w:r w:rsidR="0077487C">
        <w:rPr>
          <w:rFonts w:asciiTheme="minorHAnsi" w:hAnsiTheme="minorHAnsi"/>
          <w:b/>
          <w:u w:val="single"/>
        </w:rPr>
        <w:t xml:space="preserve"> and mentoring</w:t>
      </w:r>
      <w:r w:rsidR="0077487C" w:rsidRPr="00D12519">
        <w:rPr>
          <w:rFonts w:asciiTheme="minorHAnsi" w:hAnsiTheme="minorHAnsi"/>
          <w:b/>
          <w:u w:val="single"/>
        </w:rPr>
        <w:t>:</w:t>
      </w:r>
    </w:p>
    <w:p w:rsidR="0077487C" w:rsidRDefault="0077487C" w:rsidP="0077487C">
      <w:pPr>
        <w:pStyle w:val="ListParagraph"/>
        <w:ind w:left="0"/>
        <w:jc w:val="both"/>
        <w:rPr>
          <w:rFonts w:asciiTheme="minorHAnsi" w:hAnsiTheme="minorHAnsi"/>
        </w:rPr>
      </w:pPr>
      <w:proofErr w:type="spellStart"/>
      <w:r>
        <w:rPr>
          <w:rFonts w:asciiTheme="minorHAnsi" w:hAnsiTheme="minorHAnsi"/>
        </w:rPr>
        <w:t>Inspite</w:t>
      </w:r>
      <w:proofErr w:type="spellEnd"/>
      <w:r>
        <w:rPr>
          <w:rFonts w:asciiTheme="minorHAnsi" w:hAnsiTheme="minorHAnsi"/>
        </w:rPr>
        <w:t xml:space="preserve"> of regular monitoring and supervisory visits, the need for </w:t>
      </w:r>
      <w:r w:rsidRPr="00A35FB6">
        <w:rPr>
          <w:rFonts w:asciiTheme="minorHAnsi" w:hAnsiTheme="minorHAnsi"/>
        </w:rPr>
        <w:t xml:space="preserve">a </w:t>
      </w:r>
      <w:proofErr w:type="spellStart"/>
      <w:r>
        <w:rPr>
          <w:rFonts w:asciiTheme="minorHAnsi" w:hAnsiTheme="minorHAnsi"/>
        </w:rPr>
        <w:t>well developed</w:t>
      </w:r>
      <w:proofErr w:type="spellEnd"/>
      <w:r>
        <w:rPr>
          <w:rFonts w:asciiTheme="minorHAnsi" w:hAnsiTheme="minorHAnsi"/>
        </w:rPr>
        <w:t xml:space="preserve"> s</w:t>
      </w:r>
      <w:r w:rsidRPr="00A35FB6">
        <w:rPr>
          <w:rFonts w:asciiTheme="minorHAnsi" w:hAnsiTheme="minorHAnsi"/>
        </w:rPr>
        <w:t xml:space="preserve">ystem to </w:t>
      </w:r>
      <w:r>
        <w:rPr>
          <w:rFonts w:asciiTheme="minorHAnsi" w:hAnsiTheme="minorHAnsi"/>
        </w:rPr>
        <w:t xml:space="preserve">provide ‘supportive supervision’ through on the job training, counselling and mentoring is felt by providers. Those who have been in recent mentoring training have benefited greatly in terms of learning and morale boosting. The positive impact of mentoring has been observed in BRACU’s midwifery programme. </w:t>
      </w:r>
    </w:p>
    <w:p w:rsidR="0077487C" w:rsidRDefault="0077487C" w:rsidP="00676A40">
      <w:pPr>
        <w:pStyle w:val="ListParagraph"/>
        <w:ind w:left="0"/>
        <w:jc w:val="both"/>
        <w:rPr>
          <w:rFonts w:asciiTheme="minorHAnsi" w:hAnsiTheme="minorHAnsi"/>
          <w:b/>
        </w:rPr>
      </w:pPr>
    </w:p>
    <w:p w:rsidR="00D12519" w:rsidRPr="00D12519" w:rsidRDefault="00B752DB" w:rsidP="00676A40">
      <w:pPr>
        <w:pStyle w:val="ListParagraph"/>
        <w:ind w:left="0"/>
        <w:jc w:val="both"/>
        <w:rPr>
          <w:rFonts w:asciiTheme="minorHAnsi" w:hAnsiTheme="minorHAnsi"/>
          <w:b/>
        </w:rPr>
      </w:pPr>
      <w:r>
        <w:rPr>
          <w:rFonts w:asciiTheme="minorHAnsi" w:hAnsiTheme="minorHAnsi"/>
          <w:b/>
        </w:rPr>
        <w:t>6</w:t>
      </w:r>
      <w:r w:rsidR="00D12519" w:rsidRPr="00D12519">
        <w:rPr>
          <w:rFonts w:asciiTheme="minorHAnsi" w:hAnsiTheme="minorHAnsi"/>
          <w:b/>
        </w:rPr>
        <w:t>.2.</w:t>
      </w:r>
      <w:r w:rsidR="0077487C">
        <w:rPr>
          <w:rFonts w:asciiTheme="minorHAnsi" w:hAnsiTheme="minorHAnsi"/>
          <w:b/>
        </w:rPr>
        <w:t>6</w:t>
      </w:r>
      <w:r w:rsidR="00D12519" w:rsidRPr="00D12519">
        <w:rPr>
          <w:rFonts w:asciiTheme="minorHAnsi" w:hAnsiTheme="minorHAnsi"/>
          <w:b/>
          <w:u w:val="single"/>
        </w:rPr>
        <w:t xml:space="preserve"> Scaling up quality interventions</w:t>
      </w:r>
    </w:p>
    <w:p w:rsidR="00676A40" w:rsidRPr="00A35FB6" w:rsidRDefault="00676A40" w:rsidP="00676A40">
      <w:pPr>
        <w:pStyle w:val="ListParagraph"/>
        <w:ind w:left="0"/>
        <w:jc w:val="both"/>
        <w:rPr>
          <w:rFonts w:asciiTheme="minorHAnsi" w:hAnsiTheme="minorHAnsi"/>
        </w:rPr>
      </w:pPr>
      <w:r w:rsidRPr="00823226">
        <w:rPr>
          <w:rFonts w:asciiTheme="minorHAnsi" w:hAnsiTheme="minorHAnsi"/>
        </w:rPr>
        <w:t>Much</w:t>
      </w:r>
      <w:r w:rsidRPr="00A35FB6">
        <w:rPr>
          <w:rFonts w:asciiTheme="minorHAnsi" w:hAnsiTheme="minorHAnsi"/>
        </w:rPr>
        <w:t xml:space="preserve"> work has been done over the last two decades on improving quality</w:t>
      </w:r>
      <w:r w:rsidR="00454D34">
        <w:rPr>
          <w:rFonts w:asciiTheme="minorHAnsi" w:hAnsiTheme="minorHAnsi"/>
        </w:rPr>
        <w:t xml:space="preserve"> of services (please see section 5</w:t>
      </w:r>
      <w:r w:rsidRPr="00A35FB6">
        <w:rPr>
          <w:rFonts w:asciiTheme="minorHAnsi" w:hAnsiTheme="minorHAnsi"/>
        </w:rPr>
        <w:t xml:space="preserve">.5). </w:t>
      </w:r>
      <w:r w:rsidR="00291B40">
        <w:rPr>
          <w:rFonts w:asciiTheme="minorHAnsi" w:hAnsiTheme="minorHAnsi"/>
        </w:rPr>
        <w:t>Although quality has been acknowledged to be a cornerstone for HNPSP</w:t>
      </w:r>
      <w:r w:rsidR="00E938A3">
        <w:rPr>
          <w:rFonts w:asciiTheme="minorHAnsi" w:hAnsiTheme="minorHAnsi"/>
        </w:rPr>
        <w:t xml:space="preserve">, and a number of models/tools have been developed for quality improvement by QIS, none of these have been scaled up to an extent where these could impact </w:t>
      </w:r>
    </w:p>
    <w:p w:rsidR="0077487C" w:rsidRDefault="0077487C" w:rsidP="00676A40">
      <w:pPr>
        <w:pStyle w:val="ListParagraph"/>
        <w:ind w:left="0"/>
        <w:jc w:val="both"/>
        <w:rPr>
          <w:rFonts w:asciiTheme="minorHAnsi" w:hAnsiTheme="minorHAnsi"/>
          <w:b/>
        </w:rPr>
      </w:pPr>
    </w:p>
    <w:p w:rsidR="00676A40" w:rsidRPr="008237BF" w:rsidRDefault="00B752DB" w:rsidP="00676A40">
      <w:pPr>
        <w:pStyle w:val="ListParagraph"/>
        <w:ind w:left="0"/>
        <w:jc w:val="both"/>
        <w:rPr>
          <w:rFonts w:asciiTheme="minorHAnsi" w:hAnsiTheme="minorHAnsi"/>
          <w:b/>
          <w:u w:val="single"/>
        </w:rPr>
      </w:pPr>
      <w:r>
        <w:rPr>
          <w:rFonts w:asciiTheme="minorHAnsi" w:hAnsiTheme="minorHAnsi"/>
          <w:b/>
        </w:rPr>
        <w:t>6</w:t>
      </w:r>
      <w:r w:rsidR="00676A40" w:rsidRPr="008237BF">
        <w:rPr>
          <w:rFonts w:asciiTheme="minorHAnsi" w:hAnsiTheme="minorHAnsi"/>
          <w:b/>
        </w:rPr>
        <w:t>.2.</w:t>
      </w:r>
      <w:r w:rsidR="0077487C">
        <w:rPr>
          <w:rFonts w:asciiTheme="minorHAnsi" w:hAnsiTheme="minorHAnsi"/>
          <w:b/>
        </w:rPr>
        <w:t>7</w:t>
      </w:r>
      <w:r w:rsidR="00676A40" w:rsidRPr="008237BF">
        <w:rPr>
          <w:rFonts w:asciiTheme="minorHAnsi" w:hAnsiTheme="minorHAnsi"/>
          <w:b/>
          <w:u w:val="single"/>
        </w:rPr>
        <w:t>Many different cadres in delivery services</w:t>
      </w:r>
      <w:r w:rsidR="007B43CD" w:rsidRPr="008237BF">
        <w:rPr>
          <w:rFonts w:asciiTheme="minorHAnsi" w:hAnsiTheme="minorHAnsi"/>
          <w:b/>
          <w:u w:val="single"/>
        </w:rPr>
        <w:t>:</w:t>
      </w:r>
    </w:p>
    <w:p w:rsidR="00676A40" w:rsidRDefault="00676A40" w:rsidP="00676A40">
      <w:pPr>
        <w:pStyle w:val="ListParagraph"/>
        <w:ind w:left="0"/>
        <w:jc w:val="both"/>
        <w:rPr>
          <w:rFonts w:asciiTheme="minorHAnsi" w:hAnsiTheme="minorHAnsi"/>
        </w:rPr>
      </w:pPr>
      <w:r w:rsidRPr="00A35FB6">
        <w:rPr>
          <w:rFonts w:asciiTheme="minorHAnsi" w:hAnsiTheme="minorHAnsi"/>
        </w:rPr>
        <w:t xml:space="preserve">Delivery services are now being provided by a range of providers, trained through different programmes. These include the CSBAs trained by </w:t>
      </w:r>
      <w:proofErr w:type="spellStart"/>
      <w:r w:rsidRPr="00A35FB6">
        <w:rPr>
          <w:rFonts w:asciiTheme="minorHAnsi" w:hAnsiTheme="minorHAnsi"/>
        </w:rPr>
        <w:t>GoB</w:t>
      </w:r>
      <w:proofErr w:type="spellEnd"/>
      <w:r w:rsidRPr="00A35FB6">
        <w:rPr>
          <w:rFonts w:asciiTheme="minorHAnsi" w:hAnsiTheme="minorHAnsi"/>
        </w:rPr>
        <w:t xml:space="preserve"> and privately, Midwives (direct entry), Certified Midwives, FWVs. The training duration and curriculum of these different cadres vary and it is logical to assume that their skill levels also differ. Mechanism to bring all these cadres under some kind of </w:t>
      </w:r>
      <w:proofErr w:type="spellStart"/>
      <w:r w:rsidRPr="00A35FB6">
        <w:rPr>
          <w:rFonts w:asciiTheme="minorHAnsi" w:hAnsiTheme="minorHAnsi"/>
        </w:rPr>
        <w:t>a</w:t>
      </w:r>
      <w:r w:rsidR="0077487C">
        <w:rPr>
          <w:rFonts w:asciiTheme="minorHAnsi" w:hAnsiTheme="minorHAnsi"/>
        </w:rPr>
        <w:t>supervisory</w:t>
      </w:r>
      <w:proofErr w:type="spellEnd"/>
      <w:r w:rsidR="0077487C">
        <w:rPr>
          <w:rFonts w:asciiTheme="minorHAnsi" w:hAnsiTheme="minorHAnsi"/>
        </w:rPr>
        <w:t xml:space="preserve"> system is essential. Given the increasing number of CSBAs, and </w:t>
      </w:r>
      <w:proofErr w:type="gramStart"/>
      <w:r w:rsidR="00454D34">
        <w:rPr>
          <w:rFonts w:asciiTheme="minorHAnsi" w:hAnsiTheme="minorHAnsi"/>
        </w:rPr>
        <w:t xml:space="preserve">several </w:t>
      </w:r>
      <w:r w:rsidR="0077487C">
        <w:rPr>
          <w:rFonts w:asciiTheme="minorHAnsi" w:hAnsiTheme="minorHAnsi"/>
        </w:rPr>
        <w:t xml:space="preserve"> categories</w:t>
      </w:r>
      <w:proofErr w:type="gramEnd"/>
      <w:r w:rsidR="0077487C">
        <w:rPr>
          <w:rFonts w:asciiTheme="minorHAnsi" w:hAnsiTheme="minorHAnsi"/>
        </w:rPr>
        <w:t xml:space="preserve"> of field </w:t>
      </w:r>
      <w:proofErr w:type="spellStart"/>
      <w:r w:rsidR="0077487C">
        <w:rPr>
          <w:rFonts w:asciiTheme="minorHAnsi" w:hAnsiTheme="minorHAnsi"/>
        </w:rPr>
        <w:t>levelworkers</w:t>
      </w:r>
      <w:proofErr w:type="spellEnd"/>
      <w:r w:rsidR="0077487C">
        <w:rPr>
          <w:rFonts w:asciiTheme="minorHAnsi" w:hAnsiTheme="minorHAnsi"/>
        </w:rPr>
        <w:t>, including MPHVs</w:t>
      </w:r>
      <w:r w:rsidR="00454D34">
        <w:rPr>
          <w:rFonts w:asciiTheme="minorHAnsi" w:hAnsiTheme="minorHAnsi"/>
        </w:rPr>
        <w:t xml:space="preserve"> planned to be recruited shortly,</w:t>
      </w:r>
      <w:r w:rsidR="0077487C">
        <w:rPr>
          <w:rFonts w:asciiTheme="minorHAnsi" w:hAnsiTheme="minorHAnsi"/>
        </w:rPr>
        <w:t xml:space="preserve"> it will be a challenge to find the right level of supervisory support for this large contingent of providers/field-workers. </w:t>
      </w:r>
    </w:p>
    <w:p w:rsidR="0077487C" w:rsidRDefault="0077487C" w:rsidP="00676A40">
      <w:pPr>
        <w:pStyle w:val="ListParagraph"/>
        <w:ind w:left="0"/>
        <w:jc w:val="both"/>
        <w:rPr>
          <w:rFonts w:asciiTheme="minorHAnsi" w:hAnsiTheme="minorHAnsi"/>
        </w:rPr>
      </w:pPr>
    </w:p>
    <w:p w:rsidR="00BF631C" w:rsidRDefault="00BF631C" w:rsidP="00676A40">
      <w:pPr>
        <w:pStyle w:val="ListParagraph"/>
        <w:ind w:left="0"/>
        <w:jc w:val="both"/>
        <w:rPr>
          <w:rFonts w:asciiTheme="minorHAnsi" w:hAnsiTheme="minorHAnsi"/>
        </w:rPr>
      </w:pPr>
    </w:p>
    <w:p w:rsidR="00BF631C" w:rsidRPr="00A35FB6" w:rsidRDefault="00BF631C" w:rsidP="00676A40">
      <w:pPr>
        <w:pStyle w:val="ListParagraph"/>
        <w:ind w:left="0"/>
        <w:jc w:val="both"/>
        <w:rPr>
          <w:rFonts w:asciiTheme="minorHAnsi" w:hAnsiTheme="minorHAnsi"/>
        </w:rPr>
      </w:pPr>
    </w:p>
    <w:p w:rsidR="00676A40" w:rsidRDefault="00B752DB" w:rsidP="00676A40">
      <w:pPr>
        <w:pStyle w:val="ListParagraph"/>
        <w:ind w:left="0"/>
        <w:jc w:val="both"/>
        <w:rPr>
          <w:rFonts w:asciiTheme="minorHAnsi" w:hAnsiTheme="minorHAnsi"/>
          <w:b/>
          <w:i/>
        </w:rPr>
      </w:pPr>
      <w:r>
        <w:rPr>
          <w:rFonts w:asciiTheme="minorHAnsi" w:hAnsiTheme="minorHAnsi"/>
          <w:b/>
          <w:i/>
        </w:rPr>
        <w:lastRenderedPageBreak/>
        <w:t>6</w:t>
      </w:r>
      <w:r w:rsidR="00676A40" w:rsidRPr="00A35FB6">
        <w:rPr>
          <w:rFonts w:asciiTheme="minorHAnsi" w:hAnsiTheme="minorHAnsi"/>
          <w:b/>
          <w:i/>
        </w:rPr>
        <w:t>.3 Challenges in RMNCAH area</w:t>
      </w:r>
    </w:p>
    <w:p w:rsidR="00BF631C" w:rsidRPr="00A35FB6" w:rsidRDefault="00BF631C" w:rsidP="00676A40">
      <w:pPr>
        <w:pStyle w:val="ListParagraph"/>
        <w:ind w:left="0"/>
        <w:jc w:val="both"/>
        <w:rPr>
          <w:rFonts w:asciiTheme="minorHAnsi" w:hAnsiTheme="minorHAnsi"/>
          <w:b/>
          <w:i/>
        </w:rPr>
      </w:pPr>
    </w:p>
    <w:p w:rsidR="007B43CD" w:rsidRPr="008237BF" w:rsidRDefault="00B752DB" w:rsidP="00676A40">
      <w:pPr>
        <w:pStyle w:val="ListParagraph"/>
        <w:ind w:left="0"/>
        <w:jc w:val="both"/>
        <w:rPr>
          <w:rFonts w:asciiTheme="minorHAnsi" w:hAnsiTheme="minorHAnsi"/>
          <w:b/>
        </w:rPr>
      </w:pPr>
      <w:r>
        <w:rPr>
          <w:rFonts w:asciiTheme="minorHAnsi" w:hAnsiTheme="minorHAnsi"/>
          <w:b/>
        </w:rPr>
        <w:t>6</w:t>
      </w:r>
      <w:r w:rsidR="00676A40" w:rsidRPr="008237BF">
        <w:rPr>
          <w:rFonts w:asciiTheme="minorHAnsi" w:hAnsiTheme="minorHAnsi"/>
          <w:b/>
        </w:rPr>
        <w:t xml:space="preserve">.3.1 </w:t>
      </w:r>
      <w:r w:rsidR="00676A40" w:rsidRPr="008237BF">
        <w:rPr>
          <w:rFonts w:asciiTheme="minorHAnsi" w:hAnsiTheme="minorHAnsi"/>
          <w:b/>
          <w:u w:val="single"/>
        </w:rPr>
        <w:t>Plateauing of maternal mortality:</w:t>
      </w: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 xml:space="preserve">This is perhaps the most serious of challenges. The low hanging fruits in reducing maternal mortality have been reaped, and further reduction will require focussed, concerted efforts. There has been considerable improvement in several maternal health related indicators, though further improvements cannot be achieved without addressing the problem of having adequately skilled providers at all levels of facilities and in the field with a supportive structure around them along with adequate provision of supplies and logistics. The two major contributors to maternal mortality (haemorrhage and </w:t>
      </w:r>
      <w:proofErr w:type="spellStart"/>
      <w:r w:rsidRPr="00A35FB6">
        <w:rPr>
          <w:rFonts w:asciiTheme="minorHAnsi" w:hAnsiTheme="minorHAnsi"/>
        </w:rPr>
        <w:t>eclampsia</w:t>
      </w:r>
      <w:proofErr w:type="spellEnd"/>
      <w:r w:rsidRPr="00A35FB6">
        <w:rPr>
          <w:rFonts w:asciiTheme="minorHAnsi" w:hAnsiTheme="minorHAnsi"/>
        </w:rPr>
        <w:t xml:space="preserve">) proportions remain unchanged over the years, calling for targeted action to treat/prevent these conditions. </w:t>
      </w:r>
    </w:p>
    <w:p w:rsidR="00676A40" w:rsidRPr="00A35FB6" w:rsidRDefault="00676A40" w:rsidP="00676A40">
      <w:pPr>
        <w:pStyle w:val="ListParagraph"/>
        <w:ind w:left="0"/>
        <w:jc w:val="both"/>
        <w:rPr>
          <w:rFonts w:asciiTheme="minorHAnsi" w:hAnsiTheme="minorHAnsi"/>
        </w:rPr>
      </w:pPr>
    </w:p>
    <w:p w:rsidR="00676A40" w:rsidRPr="008237BF" w:rsidRDefault="00B752DB" w:rsidP="00676A40">
      <w:pPr>
        <w:pStyle w:val="ListParagraph"/>
        <w:ind w:left="0"/>
        <w:jc w:val="both"/>
        <w:rPr>
          <w:rFonts w:asciiTheme="minorHAnsi" w:hAnsiTheme="minorHAnsi"/>
          <w:b/>
          <w:u w:val="single"/>
        </w:rPr>
      </w:pPr>
      <w:r>
        <w:rPr>
          <w:rFonts w:asciiTheme="minorHAnsi" w:hAnsiTheme="minorHAnsi"/>
          <w:b/>
        </w:rPr>
        <w:t>6</w:t>
      </w:r>
      <w:r w:rsidR="00676A40" w:rsidRPr="008237BF">
        <w:rPr>
          <w:rFonts w:asciiTheme="minorHAnsi" w:hAnsiTheme="minorHAnsi"/>
          <w:b/>
        </w:rPr>
        <w:t xml:space="preserve">.3.2 </w:t>
      </w:r>
      <w:r w:rsidR="00676A40" w:rsidRPr="008237BF">
        <w:rPr>
          <w:rFonts w:asciiTheme="minorHAnsi" w:hAnsiTheme="minorHAnsi"/>
          <w:b/>
          <w:u w:val="single"/>
        </w:rPr>
        <w:t>Increasing Caesarean Sections</w:t>
      </w:r>
      <w:r w:rsidR="007B43CD" w:rsidRPr="008237BF">
        <w:rPr>
          <w:rFonts w:asciiTheme="minorHAnsi" w:hAnsiTheme="minorHAnsi"/>
          <w:b/>
          <w:u w:val="single"/>
        </w:rPr>
        <w:t>:</w:t>
      </w: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 xml:space="preserve">C-sections continue to increase with about a third women delivering through C section; in the private sector this is as high as three quarters of all deliveries. The rate is considerably higher than the universally accepted percentage, and is perhaps driven at least in some cases by the preference of the doctors and/or the patient. Although some measure of quality is ensured in the public facilities, the quality in the private sector varies widely and is unknown to a large measure.  </w:t>
      </w:r>
    </w:p>
    <w:p w:rsidR="00676A40" w:rsidRPr="00A35FB6" w:rsidRDefault="00676A40" w:rsidP="00676A40">
      <w:pPr>
        <w:pStyle w:val="ListParagraph"/>
        <w:ind w:left="0"/>
        <w:jc w:val="both"/>
        <w:rPr>
          <w:rFonts w:asciiTheme="minorHAnsi" w:hAnsiTheme="minorHAnsi"/>
          <w:b/>
          <w:i/>
        </w:rPr>
      </w:pPr>
    </w:p>
    <w:p w:rsidR="00676A40" w:rsidRPr="008237BF" w:rsidRDefault="00B752DB" w:rsidP="00676A40">
      <w:pPr>
        <w:pStyle w:val="ListParagraph"/>
        <w:ind w:left="0"/>
        <w:jc w:val="both"/>
        <w:rPr>
          <w:rFonts w:asciiTheme="minorHAnsi" w:hAnsiTheme="minorHAnsi"/>
          <w:b/>
        </w:rPr>
      </w:pPr>
      <w:r>
        <w:rPr>
          <w:rFonts w:asciiTheme="minorHAnsi" w:hAnsiTheme="minorHAnsi"/>
          <w:b/>
        </w:rPr>
        <w:t>6</w:t>
      </w:r>
      <w:r w:rsidR="00676A40" w:rsidRPr="008237BF">
        <w:rPr>
          <w:rFonts w:asciiTheme="minorHAnsi" w:hAnsiTheme="minorHAnsi"/>
          <w:b/>
        </w:rPr>
        <w:t xml:space="preserve">.3.3 </w:t>
      </w:r>
      <w:r w:rsidR="00676A40" w:rsidRPr="008237BF">
        <w:rPr>
          <w:rFonts w:asciiTheme="minorHAnsi" w:hAnsiTheme="minorHAnsi"/>
          <w:b/>
          <w:u w:val="single"/>
        </w:rPr>
        <w:t>Availability of 24/7 delivery care</w:t>
      </w:r>
      <w:r w:rsidR="007B43CD" w:rsidRPr="008237BF">
        <w:rPr>
          <w:rFonts w:asciiTheme="minorHAnsi" w:hAnsiTheme="minorHAnsi"/>
          <w:b/>
          <w:u w:val="single"/>
        </w:rPr>
        <w:t>:</w:t>
      </w: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 xml:space="preserve">There has been little progress in this area, mainly due to lack of skilled provider(s) in the facilities. Innovative ways of temporarily hiring such providers in the absence of a regular posted one has been mentioned as a strategy in the PIP document, but is yet to be tried. Most facilities seem to close after 2.00pm, except some tertiary level ones, driving women either to the private sector. </w:t>
      </w:r>
    </w:p>
    <w:p w:rsidR="00676A40" w:rsidRPr="00A35FB6" w:rsidRDefault="00676A40" w:rsidP="00676A40">
      <w:pPr>
        <w:pStyle w:val="ListParagraph"/>
        <w:ind w:left="0"/>
        <w:jc w:val="both"/>
        <w:rPr>
          <w:rFonts w:asciiTheme="minorHAnsi" w:hAnsiTheme="minorHAnsi"/>
        </w:rPr>
      </w:pPr>
    </w:p>
    <w:p w:rsidR="00676A40" w:rsidRPr="008237BF" w:rsidRDefault="00B752DB" w:rsidP="00676A40">
      <w:pPr>
        <w:pStyle w:val="ListParagraph"/>
        <w:ind w:left="0"/>
        <w:jc w:val="both"/>
        <w:rPr>
          <w:rFonts w:asciiTheme="minorHAnsi" w:hAnsiTheme="minorHAnsi"/>
          <w:b/>
        </w:rPr>
      </w:pPr>
      <w:r>
        <w:rPr>
          <w:rFonts w:asciiTheme="minorHAnsi" w:hAnsiTheme="minorHAnsi"/>
          <w:b/>
        </w:rPr>
        <w:t>6</w:t>
      </w:r>
      <w:r w:rsidR="00676A40" w:rsidRPr="008237BF">
        <w:rPr>
          <w:rFonts w:asciiTheme="minorHAnsi" w:hAnsiTheme="minorHAnsi"/>
          <w:b/>
        </w:rPr>
        <w:t xml:space="preserve">.3.4 </w:t>
      </w:r>
      <w:r w:rsidR="00676A40" w:rsidRPr="008237BF">
        <w:rPr>
          <w:rFonts w:asciiTheme="minorHAnsi" w:hAnsiTheme="minorHAnsi"/>
          <w:b/>
          <w:u w:val="single"/>
        </w:rPr>
        <w:t>Quality of care in private sector</w:t>
      </w:r>
      <w:r w:rsidR="007B43CD" w:rsidRPr="008237BF">
        <w:rPr>
          <w:rFonts w:asciiTheme="minorHAnsi" w:hAnsiTheme="minorHAnsi"/>
          <w:b/>
          <w:u w:val="single"/>
        </w:rPr>
        <w:t>:</w:t>
      </w:r>
    </w:p>
    <w:p w:rsidR="00676A40" w:rsidRPr="00A35FB6" w:rsidRDefault="00676A40" w:rsidP="00676A40">
      <w:pPr>
        <w:pStyle w:val="ListParagraph"/>
        <w:ind w:left="0"/>
        <w:jc w:val="both"/>
        <w:rPr>
          <w:rFonts w:asciiTheme="minorHAnsi" w:hAnsiTheme="minorHAnsi"/>
        </w:rPr>
      </w:pPr>
      <w:r w:rsidRPr="00A35FB6">
        <w:rPr>
          <w:rFonts w:asciiTheme="minorHAnsi" w:hAnsiTheme="minorHAnsi"/>
        </w:rPr>
        <w:t xml:space="preserve">The largest section of facility deliveries take place in the private sector; and the share of this sector </w:t>
      </w:r>
      <w:proofErr w:type="gramStart"/>
      <w:r w:rsidRPr="00A35FB6">
        <w:rPr>
          <w:rFonts w:asciiTheme="minorHAnsi" w:hAnsiTheme="minorHAnsi"/>
        </w:rPr>
        <w:t>is</w:t>
      </w:r>
      <w:proofErr w:type="gramEnd"/>
      <w:r w:rsidRPr="00A35FB6">
        <w:rPr>
          <w:rFonts w:asciiTheme="minorHAnsi" w:hAnsiTheme="minorHAnsi"/>
        </w:rPr>
        <w:t xml:space="preserve"> increasing faster than the public sector with many of the public providers working in the private. Yet, it is known that facilities within private sector differ widely in the standards of care and the fees charged. In the absence of a strong regulatory framework, the risks of women receiving wrong or poor quality services and being financially exploited are high.</w:t>
      </w:r>
    </w:p>
    <w:p w:rsidR="00676A40" w:rsidRPr="00A35FB6" w:rsidRDefault="00676A40" w:rsidP="00676A40">
      <w:pPr>
        <w:pStyle w:val="ListParagraph"/>
        <w:ind w:left="0"/>
        <w:jc w:val="both"/>
        <w:rPr>
          <w:rFonts w:asciiTheme="minorHAnsi" w:hAnsiTheme="minorHAnsi"/>
        </w:rPr>
      </w:pPr>
    </w:p>
    <w:p w:rsidR="00676A40" w:rsidRPr="008237BF" w:rsidRDefault="00B752DB" w:rsidP="00676A40">
      <w:pPr>
        <w:pStyle w:val="ListParagraph"/>
        <w:ind w:left="0"/>
        <w:jc w:val="both"/>
        <w:rPr>
          <w:rFonts w:asciiTheme="minorHAnsi" w:hAnsiTheme="minorHAnsi"/>
          <w:b/>
          <w:i/>
        </w:rPr>
      </w:pPr>
      <w:r>
        <w:rPr>
          <w:rFonts w:asciiTheme="minorHAnsi" w:hAnsiTheme="minorHAnsi"/>
          <w:b/>
        </w:rPr>
        <w:t>6</w:t>
      </w:r>
      <w:r w:rsidR="00676A40" w:rsidRPr="008237BF">
        <w:rPr>
          <w:rFonts w:asciiTheme="minorHAnsi" w:hAnsiTheme="minorHAnsi"/>
          <w:b/>
        </w:rPr>
        <w:t xml:space="preserve">.3.5 </w:t>
      </w:r>
      <w:r w:rsidR="00676A40" w:rsidRPr="008237BF">
        <w:rPr>
          <w:rFonts w:asciiTheme="minorHAnsi" w:hAnsiTheme="minorHAnsi"/>
          <w:b/>
          <w:u w:val="single"/>
        </w:rPr>
        <w:t>Maintaining emphasis on reproductive health</w:t>
      </w:r>
      <w:r w:rsidR="007B43CD" w:rsidRPr="008237BF">
        <w:rPr>
          <w:rFonts w:asciiTheme="minorHAnsi" w:hAnsiTheme="minorHAnsi"/>
          <w:b/>
          <w:u w:val="single"/>
        </w:rPr>
        <w:t>:</w:t>
      </w:r>
    </w:p>
    <w:p w:rsidR="00676A40" w:rsidRDefault="00676A40" w:rsidP="00676A40">
      <w:pPr>
        <w:pStyle w:val="ListParagraph"/>
        <w:ind w:left="0"/>
        <w:jc w:val="both"/>
        <w:rPr>
          <w:rFonts w:asciiTheme="minorHAnsi" w:hAnsiTheme="minorHAnsi"/>
        </w:rPr>
      </w:pPr>
      <w:r w:rsidRPr="00A35FB6">
        <w:rPr>
          <w:rFonts w:asciiTheme="minorHAnsi" w:hAnsiTheme="minorHAnsi"/>
        </w:rPr>
        <w:t>The PIP document has relatively less focus on reproductive health services, as none of the indicators relate to this important component of RMNCAH.  The reproductive health scenario is changing rapidly with a countrywide decrease in the number of MR services (especially at the union level where MR services decreased precipitously.) There has been a concomitant increase in induced abortions, possibly as a result of introduction of MRM. Complications such as haemorrhage and incomplete abortions are on the rise (</w:t>
      </w:r>
      <w:proofErr w:type="spellStart"/>
      <w:r w:rsidRPr="00A35FB6">
        <w:rPr>
          <w:rFonts w:asciiTheme="minorHAnsi" w:hAnsiTheme="minorHAnsi"/>
        </w:rPr>
        <w:t>Hossain</w:t>
      </w:r>
      <w:proofErr w:type="spellEnd"/>
      <w:r w:rsidRPr="00A35FB6">
        <w:rPr>
          <w:rFonts w:asciiTheme="minorHAnsi" w:hAnsiTheme="minorHAnsi"/>
        </w:rPr>
        <w:t xml:space="preserve"> A et al, </w:t>
      </w:r>
      <w:proofErr w:type="spellStart"/>
      <w:r w:rsidRPr="00A35FB6">
        <w:rPr>
          <w:rFonts w:asciiTheme="minorHAnsi" w:hAnsiTheme="minorHAnsi"/>
        </w:rPr>
        <w:t>Guttmacher</w:t>
      </w:r>
      <w:proofErr w:type="spellEnd"/>
      <w:r w:rsidRPr="00A35FB6">
        <w:rPr>
          <w:rFonts w:asciiTheme="minorHAnsi" w:hAnsiTheme="minorHAnsi"/>
        </w:rPr>
        <w:t xml:space="preserve"> Institute 2017). Cervical cancer and breast cancer incidence continue to increase, and while cervical cancer </w:t>
      </w:r>
      <w:proofErr w:type="gramStart"/>
      <w:r w:rsidRPr="00A35FB6">
        <w:rPr>
          <w:rFonts w:asciiTheme="minorHAnsi" w:hAnsiTheme="minorHAnsi"/>
        </w:rPr>
        <w:t>screening  and</w:t>
      </w:r>
      <w:proofErr w:type="gramEnd"/>
      <w:r w:rsidRPr="00A35FB6">
        <w:rPr>
          <w:rFonts w:asciiTheme="minorHAnsi" w:hAnsiTheme="minorHAnsi"/>
        </w:rPr>
        <w:t xml:space="preserve"> referral is being scaled up, more needs to be done to scale up  breast cancer screening and referrals and capacity to manage these morbidities. </w:t>
      </w:r>
      <w:r w:rsidRPr="00A35FB6">
        <w:rPr>
          <w:rFonts w:asciiTheme="minorHAnsi" w:hAnsiTheme="minorHAnsi"/>
        </w:rPr>
        <w:lastRenderedPageBreak/>
        <w:t xml:space="preserve">STIs have been an issue neglected for the last decade or so. The country now needs to move from </w:t>
      </w:r>
      <w:proofErr w:type="spellStart"/>
      <w:r w:rsidRPr="00A35FB6">
        <w:rPr>
          <w:rFonts w:asciiTheme="minorHAnsi" w:hAnsiTheme="minorHAnsi"/>
        </w:rPr>
        <w:t>syndromic</w:t>
      </w:r>
      <w:proofErr w:type="spellEnd"/>
      <w:r w:rsidRPr="00A35FB6">
        <w:rPr>
          <w:rFonts w:asciiTheme="minorHAnsi" w:hAnsiTheme="minorHAnsi"/>
        </w:rPr>
        <w:t xml:space="preserve"> to </w:t>
      </w:r>
      <w:proofErr w:type="spellStart"/>
      <w:r w:rsidRPr="00A35FB6">
        <w:rPr>
          <w:rFonts w:asciiTheme="minorHAnsi" w:hAnsiTheme="minorHAnsi"/>
        </w:rPr>
        <w:t>aetiologic</w:t>
      </w:r>
      <w:proofErr w:type="spellEnd"/>
      <w:r w:rsidRPr="00A35FB6">
        <w:rPr>
          <w:rFonts w:asciiTheme="minorHAnsi" w:hAnsiTheme="minorHAnsi"/>
        </w:rPr>
        <w:t xml:space="preserve"> diagnoses of STIs and a surveillance mechanism needs to be put in place. </w:t>
      </w:r>
    </w:p>
    <w:p w:rsidR="00E938A3" w:rsidRPr="00A35FB6" w:rsidRDefault="00E938A3" w:rsidP="00676A40">
      <w:pPr>
        <w:pStyle w:val="ListParagraph"/>
        <w:ind w:left="0"/>
        <w:jc w:val="both"/>
        <w:rPr>
          <w:rFonts w:asciiTheme="minorHAnsi" w:hAnsiTheme="minorHAnsi"/>
        </w:rPr>
      </w:pPr>
    </w:p>
    <w:p w:rsidR="00676A40" w:rsidRPr="002D62C4" w:rsidRDefault="00676A40" w:rsidP="002D62C4">
      <w:pPr>
        <w:pStyle w:val="ListParagraph"/>
        <w:numPr>
          <w:ilvl w:val="0"/>
          <w:numId w:val="2"/>
        </w:numPr>
        <w:ind w:left="360"/>
        <w:jc w:val="both"/>
        <w:rPr>
          <w:rFonts w:asciiTheme="minorHAnsi" w:hAnsiTheme="minorHAnsi"/>
          <w:b/>
        </w:rPr>
      </w:pPr>
      <w:r w:rsidRPr="002D62C4">
        <w:rPr>
          <w:rFonts w:asciiTheme="minorHAnsi" w:hAnsiTheme="minorHAnsi"/>
          <w:b/>
        </w:rPr>
        <w:t>Recommendations</w:t>
      </w:r>
    </w:p>
    <w:p w:rsidR="00676A40" w:rsidRPr="00A35FB6" w:rsidRDefault="00676A40" w:rsidP="00676A40">
      <w:pPr>
        <w:pStyle w:val="ListParagraph"/>
        <w:tabs>
          <w:tab w:val="left" w:pos="0"/>
        </w:tabs>
        <w:ind w:left="0"/>
        <w:jc w:val="both"/>
        <w:rPr>
          <w:rFonts w:asciiTheme="minorHAnsi" w:hAnsiTheme="minorHAnsi"/>
          <w:b/>
        </w:rPr>
      </w:pPr>
      <w:r w:rsidRPr="00A35FB6">
        <w:rPr>
          <w:rFonts w:asciiTheme="minorHAnsi" w:hAnsiTheme="minorHAnsi"/>
        </w:rPr>
        <w:t xml:space="preserve">The recommendations </w:t>
      </w:r>
      <w:r w:rsidR="00C00523">
        <w:rPr>
          <w:rFonts w:asciiTheme="minorHAnsi" w:hAnsiTheme="minorHAnsi"/>
        </w:rPr>
        <w:t>have been deve</w:t>
      </w:r>
      <w:r w:rsidRPr="00A35FB6">
        <w:rPr>
          <w:rFonts w:asciiTheme="minorHAnsi" w:hAnsiTheme="minorHAnsi"/>
        </w:rPr>
        <w:t>loped on the</w:t>
      </w:r>
      <w:r w:rsidR="002D62C4">
        <w:rPr>
          <w:rFonts w:asciiTheme="minorHAnsi" w:hAnsiTheme="minorHAnsi"/>
        </w:rPr>
        <w:t xml:space="preserve"> basis of c</w:t>
      </w:r>
      <w:r w:rsidRPr="00A35FB6">
        <w:rPr>
          <w:rFonts w:asciiTheme="minorHAnsi" w:hAnsiTheme="minorHAnsi"/>
        </w:rPr>
        <w:t xml:space="preserve">hallenges mentioned in Section </w:t>
      </w:r>
      <w:r w:rsidR="00BF631C">
        <w:rPr>
          <w:rFonts w:asciiTheme="minorHAnsi" w:hAnsiTheme="minorHAnsi"/>
        </w:rPr>
        <w:t>6</w:t>
      </w:r>
      <w:r w:rsidRPr="00A35FB6">
        <w:rPr>
          <w:rFonts w:asciiTheme="minorHAnsi" w:hAnsiTheme="minorHAnsi"/>
        </w:rPr>
        <w:t>. These have been categorised into t</w:t>
      </w:r>
      <w:r w:rsidR="00C00523">
        <w:rPr>
          <w:rFonts w:asciiTheme="minorHAnsi" w:hAnsiTheme="minorHAnsi"/>
        </w:rPr>
        <w:t>wo</w:t>
      </w:r>
      <w:r w:rsidRPr="00A35FB6">
        <w:rPr>
          <w:rFonts w:asciiTheme="minorHAnsi" w:hAnsiTheme="minorHAnsi"/>
        </w:rPr>
        <w:t xml:space="preserve"> categories</w:t>
      </w:r>
      <w:r w:rsidR="00C00523">
        <w:rPr>
          <w:rFonts w:asciiTheme="minorHAnsi" w:hAnsiTheme="minorHAnsi"/>
        </w:rPr>
        <w:t xml:space="preserve">- immediate and long term </w:t>
      </w:r>
      <w:r w:rsidRPr="00A35FB6">
        <w:rPr>
          <w:rFonts w:asciiTheme="minorHAnsi" w:hAnsiTheme="minorHAnsi"/>
        </w:rPr>
        <w:t>based</w:t>
      </w:r>
      <w:r w:rsidR="00BF631C">
        <w:rPr>
          <w:rFonts w:asciiTheme="minorHAnsi" w:hAnsiTheme="minorHAnsi"/>
        </w:rPr>
        <w:t>.</w:t>
      </w:r>
      <w:r w:rsidRPr="00A35FB6">
        <w:rPr>
          <w:rFonts w:asciiTheme="minorHAnsi" w:hAnsiTheme="minorHAnsi"/>
        </w:rPr>
        <w:t xml:space="preserve"> The first group of recommendations need immediate attention and are critical to ensure smooth implementation and achievement of results</w:t>
      </w:r>
      <w:proofErr w:type="gramStart"/>
      <w:r w:rsidR="00BF631C">
        <w:rPr>
          <w:rFonts w:asciiTheme="minorHAnsi" w:hAnsiTheme="minorHAnsi"/>
        </w:rPr>
        <w:t>.</w:t>
      </w:r>
      <w:r w:rsidRPr="00A35FB6">
        <w:rPr>
          <w:rFonts w:asciiTheme="minorHAnsi" w:hAnsiTheme="minorHAnsi"/>
        </w:rPr>
        <w:t>.</w:t>
      </w:r>
      <w:proofErr w:type="gramEnd"/>
      <w:r w:rsidRPr="00A35FB6">
        <w:rPr>
          <w:rFonts w:asciiTheme="minorHAnsi" w:hAnsiTheme="minorHAnsi"/>
        </w:rPr>
        <w:t xml:space="preserve"> The second group are those which </w:t>
      </w:r>
      <w:r w:rsidR="00BF631C">
        <w:rPr>
          <w:rFonts w:asciiTheme="minorHAnsi" w:hAnsiTheme="minorHAnsi"/>
        </w:rPr>
        <w:t>would</w:t>
      </w:r>
      <w:r w:rsidRPr="00A35FB6">
        <w:rPr>
          <w:rFonts w:asciiTheme="minorHAnsi" w:hAnsiTheme="minorHAnsi"/>
        </w:rPr>
        <w:t xml:space="preserve"> take some time to design and implement; they will support to improve the quality of delivery of results </w:t>
      </w:r>
      <w:proofErr w:type="gramStart"/>
      <w:r w:rsidRPr="00A35FB6">
        <w:rPr>
          <w:rFonts w:asciiTheme="minorHAnsi" w:hAnsiTheme="minorHAnsi"/>
        </w:rPr>
        <w:t>and  may</w:t>
      </w:r>
      <w:proofErr w:type="gramEnd"/>
      <w:r w:rsidRPr="00A35FB6">
        <w:rPr>
          <w:rFonts w:asciiTheme="minorHAnsi" w:hAnsiTheme="minorHAnsi"/>
        </w:rPr>
        <w:t xml:space="preserve"> require work beyond HPNSP period.</w:t>
      </w:r>
    </w:p>
    <w:p w:rsidR="00676A40" w:rsidRPr="00A35FB6" w:rsidRDefault="00676A40" w:rsidP="00676A40">
      <w:pPr>
        <w:pStyle w:val="ListParagraph"/>
        <w:tabs>
          <w:tab w:val="left" w:pos="0"/>
        </w:tabs>
        <w:ind w:left="0"/>
        <w:jc w:val="both"/>
        <w:rPr>
          <w:rFonts w:asciiTheme="minorHAnsi" w:hAnsiTheme="minorHAnsi"/>
          <w:b/>
        </w:rPr>
      </w:pPr>
    </w:p>
    <w:p w:rsidR="00676A40" w:rsidRPr="00A35FB6" w:rsidRDefault="00676A40" w:rsidP="00130730">
      <w:pPr>
        <w:pStyle w:val="ListParagraph"/>
        <w:numPr>
          <w:ilvl w:val="0"/>
          <w:numId w:val="7"/>
        </w:numPr>
        <w:tabs>
          <w:tab w:val="left" w:pos="0"/>
        </w:tabs>
        <w:ind w:left="360"/>
        <w:jc w:val="both"/>
        <w:rPr>
          <w:rFonts w:asciiTheme="minorHAnsi" w:hAnsiTheme="minorHAnsi"/>
          <w:b/>
        </w:rPr>
      </w:pPr>
      <w:r w:rsidRPr="00A35FB6">
        <w:rPr>
          <w:rFonts w:asciiTheme="minorHAnsi" w:hAnsiTheme="minorHAnsi"/>
          <w:b/>
        </w:rPr>
        <w:t>Immediate Priority</w:t>
      </w:r>
    </w:p>
    <w:tbl>
      <w:tblPr>
        <w:tblW w:w="0" w:type="auto"/>
        <w:tblInd w:w="108" w:type="dxa"/>
        <w:shd w:val="clear" w:color="auto" w:fill="FFFFFF"/>
        <w:tblCellMar>
          <w:left w:w="0" w:type="dxa"/>
          <w:right w:w="0" w:type="dxa"/>
        </w:tblCellMar>
        <w:tblLook w:val="04A0" w:firstRow="1" w:lastRow="0" w:firstColumn="1" w:lastColumn="0" w:noHBand="0" w:noVBand="1"/>
      </w:tblPr>
      <w:tblGrid>
        <w:gridCol w:w="4111"/>
        <w:gridCol w:w="851"/>
        <w:gridCol w:w="4398"/>
      </w:tblGrid>
      <w:tr w:rsidR="00676A40" w:rsidRPr="00A35FB6" w:rsidTr="008237BF">
        <w:tc>
          <w:tcPr>
            <w:tcW w:w="9360" w:type="dxa"/>
            <w:gridSpan w:val="3"/>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130730">
            <w:pPr>
              <w:pStyle w:val="ListParagraph"/>
              <w:numPr>
                <w:ilvl w:val="0"/>
                <w:numId w:val="8"/>
              </w:numPr>
              <w:spacing w:after="0" w:line="240" w:lineRule="auto"/>
              <w:ind w:left="702"/>
              <w:jc w:val="both"/>
              <w:rPr>
                <w:rFonts w:asciiTheme="minorHAnsi" w:eastAsia="Times New Roman" w:hAnsiTheme="minorHAnsi" w:cs="Arial"/>
                <w:b/>
                <w:i/>
                <w:color w:val="222222"/>
                <w:lang w:val="en-US"/>
              </w:rPr>
            </w:pPr>
            <w:r w:rsidRPr="00A35FB6">
              <w:rPr>
                <w:rFonts w:asciiTheme="minorHAnsi" w:eastAsia="Times New Roman" w:hAnsiTheme="minorHAnsi" w:cs="Arial"/>
                <w:b/>
                <w:i/>
                <w:color w:val="222222"/>
                <w:lang w:val="en-US"/>
              </w:rPr>
              <w:t>Revise OPs</w:t>
            </w:r>
            <w:r w:rsidR="00233689">
              <w:rPr>
                <w:rFonts w:asciiTheme="minorHAnsi" w:eastAsia="Times New Roman" w:hAnsiTheme="minorHAnsi" w:cs="Arial"/>
                <w:b/>
                <w:i/>
                <w:color w:val="222222"/>
                <w:lang w:val="en-US"/>
              </w:rPr>
              <w:t>; identify coordination mechanisms for linked OPs</w:t>
            </w:r>
          </w:p>
        </w:tc>
      </w:tr>
      <w:tr w:rsidR="00676A40" w:rsidRPr="00A35FB6" w:rsidTr="008237BF">
        <w:tc>
          <w:tcPr>
            <w:tcW w:w="496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OP:  MNCAH, MRCAH, NMES, CBHC, HSM with MOHFW</w:t>
            </w:r>
          </w:p>
        </w:tc>
        <w:tc>
          <w:tcPr>
            <w:tcW w:w="43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 xml:space="preserve">Responsibility: </w:t>
            </w:r>
            <w:r w:rsidR="00BF631C">
              <w:rPr>
                <w:rFonts w:asciiTheme="minorHAnsi" w:eastAsia="Times New Roman" w:hAnsiTheme="minorHAnsi" w:cs="Arial"/>
                <w:color w:val="222222"/>
                <w:lang w:val="en-US"/>
              </w:rPr>
              <w:t xml:space="preserve"> LD </w:t>
            </w:r>
            <w:r w:rsidRPr="00A35FB6">
              <w:rPr>
                <w:rFonts w:asciiTheme="minorHAnsi" w:eastAsia="Times New Roman" w:hAnsiTheme="minorHAnsi" w:cs="Arial"/>
                <w:color w:val="222222"/>
                <w:lang w:val="en-US"/>
              </w:rPr>
              <w:t>SWMMP with respective OP team</w:t>
            </w:r>
          </w:p>
        </w:tc>
      </w:tr>
      <w:tr w:rsidR="00676A40" w:rsidRPr="00A35FB6" w:rsidTr="008237BF">
        <w:tc>
          <w:tcPr>
            <w:tcW w:w="496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Timeline: Now-Sep 2019</w:t>
            </w:r>
          </w:p>
        </w:tc>
        <w:tc>
          <w:tcPr>
            <w:tcW w:w="43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PAP Recommendation:    Yes</w:t>
            </w:r>
          </w:p>
        </w:tc>
      </w:tr>
      <w:tr w:rsidR="00676A40" w:rsidRPr="00A35FB6" w:rsidTr="008237BF">
        <w:tc>
          <w:tcPr>
            <w:tcW w:w="936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The problems with the current OPs are mentioned in Section 5.1. In that context, it is necessary to:</w:t>
            </w:r>
          </w:p>
          <w:p w:rsidR="00676A40" w:rsidRPr="00A35FB6" w:rsidRDefault="00676A40" w:rsidP="00D96CA9">
            <w:pPr>
              <w:pStyle w:val="ListParagraph"/>
              <w:numPr>
                <w:ilvl w:val="0"/>
                <w:numId w:val="9"/>
              </w:numPr>
              <w:spacing w:after="0" w:line="240" w:lineRule="auto"/>
              <w:ind w:left="342" w:hanging="342"/>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 xml:space="preserve">Review indicators to make them more specific, reflecting the activities and objectives to be achieved, with clear data sources and means of verification. </w:t>
            </w:r>
          </w:p>
          <w:p w:rsidR="00676A40" w:rsidRPr="00A35FB6" w:rsidRDefault="00676A40" w:rsidP="00D96CA9">
            <w:pPr>
              <w:pStyle w:val="ListParagraph"/>
              <w:numPr>
                <w:ilvl w:val="0"/>
                <w:numId w:val="9"/>
              </w:numPr>
              <w:spacing w:after="0" w:line="240" w:lineRule="auto"/>
              <w:ind w:left="342" w:hanging="342"/>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 xml:space="preserve">Ensure that all activities and initiatives are reflected in budget. </w:t>
            </w:r>
          </w:p>
          <w:p w:rsidR="00676A40" w:rsidRPr="00A35FB6" w:rsidRDefault="00676A40" w:rsidP="00233689">
            <w:pPr>
              <w:pStyle w:val="ListParagraph"/>
              <w:numPr>
                <w:ilvl w:val="0"/>
                <w:numId w:val="9"/>
              </w:numPr>
              <w:spacing w:after="0" w:line="240" w:lineRule="auto"/>
              <w:ind w:left="342" w:hanging="342"/>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Develop consolidated activity plans with budgets for those activities which cut across two or more OPs (e.g. implementation of National Maternal</w:t>
            </w:r>
            <w:r w:rsidR="00233689">
              <w:rPr>
                <w:rFonts w:asciiTheme="minorHAnsi" w:eastAsia="Times New Roman" w:hAnsiTheme="minorHAnsi" w:cs="Arial"/>
                <w:color w:val="222222"/>
                <w:lang w:val="en-US"/>
              </w:rPr>
              <w:t xml:space="preserve"> Health Strategy) and identify</w:t>
            </w:r>
            <w:r w:rsidRPr="00A35FB6">
              <w:rPr>
                <w:rFonts w:asciiTheme="minorHAnsi" w:eastAsia="Times New Roman" w:hAnsiTheme="minorHAnsi" w:cs="Arial"/>
                <w:color w:val="222222"/>
                <w:lang w:val="en-US"/>
              </w:rPr>
              <w:t xml:space="preserve"> linked activities across relevant OPs and put in place coordination mechanisms.</w:t>
            </w:r>
          </w:p>
        </w:tc>
      </w:tr>
      <w:tr w:rsidR="00676A40" w:rsidRPr="00A35FB6" w:rsidTr="008237BF">
        <w:tc>
          <w:tcPr>
            <w:tcW w:w="936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s="Arial"/>
                <w:color w:val="222222"/>
                <w:lang w:val="en-US"/>
              </w:rPr>
            </w:pPr>
          </w:p>
        </w:tc>
      </w:tr>
      <w:tr w:rsidR="00676A40" w:rsidRPr="00A35FB6" w:rsidTr="008237BF">
        <w:tc>
          <w:tcPr>
            <w:tcW w:w="936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s="Arial"/>
                <w:color w:val="222222"/>
                <w:szCs w:val="24"/>
                <w:lang w:val="en-US"/>
              </w:rPr>
            </w:pPr>
          </w:p>
        </w:tc>
      </w:tr>
      <w:tr w:rsidR="00676A40" w:rsidRPr="00A35FB6" w:rsidTr="008237BF">
        <w:tc>
          <w:tcPr>
            <w:tcW w:w="936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BF631C" w:rsidP="00D96CA9">
            <w:pPr>
              <w:pStyle w:val="ListParagraph"/>
              <w:numPr>
                <w:ilvl w:val="0"/>
                <w:numId w:val="8"/>
              </w:numPr>
              <w:spacing w:after="0" w:line="240" w:lineRule="auto"/>
              <w:ind w:left="702" w:hanging="702"/>
              <w:jc w:val="both"/>
              <w:rPr>
                <w:rFonts w:asciiTheme="minorHAnsi" w:eastAsia="Times New Roman" w:hAnsiTheme="minorHAnsi" w:cs="Arial"/>
                <w:b/>
                <w:i/>
                <w:color w:val="222222"/>
                <w:lang w:val="en-US"/>
              </w:rPr>
            </w:pPr>
            <w:r>
              <w:rPr>
                <w:rFonts w:asciiTheme="minorHAnsi" w:eastAsia="Times New Roman" w:hAnsiTheme="minorHAnsi" w:cs="Arial"/>
                <w:b/>
                <w:i/>
                <w:color w:val="222222"/>
                <w:lang w:val="en-US"/>
              </w:rPr>
              <w:t>E</w:t>
            </w:r>
            <w:r w:rsidR="00676A40" w:rsidRPr="00A35FB6">
              <w:rPr>
                <w:rFonts w:asciiTheme="minorHAnsi" w:eastAsia="Times New Roman" w:hAnsiTheme="minorHAnsi" w:cs="Arial"/>
                <w:b/>
                <w:i/>
                <w:color w:val="222222"/>
                <w:lang w:val="en-US"/>
              </w:rPr>
              <w:t xml:space="preserve">xpedite implementation of action plan for </w:t>
            </w:r>
            <w:proofErr w:type="spellStart"/>
            <w:r w:rsidR="00676A40" w:rsidRPr="00A35FB6">
              <w:rPr>
                <w:rFonts w:asciiTheme="minorHAnsi" w:eastAsia="Times New Roman" w:hAnsiTheme="minorHAnsi" w:cs="Arial"/>
                <w:b/>
                <w:i/>
                <w:color w:val="222222"/>
                <w:lang w:val="en-US"/>
              </w:rPr>
              <w:t>eclampsia</w:t>
            </w:r>
            <w:proofErr w:type="spellEnd"/>
            <w:r w:rsidR="00676A40" w:rsidRPr="00A35FB6">
              <w:rPr>
                <w:rFonts w:asciiTheme="minorHAnsi" w:eastAsia="Times New Roman" w:hAnsiTheme="minorHAnsi" w:cs="Arial"/>
                <w:b/>
                <w:i/>
                <w:color w:val="222222"/>
                <w:lang w:val="en-US"/>
              </w:rPr>
              <w:t xml:space="preserve"> and PPH </w:t>
            </w:r>
          </w:p>
        </w:tc>
      </w:tr>
      <w:tr w:rsidR="00676A40" w:rsidRPr="00A35FB6" w:rsidTr="008237BF">
        <w:tc>
          <w:tcPr>
            <w:tcW w:w="496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233689">
            <w:pPr>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OP:  MNC</w:t>
            </w:r>
            <w:r w:rsidR="00233689">
              <w:rPr>
                <w:rFonts w:asciiTheme="minorHAnsi" w:eastAsia="Times New Roman" w:hAnsiTheme="minorHAnsi" w:cs="Arial"/>
                <w:color w:val="222222"/>
                <w:lang w:val="en-US"/>
              </w:rPr>
              <w:t xml:space="preserve">AH, MRCAH, NMES, CBHC, HSM </w:t>
            </w:r>
          </w:p>
        </w:tc>
        <w:tc>
          <w:tcPr>
            <w:tcW w:w="43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233689" w:rsidP="00BF631C">
            <w:pPr>
              <w:spacing w:after="0" w:line="240" w:lineRule="auto"/>
              <w:jc w:val="both"/>
              <w:rPr>
                <w:rFonts w:asciiTheme="minorHAnsi" w:eastAsia="Times New Roman" w:hAnsiTheme="minorHAnsi"/>
                <w:color w:val="222222"/>
                <w:lang w:val="en-US"/>
              </w:rPr>
            </w:pPr>
            <w:r>
              <w:rPr>
                <w:rFonts w:asciiTheme="minorHAnsi" w:eastAsia="Times New Roman" w:hAnsiTheme="minorHAnsi" w:cs="Arial"/>
                <w:color w:val="222222"/>
                <w:lang w:val="en-US"/>
              </w:rPr>
              <w:t xml:space="preserve">Responsibility: </w:t>
            </w:r>
            <w:r w:rsidR="00BF631C">
              <w:rPr>
                <w:rFonts w:asciiTheme="minorHAnsi" w:eastAsia="Times New Roman" w:hAnsiTheme="minorHAnsi" w:cs="Arial"/>
                <w:color w:val="222222"/>
                <w:lang w:val="en-US"/>
              </w:rPr>
              <w:t>LD MNCAH, working together with LD MCRAH</w:t>
            </w:r>
          </w:p>
        </w:tc>
      </w:tr>
      <w:tr w:rsidR="00676A40" w:rsidRPr="00A35FB6" w:rsidTr="008237BF">
        <w:tc>
          <w:tcPr>
            <w:tcW w:w="496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olor w:val="222222"/>
                <w:lang w:val="en-US"/>
              </w:rPr>
            </w:pPr>
            <w:r w:rsidRPr="00A35FB6">
              <w:rPr>
                <w:rFonts w:asciiTheme="minorHAnsi" w:eastAsia="Times New Roman" w:hAnsiTheme="minorHAnsi" w:cs="Arial"/>
                <w:color w:val="222222"/>
                <w:lang w:val="en-US"/>
              </w:rPr>
              <w:t>Timeline: Now-Jun2021</w:t>
            </w:r>
          </w:p>
        </w:tc>
        <w:tc>
          <w:tcPr>
            <w:tcW w:w="43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olor w:val="222222"/>
                <w:lang w:val="en-US"/>
              </w:rPr>
            </w:pPr>
            <w:r w:rsidRPr="00A35FB6">
              <w:rPr>
                <w:rFonts w:asciiTheme="minorHAnsi" w:eastAsia="Times New Roman" w:hAnsiTheme="minorHAnsi" w:cs="Arial"/>
                <w:color w:val="222222"/>
                <w:lang w:val="en-US"/>
              </w:rPr>
              <w:t>PAP Recommendation:    Yes</w:t>
            </w:r>
          </w:p>
        </w:tc>
      </w:tr>
      <w:tr w:rsidR="00676A40" w:rsidRPr="00A35FB6" w:rsidTr="008237BF">
        <w:tc>
          <w:tcPr>
            <w:tcW w:w="936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olor w:val="222222"/>
                <w:lang w:val="en-US"/>
              </w:rPr>
            </w:pPr>
            <w:r w:rsidRPr="00A35FB6">
              <w:rPr>
                <w:rFonts w:asciiTheme="minorHAnsi" w:eastAsia="Times New Roman" w:hAnsiTheme="minorHAnsi" w:cs="Arial"/>
                <w:color w:val="222222"/>
                <w:lang w:val="en-US"/>
              </w:rPr>
              <w:t>Since maternal mortality ratio has stalled in the recent years, and since the two major causes remain unchanged, targeted action to prevent and trea</w:t>
            </w:r>
            <w:r w:rsidR="00233689">
              <w:rPr>
                <w:rFonts w:asciiTheme="minorHAnsi" w:eastAsia="Times New Roman" w:hAnsiTheme="minorHAnsi" w:cs="Arial"/>
                <w:color w:val="222222"/>
                <w:lang w:val="en-US"/>
              </w:rPr>
              <w:t>t</w:t>
            </w:r>
            <w:r w:rsidRPr="00A35FB6">
              <w:rPr>
                <w:rFonts w:asciiTheme="minorHAnsi" w:eastAsia="Times New Roman" w:hAnsiTheme="minorHAnsi" w:cs="Arial"/>
                <w:color w:val="222222"/>
                <w:lang w:val="en-US"/>
              </w:rPr>
              <w:t xml:space="preserve"> these conditions is required. </w:t>
            </w:r>
            <w:r w:rsidR="00BF631C">
              <w:rPr>
                <w:rFonts w:asciiTheme="minorHAnsi" w:eastAsia="Times New Roman" w:hAnsiTheme="minorHAnsi" w:cs="Arial"/>
                <w:color w:val="222222"/>
                <w:lang w:val="en-US"/>
              </w:rPr>
              <w:t>The PPH-</w:t>
            </w:r>
            <w:r w:rsidR="00233689">
              <w:rPr>
                <w:rFonts w:asciiTheme="minorHAnsi" w:eastAsia="Times New Roman" w:hAnsiTheme="minorHAnsi" w:cs="Arial"/>
                <w:color w:val="222222"/>
                <w:lang w:val="en-US"/>
              </w:rPr>
              <w:t xml:space="preserve"> </w:t>
            </w:r>
            <w:proofErr w:type="spellStart"/>
            <w:r w:rsidR="00233689">
              <w:rPr>
                <w:rFonts w:asciiTheme="minorHAnsi" w:eastAsia="Times New Roman" w:hAnsiTheme="minorHAnsi" w:cs="Arial"/>
                <w:color w:val="222222"/>
                <w:lang w:val="en-US"/>
              </w:rPr>
              <w:t>Eclampsia</w:t>
            </w:r>
            <w:proofErr w:type="spellEnd"/>
            <w:r w:rsidR="00233689">
              <w:rPr>
                <w:rFonts w:asciiTheme="minorHAnsi" w:eastAsia="Times New Roman" w:hAnsiTheme="minorHAnsi" w:cs="Arial"/>
                <w:color w:val="222222"/>
                <w:lang w:val="en-US"/>
              </w:rPr>
              <w:t xml:space="preserve"> Action Plan</w:t>
            </w:r>
            <w:r w:rsidR="00BF631C">
              <w:rPr>
                <w:rFonts w:asciiTheme="minorHAnsi" w:eastAsia="Times New Roman" w:hAnsiTheme="minorHAnsi" w:cs="Arial"/>
                <w:color w:val="222222"/>
                <w:lang w:val="en-US"/>
              </w:rPr>
              <w:t xml:space="preserve"> has been</w:t>
            </w:r>
            <w:r w:rsidR="00B752DB">
              <w:rPr>
                <w:rFonts w:asciiTheme="minorHAnsi" w:eastAsia="Times New Roman" w:hAnsiTheme="minorHAnsi" w:cs="Arial"/>
                <w:color w:val="222222"/>
                <w:lang w:val="en-US"/>
              </w:rPr>
              <w:t xml:space="preserve"> already</w:t>
            </w:r>
            <w:r w:rsidR="00BF631C">
              <w:rPr>
                <w:rFonts w:asciiTheme="minorHAnsi" w:eastAsia="Times New Roman" w:hAnsiTheme="minorHAnsi" w:cs="Arial"/>
                <w:color w:val="222222"/>
                <w:lang w:val="en-US"/>
              </w:rPr>
              <w:t xml:space="preserve"> developed;</w:t>
            </w:r>
            <w:r w:rsidR="00233689">
              <w:rPr>
                <w:rFonts w:asciiTheme="minorHAnsi" w:eastAsia="Times New Roman" w:hAnsiTheme="minorHAnsi" w:cs="Arial"/>
                <w:color w:val="222222"/>
                <w:lang w:val="en-US"/>
              </w:rPr>
              <w:t xml:space="preserve"> which now needs to be rolled out quickly</w:t>
            </w:r>
            <w:r w:rsidR="00BF631C">
              <w:rPr>
                <w:rFonts w:asciiTheme="minorHAnsi" w:eastAsia="Times New Roman" w:hAnsiTheme="minorHAnsi" w:cs="Arial"/>
                <w:color w:val="222222"/>
                <w:lang w:val="en-US"/>
              </w:rPr>
              <w:t>, along with corresponding logistics, HR and other resources</w:t>
            </w:r>
            <w:r w:rsidR="00233689">
              <w:rPr>
                <w:rFonts w:asciiTheme="minorHAnsi" w:eastAsia="Times New Roman" w:hAnsiTheme="minorHAnsi" w:cs="Arial"/>
                <w:color w:val="222222"/>
                <w:lang w:val="en-US"/>
              </w:rPr>
              <w:t>.</w:t>
            </w:r>
          </w:p>
          <w:p w:rsidR="00676A40" w:rsidRPr="00A35FB6" w:rsidRDefault="00676A40" w:rsidP="00D96CA9">
            <w:pPr>
              <w:spacing w:after="0" w:line="240" w:lineRule="auto"/>
              <w:jc w:val="both"/>
              <w:rPr>
                <w:rFonts w:asciiTheme="minorHAnsi" w:eastAsia="Times New Roman" w:hAnsiTheme="minorHAnsi"/>
                <w:color w:val="222222"/>
                <w:lang w:val="en-US"/>
              </w:rPr>
            </w:pPr>
            <w:r w:rsidRPr="00A35FB6">
              <w:rPr>
                <w:rFonts w:asciiTheme="minorHAnsi" w:eastAsia="Times New Roman" w:hAnsiTheme="minorHAnsi" w:cs="Arial"/>
                <w:color w:val="222222"/>
                <w:lang w:val="en-US"/>
              </w:rPr>
              <w:t> </w:t>
            </w:r>
          </w:p>
        </w:tc>
      </w:tr>
      <w:tr w:rsidR="00676A40" w:rsidRPr="00A35FB6" w:rsidTr="008237BF">
        <w:tc>
          <w:tcPr>
            <w:tcW w:w="936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pStyle w:val="ListParagraph"/>
              <w:numPr>
                <w:ilvl w:val="0"/>
                <w:numId w:val="8"/>
              </w:numPr>
              <w:spacing w:after="0" w:line="240" w:lineRule="auto"/>
              <w:ind w:left="702" w:hanging="702"/>
              <w:jc w:val="both"/>
              <w:rPr>
                <w:rFonts w:asciiTheme="minorHAnsi" w:eastAsia="Times New Roman" w:hAnsiTheme="minorHAnsi" w:cs="Arial"/>
                <w:b/>
                <w:i/>
                <w:color w:val="222222"/>
                <w:lang w:val="en-US"/>
              </w:rPr>
            </w:pPr>
            <w:r w:rsidRPr="00A35FB6">
              <w:rPr>
                <w:rFonts w:asciiTheme="minorHAnsi" w:eastAsia="Times New Roman" w:hAnsiTheme="minorHAnsi" w:cs="Arial"/>
                <w:b/>
                <w:i/>
                <w:color w:val="222222"/>
                <w:lang w:val="en-US"/>
              </w:rPr>
              <w:t>Review the ‘corner’ approach and mainstream services to be provided through ‘corners’</w:t>
            </w:r>
          </w:p>
        </w:tc>
      </w:tr>
      <w:tr w:rsidR="00676A40" w:rsidRPr="00A35FB6" w:rsidTr="008237BF">
        <w:tc>
          <w:tcPr>
            <w:tcW w:w="411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233689" w:rsidP="00233689">
            <w:pPr>
              <w:spacing w:after="0" w:line="240" w:lineRule="auto"/>
              <w:jc w:val="both"/>
              <w:rPr>
                <w:rFonts w:asciiTheme="minorHAnsi" w:eastAsia="Times New Roman" w:hAnsiTheme="minorHAnsi" w:cs="Arial"/>
                <w:color w:val="222222"/>
                <w:lang w:val="en-US"/>
              </w:rPr>
            </w:pPr>
            <w:r>
              <w:rPr>
                <w:rFonts w:asciiTheme="minorHAnsi" w:eastAsia="Times New Roman" w:hAnsiTheme="minorHAnsi" w:cs="Arial"/>
                <w:color w:val="222222"/>
                <w:lang w:val="en-US"/>
              </w:rPr>
              <w:t>OP:  MNCAH, MRCAH,</w:t>
            </w:r>
            <w:r w:rsidR="00676A40" w:rsidRPr="00A35FB6">
              <w:rPr>
                <w:rFonts w:asciiTheme="minorHAnsi" w:eastAsia="Times New Roman" w:hAnsiTheme="minorHAnsi" w:cs="Arial"/>
                <w:color w:val="222222"/>
                <w:lang w:val="en-US"/>
              </w:rPr>
              <w:t xml:space="preserve"> HSM</w:t>
            </w:r>
          </w:p>
        </w:tc>
        <w:tc>
          <w:tcPr>
            <w:tcW w:w="524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233689">
            <w:pPr>
              <w:spacing w:after="0" w:line="240" w:lineRule="auto"/>
              <w:jc w:val="both"/>
              <w:rPr>
                <w:rFonts w:asciiTheme="minorHAnsi" w:eastAsia="Times New Roman" w:hAnsiTheme="minorHAnsi"/>
                <w:color w:val="222222"/>
                <w:lang w:val="en-US"/>
              </w:rPr>
            </w:pPr>
            <w:r w:rsidRPr="00A35FB6">
              <w:rPr>
                <w:rFonts w:asciiTheme="minorHAnsi" w:eastAsia="Times New Roman" w:hAnsiTheme="minorHAnsi" w:cs="Arial"/>
                <w:color w:val="222222"/>
                <w:lang w:val="en-US"/>
              </w:rPr>
              <w:t xml:space="preserve">Responsibility: </w:t>
            </w:r>
            <w:r w:rsidR="00BF631C">
              <w:rPr>
                <w:rFonts w:asciiTheme="minorHAnsi" w:eastAsia="Times New Roman" w:hAnsiTheme="minorHAnsi" w:cs="Arial"/>
                <w:color w:val="222222"/>
                <w:lang w:val="en-US"/>
              </w:rPr>
              <w:t xml:space="preserve">LD </w:t>
            </w:r>
            <w:r w:rsidR="00233689">
              <w:rPr>
                <w:rFonts w:asciiTheme="minorHAnsi" w:eastAsia="Times New Roman" w:hAnsiTheme="minorHAnsi" w:cs="Arial"/>
                <w:color w:val="222222"/>
                <w:lang w:val="en-US"/>
              </w:rPr>
              <w:t xml:space="preserve">MNCAH </w:t>
            </w:r>
            <w:r w:rsidR="00BF631C">
              <w:rPr>
                <w:rFonts w:asciiTheme="minorHAnsi" w:eastAsia="Times New Roman" w:hAnsiTheme="minorHAnsi" w:cs="Arial"/>
                <w:color w:val="222222"/>
                <w:lang w:val="en-US"/>
              </w:rPr>
              <w:t xml:space="preserve">to </w:t>
            </w:r>
            <w:r w:rsidR="00233689">
              <w:rPr>
                <w:rFonts w:asciiTheme="minorHAnsi" w:eastAsia="Times New Roman" w:hAnsiTheme="minorHAnsi" w:cs="Arial"/>
                <w:color w:val="222222"/>
                <w:lang w:val="en-US"/>
              </w:rPr>
              <w:t>lead with a</w:t>
            </w:r>
            <w:r w:rsidRPr="00A35FB6">
              <w:rPr>
                <w:rFonts w:asciiTheme="minorHAnsi" w:eastAsia="Times New Roman" w:hAnsiTheme="minorHAnsi" w:cs="Arial"/>
                <w:color w:val="222222"/>
                <w:lang w:val="en-US"/>
              </w:rPr>
              <w:t xml:space="preserve"> small working group from </w:t>
            </w:r>
            <w:r w:rsidR="00233689">
              <w:rPr>
                <w:rFonts w:asciiTheme="minorHAnsi" w:eastAsia="Times New Roman" w:hAnsiTheme="minorHAnsi" w:cs="Arial"/>
                <w:color w:val="222222"/>
                <w:lang w:val="en-US"/>
              </w:rPr>
              <w:t>related</w:t>
            </w:r>
            <w:r w:rsidRPr="00A35FB6">
              <w:rPr>
                <w:rFonts w:asciiTheme="minorHAnsi" w:eastAsia="Times New Roman" w:hAnsiTheme="minorHAnsi" w:cs="Arial"/>
                <w:color w:val="222222"/>
                <w:lang w:val="en-US"/>
              </w:rPr>
              <w:t xml:space="preserve"> OPs</w:t>
            </w:r>
          </w:p>
        </w:tc>
      </w:tr>
      <w:tr w:rsidR="00676A40" w:rsidRPr="00A35FB6" w:rsidTr="008237BF">
        <w:tc>
          <w:tcPr>
            <w:tcW w:w="411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olor w:val="222222"/>
                <w:lang w:val="en-US"/>
              </w:rPr>
            </w:pPr>
            <w:r w:rsidRPr="00A35FB6">
              <w:rPr>
                <w:rFonts w:asciiTheme="minorHAnsi" w:eastAsia="Times New Roman" w:hAnsiTheme="minorHAnsi" w:cs="Arial"/>
                <w:color w:val="222222"/>
                <w:lang w:val="en-US"/>
              </w:rPr>
              <w:t>Timeline: Now-Dec 2020</w:t>
            </w:r>
          </w:p>
        </w:tc>
        <w:tc>
          <w:tcPr>
            <w:tcW w:w="524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olor w:val="222222"/>
                <w:lang w:val="en-US"/>
              </w:rPr>
            </w:pPr>
            <w:r w:rsidRPr="00A35FB6">
              <w:rPr>
                <w:rFonts w:asciiTheme="minorHAnsi" w:eastAsia="Times New Roman" w:hAnsiTheme="minorHAnsi" w:cs="Arial"/>
                <w:color w:val="222222"/>
                <w:lang w:val="en-US"/>
              </w:rPr>
              <w:t>PAP Recommendation:    Yes</w:t>
            </w:r>
          </w:p>
        </w:tc>
      </w:tr>
      <w:tr w:rsidR="00676A40" w:rsidRPr="00A35FB6" w:rsidTr="008237BF">
        <w:tc>
          <w:tcPr>
            <w:tcW w:w="936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BF631C">
            <w:pPr>
              <w:spacing w:after="0" w:line="240" w:lineRule="auto"/>
              <w:jc w:val="both"/>
              <w:rPr>
                <w:rFonts w:asciiTheme="minorHAnsi" w:eastAsia="Times New Roman" w:hAnsiTheme="minorHAnsi"/>
                <w:color w:val="222222"/>
                <w:lang w:val="en-US"/>
              </w:rPr>
            </w:pPr>
            <w:r w:rsidRPr="00A35FB6">
              <w:rPr>
                <w:rFonts w:asciiTheme="minorHAnsi" w:eastAsia="Times New Roman" w:hAnsiTheme="minorHAnsi" w:cs="Arial"/>
                <w:color w:val="222222"/>
                <w:lang w:val="en-US"/>
              </w:rPr>
              <w:t xml:space="preserve">The constraints of a </w:t>
            </w:r>
            <w:proofErr w:type="spellStart"/>
            <w:r w:rsidRPr="00A35FB6">
              <w:rPr>
                <w:rFonts w:asciiTheme="minorHAnsi" w:eastAsia="Times New Roman" w:hAnsiTheme="minorHAnsi" w:cs="Arial"/>
                <w:color w:val="222222"/>
                <w:lang w:val="en-US"/>
              </w:rPr>
              <w:t>silo’d</w:t>
            </w:r>
            <w:proofErr w:type="spellEnd"/>
            <w:r w:rsidRPr="00A35FB6">
              <w:rPr>
                <w:rFonts w:asciiTheme="minorHAnsi" w:eastAsia="Times New Roman" w:hAnsiTheme="minorHAnsi" w:cs="Arial"/>
                <w:color w:val="222222"/>
                <w:lang w:val="en-US"/>
              </w:rPr>
              <w:t xml:space="preserve"> approach to services has been mentioned in the Challenges section (5.2.3). This approach therefore needs to be revisited and alternate approach whereby services remain in mainstream </w:t>
            </w:r>
            <w:r w:rsidR="00BF631C">
              <w:rPr>
                <w:rFonts w:asciiTheme="minorHAnsi" w:eastAsia="Times New Roman" w:hAnsiTheme="minorHAnsi" w:cs="Arial"/>
                <w:color w:val="222222"/>
                <w:lang w:val="en-US"/>
              </w:rPr>
              <w:t xml:space="preserve">and also </w:t>
            </w:r>
            <w:r w:rsidRPr="00A35FB6">
              <w:rPr>
                <w:rFonts w:asciiTheme="minorHAnsi" w:eastAsia="Times New Roman" w:hAnsiTheme="minorHAnsi" w:cs="Arial"/>
                <w:color w:val="222222"/>
                <w:lang w:val="en-US"/>
              </w:rPr>
              <w:t>meet specific needs of the target groups needs to be worked out. </w:t>
            </w:r>
          </w:p>
        </w:tc>
      </w:tr>
      <w:tr w:rsidR="00676A40" w:rsidRPr="00A35FB6" w:rsidTr="008237BF">
        <w:tc>
          <w:tcPr>
            <w:tcW w:w="936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pStyle w:val="ListParagraph"/>
              <w:numPr>
                <w:ilvl w:val="0"/>
                <w:numId w:val="8"/>
              </w:numPr>
              <w:spacing w:after="0" w:line="240" w:lineRule="auto"/>
              <w:ind w:left="702" w:hanging="702"/>
              <w:jc w:val="both"/>
              <w:rPr>
                <w:rFonts w:asciiTheme="minorHAnsi" w:eastAsia="Times New Roman" w:hAnsiTheme="minorHAnsi" w:cs="Arial"/>
                <w:b/>
                <w:i/>
                <w:color w:val="222222"/>
                <w:lang w:val="en-US"/>
              </w:rPr>
            </w:pPr>
            <w:r w:rsidRPr="00A35FB6">
              <w:rPr>
                <w:rFonts w:asciiTheme="minorHAnsi" w:eastAsia="Times New Roman" w:hAnsiTheme="minorHAnsi" w:cs="Arial"/>
                <w:b/>
                <w:i/>
                <w:color w:val="222222"/>
                <w:lang w:val="en-US"/>
              </w:rPr>
              <w:t>Improving waste management</w:t>
            </w:r>
          </w:p>
        </w:tc>
      </w:tr>
      <w:tr w:rsidR="00676A40" w:rsidRPr="00A35FB6" w:rsidTr="008237BF">
        <w:tc>
          <w:tcPr>
            <w:tcW w:w="411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 xml:space="preserve">OP:  MNCAH, MRCAH,  CBHC, HSM with MOHFW </w:t>
            </w:r>
          </w:p>
        </w:tc>
        <w:tc>
          <w:tcPr>
            <w:tcW w:w="524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olor w:val="222222"/>
                <w:lang w:val="en-US"/>
              </w:rPr>
            </w:pPr>
            <w:r w:rsidRPr="00A35FB6">
              <w:rPr>
                <w:rFonts w:asciiTheme="minorHAnsi" w:eastAsia="Times New Roman" w:hAnsiTheme="minorHAnsi" w:cs="Arial"/>
                <w:color w:val="222222"/>
                <w:lang w:val="en-US"/>
              </w:rPr>
              <w:t>Responsibility: MNCAH in partnership with Local Government Ministry, with support from Secretary HSD</w:t>
            </w:r>
          </w:p>
        </w:tc>
      </w:tr>
      <w:tr w:rsidR="00676A40" w:rsidRPr="00A35FB6" w:rsidTr="008237BF">
        <w:tc>
          <w:tcPr>
            <w:tcW w:w="411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olor w:val="222222"/>
                <w:lang w:val="en-US"/>
              </w:rPr>
            </w:pPr>
            <w:r w:rsidRPr="00A35FB6">
              <w:rPr>
                <w:rFonts w:asciiTheme="minorHAnsi" w:eastAsia="Times New Roman" w:hAnsiTheme="minorHAnsi" w:cs="Arial"/>
                <w:color w:val="222222"/>
                <w:lang w:val="en-US"/>
              </w:rPr>
              <w:t>Timeline: Now-Jun2020</w:t>
            </w:r>
          </w:p>
        </w:tc>
        <w:tc>
          <w:tcPr>
            <w:tcW w:w="524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olor w:val="222222"/>
                <w:lang w:val="en-US"/>
              </w:rPr>
            </w:pPr>
            <w:r w:rsidRPr="00A35FB6">
              <w:rPr>
                <w:rFonts w:asciiTheme="minorHAnsi" w:eastAsia="Times New Roman" w:hAnsiTheme="minorHAnsi" w:cs="Arial"/>
                <w:color w:val="222222"/>
                <w:lang w:val="en-US"/>
              </w:rPr>
              <w:t>PAP Recommendation:    Yes</w:t>
            </w:r>
          </w:p>
        </w:tc>
      </w:tr>
      <w:tr w:rsidR="00676A40" w:rsidRPr="00A35FB6" w:rsidTr="008237BF">
        <w:tc>
          <w:tcPr>
            <w:tcW w:w="936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BF631C">
            <w:pPr>
              <w:spacing w:after="0" w:line="240" w:lineRule="auto"/>
              <w:jc w:val="both"/>
              <w:rPr>
                <w:rFonts w:asciiTheme="minorHAnsi" w:eastAsia="Times New Roman" w:hAnsiTheme="minorHAnsi"/>
                <w:color w:val="222222"/>
                <w:lang w:val="en-US"/>
              </w:rPr>
            </w:pPr>
            <w:r w:rsidRPr="00A35FB6">
              <w:rPr>
                <w:rFonts w:asciiTheme="minorHAnsi" w:eastAsia="Times New Roman" w:hAnsiTheme="minorHAnsi" w:cs="Arial"/>
                <w:color w:val="222222"/>
                <w:lang w:val="en-US"/>
              </w:rPr>
              <w:t>Description:  </w:t>
            </w:r>
            <w:r w:rsidR="00233689">
              <w:rPr>
                <w:rFonts w:asciiTheme="minorHAnsi" w:eastAsia="Times New Roman" w:hAnsiTheme="minorHAnsi" w:cs="Arial"/>
                <w:color w:val="222222"/>
                <w:lang w:val="en-US"/>
              </w:rPr>
              <w:t xml:space="preserve">Inadequate processing of waste in outhouses and dumping of untreated waste in </w:t>
            </w:r>
            <w:r w:rsidR="00233689">
              <w:rPr>
                <w:rFonts w:asciiTheme="minorHAnsi" w:eastAsia="Times New Roman" w:hAnsiTheme="minorHAnsi" w:cs="Arial"/>
                <w:color w:val="222222"/>
                <w:lang w:val="en-US"/>
              </w:rPr>
              <w:lastRenderedPageBreak/>
              <w:t xml:space="preserve">landfills </w:t>
            </w:r>
            <w:r w:rsidR="00BF631C">
              <w:rPr>
                <w:rFonts w:asciiTheme="minorHAnsi" w:eastAsia="Times New Roman" w:hAnsiTheme="minorHAnsi" w:cs="Arial"/>
                <w:color w:val="222222"/>
                <w:lang w:val="en-US"/>
              </w:rPr>
              <w:t xml:space="preserve">needs to be addressed. </w:t>
            </w:r>
            <w:r w:rsidR="00233689">
              <w:rPr>
                <w:rFonts w:asciiTheme="minorHAnsi" w:eastAsia="Times New Roman" w:hAnsiTheme="minorHAnsi" w:cs="Arial"/>
                <w:color w:val="222222"/>
                <w:lang w:val="en-US"/>
              </w:rPr>
              <w:t xml:space="preserve">Since this is the responsibility of the local government authorities, </w:t>
            </w:r>
            <w:r w:rsidRPr="00A35FB6">
              <w:rPr>
                <w:rFonts w:asciiTheme="minorHAnsi" w:eastAsia="Times New Roman" w:hAnsiTheme="minorHAnsi" w:cs="Arial"/>
                <w:color w:val="222222"/>
                <w:lang w:val="en-US"/>
              </w:rPr>
              <w:t xml:space="preserve">MOHFW needs to work with the local government </w:t>
            </w:r>
            <w:r w:rsidR="006961C8">
              <w:rPr>
                <w:rFonts w:asciiTheme="minorHAnsi" w:eastAsia="Times New Roman" w:hAnsiTheme="minorHAnsi" w:cs="Arial"/>
                <w:color w:val="222222"/>
                <w:lang w:val="en-US"/>
              </w:rPr>
              <w:t xml:space="preserve">institutes </w:t>
            </w:r>
            <w:r w:rsidRPr="00A35FB6">
              <w:rPr>
                <w:rFonts w:asciiTheme="minorHAnsi" w:eastAsia="Times New Roman" w:hAnsiTheme="minorHAnsi" w:cs="Arial"/>
                <w:color w:val="222222"/>
                <w:lang w:val="en-US"/>
              </w:rPr>
              <w:t xml:space="preserve">at both central and local levels to facilitate proper and </w:t>
            </w:r>
            <w:proofErr w:type="gramStart"/>
            <w:r w:rsidRPr="00A35FB6">
              <w:rPr>
                <w:rFonts w:asciiTheme="minorHAnsi" w:eastAsia="Times New Roman" w:hAnsiTheme="minorHAnsi" w:cs="Arial"/>
                <w:color w:val="222222"/>
                <w:lang w:val="en-US"/>
              </w:rPr>
              <w:t>safe  disposal</w:t>
            </w:r>
            <w:proofErr w:type="gramEnd"/>
            <w:r w:rsidRPr="00A35FB6">
              <w:rPr>
                <w:rFonts w:asciiTheme="minorHAnsi" w:eastAsia="Times New Roman" w:hAnsiTheme="minorHAnsi" w:cs="Arial"/>
                <w:color w:val="222222"/>
                <w:lang w:val="en-US"/>
              </w:rPr>
              <w:t xml:space="preserve"> of this waste. </w:t>
            </w:r>
          </w:p>
        </w:tc>
      </w:tr>
      <w:tr w:rsidR="00454D34" w:rsidRPr="00A35FB6" w:rsidTr="00286455">
        <w:tc>
          <w:tcPr>
            <w:tcW w:w="936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54D34" w:rsidRPr="00A35FB6" w:rsidRDefault="00454D34" w:rsidP="006961C8">
            <w:pPr>
              <w:spacing w:after="0" w:line="240" w:lineRule="auto"/>
              <w:jc w:val="both"/>
              <w:rPr>
                <w:rFonts w:asciiTheme="minorHAnsi" w:eastAsia="Times New Roman" w:hAnsiTheme="minorHAnsi" w:cs="Arial"/>
                <w:color w:val="222222"/>
                <w:lang w:val="en-US"/>
              </w:rPr>
            </w:pPr>
          </w:p>
        </w:tc>
      </w:tr>
      <w:tr w:rsidR="00676A40" w:rsidRPr="00A35FB6" w:rsidTr="00286455">
        <w:tc>
          <w:tcPr>
            <w:tcW w:w="9360" w:type="dxa"/>
            <w:gridSpan w:val="3"/>
            <w:tcBorders>
              <w:top w:val="single" w:sz="8" w:space="0" w:color="auto"/>
              <w:left w:val="single" w:sz="8" w:space="0" w:color="auto"/>
              <w:bottom w:val="single" w:sz="8" w:space="0" w:color="auto"/>
            </w:tcBorders>
            <w:shd w:val="clear" w:color="auto" w:fill="FFFFFF"/>
            <w:tcMar>
              <w:top w:w="0" w:type="dxa"/>
              <w:left w:w="108" w:type="dxa"/>
              <w:bottom w:w="0" w:type="dxa"/>
              <w:right w:w="108" w:type="dxa"/>
            </w:tcMar>
            <w:hideMark/>
          </w:tcPr>
          <w:p w:rsidR="00676A40" w:rsidRPr="00454D34" w:rsidRDefault="00676A40" w:rsidP="00454D34">
            <w:pPr>
              <w:pStyle w:val="ListParagraph"/>
              <w:numPr>
                <w:ilvl w:val="0"/>
                <w:numId w:val="7"/>
              </w:numPr>
              <w:spacing w:after="0" w:line="240" w:lineRule="auto"/>
              <w:ind w:left="0" w:firstLine="0"/>
              <w:jc w:val="both"/>
              <w:rPr>
                <w:rFonts w:asciiTheme="minorHAnsi" w:eastAsia="Times New Roman" w:hAnsiTheme="minorHAnsi" w:cs="Arial"/>
                <w:b/>
                <w:color w:val="222222"/>
                <w:lang w:val="en-US"/>
              </w:rPr>
            </w:pPr>
            <w:r w:rsidRPr="00454D34">
              <w:rPr>
                <w:rFonts w:asciiTheme="minorHAnsi" w:eastAsia="Times New Roman" w:hAnsiTheme="minorHAnsi" w:cs="Arial"/>
                <w:b/>
                <w:color w:val="222222"/>
                <w:lang w:val="en-US"/>
              </w:rPr>
              <w:t>Longer term priority</w:t>
            </w:r>
          </w:p>
        </w:tc>
      </w:tr>
      <w:tr w:rsidR="00676A40" w:rsidRPr="00A35FB6" w:rsidTr="00286455">
        <w:tc>
          <w:tcPr>
            <w:tcW w:w="9360" w:type="dxa"/>
            <w:gridSpan w:val="3"/>
            <w:tcBorders>
              <w:top w:val="nil"/>
              <w:left w:val="single" w:sz="8" w:space="0" w:color="auto"/>
              <w:bottom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s="Arial"/>
                <w:b/>
                <w:i/>
                <w:color w:val="222222"/>
                <w:lang w:val="en-US"/>
              </w:rPr>
            </w:pPr>
          </w:p>
        </w:tc>
      </w:tr>
      <w:tr w:rsidR="00676A40" w:rsidRPr="00A35FB6" w:rsidTr="00286455">
        <w:tc>
          <w:tcPr>
            <w:tcW w:w="9360" w:type="dxa"/>
            <w:gridSpan w:val="3"/>
            <w:tcBorders>
              <w:top w:val="nil"/>
              <w:left w:val="single" w:sz="8" w:space="0" w:color="auto"/>
              <w:bottom w:val="single" w:sz="8" w:space="0" w:color="auto"/>
            </w:tcBorders>
            <w:shd w:val="clear" w:color="auto" w:fill="FFFFFF"/>
            <w:tcMar>
              <w:top w:w="0" w:type="dxa"/>
              <w:left w:w="108" w:type="dxa"/>
              <w:bottom w:w="0" w:type="dxa"/>
              <w:right w:w="108" w:type="dxa"/>
            </w:tcMar>
            <w:hideMark/>
          </w:tcPr>
          <w:p w:rsidR="00676A40" w:rsidRPr="00130730" w:rsidRDefault="00676A40" w:rsidP="00D96CA9">
            <w:pPr>
              <w:pStyle w:val="ListParagraph"/>
              <w:numPr>
                <w:ilvl w:val="0"/>
                <w:numId w:val="8"/>
              </w:numPr>
              <w:spacing w:after="0" w:line="240" w:lineRule="auto"/>
              <w:ind w:left="702" w:hanging="702"/>
              <w:jc w:val="both"/>
              <w:rPr>
                <w:rFonts w:asciiTheme="minorHAnsi" w:eastAsia="Times New Roman" w:hAnsiTheme="minorHAnsi" w:cs="Arial"/>
                <w:b/>
                <w:i/>
                <w:color w:val="222222"/>
                <w:sz w:val="24"/>
                <w:szCs w:val="24"/>
                <w:lang w:val="en-US"/>
              </w:rPr>
            </w:pPr>
            <w:r w:rsidRPr="00130730">
              <w:rPr>
                <w:rFonts w:asciiTheme="minorHAnsi" w:eastAsia="Times New Roman" w:hAnsiTheme="minorHAnsi" w:cs="Arial"/>
                <w:b/>
                <w:i/>
                <w:color w:val="222222"/>
                <w:sz w:val="24"/>
                <w:szCs w:val="24"/>
                <w:lang w:val="en-US"/>
              </w:rPr>
              <w:t xml:space="preserve">Availability of 24/7 delivery care at district and </w:t>
            </w:r>
            <w:proofErr w:type="spellStart"/>
            <w:r w:rsidRPr="00130730">
              <w:rPr>
                <w:rFonts w:asciiTheme="minorHAnsi" w:eastAsia="Times New Roman" w:hAnsiTheme="minorHAnsi" w:cs="Arial"/>
                <w:b/>
                <w:i/>
                <w:color w:val="222222"/>
                <w:sz w:val="24"/>
                <w:szCs w:val="24"/>
                <w:lang w:val="en-US"/>
              </w:rPr>
              <w:t>Upazila</w:t>
            </w:r>
            <w:proofErr w:type="spellEnd"/>
            <w:r w:rsidRPr="00130730">
              <w:rPr>
                <w:rFonts w:asciiTheme="minorHAnsi" w:eastAsia="Times New Roman" w:hAnsiTheme="minorHAnsi" w:cs="Arial"/>
                <w:b/>
                <w:i/>
                <w:color w:val="222222"/>
                <w:sz w:val="24"/>
                <w:szCs w:val="24"/>
                <w:lang w:val="en-US"/>
              </w:rPr>
              <w:t xml:space="preserve"> level</w:t>
            </w:r>
          </w:p>
        </w:tc>
      </w:tr>
      <w:tr w:rsidR="00676A40" w:rsidRPr="00A35FB6" w:rsidTr="00286455">
        <w:tc>
          <w:tcPr>
            <w:tcW w:w="411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s="Arial"/>
                <w:color w:val="222222"/>
                <w:sz w:val="20"/>
                <w:lang w:val="en-US"/>
              </w:rPr>
            </w:pPr>
            <w:r w:rsidRPr="00A35FB6">
              <w:rPr>
                <w:rFonts w:asciiTheme="minorHAnsi" w:eastAsia="Times New Roman" w:hAnsiTheme="minorHAnsi" w:cs="Arial"/>
                <w:color w:val="222222"/>
                <w:sz w:val="20"/>
                <w:lang w:val="en-US"/>
              </w:rPr>
              <w:t>OP:  MNCAH,  MRCAH HSM</w:t>
            </w:r>
          </w:p>
        </w:tc>
        <w:tc>
          <w:tcPr>
            <w:tcW w:w="5249" w:type="dxa"/>
            <w:gridSpan w:val="2"/>
            <w:tcBorders>
              <w:top w:val="nil"/>
              <w:left w:val="nil"/>
              <w:bottom w:val="single" w:sz="8" w:space="0" w:color="auto"/>
            </w:tcBorders>
            <w:shd w:val="clear" w:color="auto" w:fill="FFFFFF"/>
            <w:tcMar>
              <w:top w:w="0" w:type="dxa"/>
              <w:left w:w="108" w:type="dxa"/>
              <w:bottom w:w="0" w:type="dxa"/>
              <w:right w:w="108" w:type="dxa"/>
            </w:tcMar>
            <w:hideMark/>
          </w:tcPr>
          <w:p w:rsidR="00676A40" w:rsidRPr="00A35FB6" w:rsidRDefault="00676A40" w:rsidP="00ED09CE">
            <w:pPr>
              <w:spacing w:after="0" w:line="240" w:lineRule="auto"/>
              <w:jc w:val="both"/>
              <w:rPr>
                <w:rFonts w:asciiTheme="minorHAnsi" w:eastAsia="Times New Roman" w:hAnsiTheme="minorHAnsi"/>
                <w:color w:val="222222"/>
                <w:szCs w:val="24"/>
                <w:lang w:val="en-US"/>
              </w:rPr>
            </w:pPr>
            <w:r w:rsidRPr="00A35FB6">
              <w:rPr>
                <w:rFonts w:asciiTheme="minorHAnsi" w:eastAsia="Times New Roman" w:hAnsiTheme="minorHAnsi" w:cs="Arial"/>
                <w:color w:val="222222"/>
                <w:szCs w:val="24"/>
                <w:lang w:val="en-US"/>
              </w:rPr>
              <w:t xml:space="preserve">Responsibility: </w:t>
            </w:r>
            <w:r w:rsidR="00ED09CE">
              <w:rPr>
                <w:rFonts w:asciiTheme="minorHAnsi" w:eastAsia="Times New Roman" w:hAnsiTheme="minorHAnsi" w:cs="Arial"/>
                <w:color w:val="222222"/>
                <w:szCs w:val="24"/>
                <w:lang w:val="en-US"/>
              </w:rPr>
              <w:t xml:space="preserve"> MOHFW</w:t>
            </w:r>
          </w:p>
        </w:tc>
      </w:tr>
      <w:tr w:rsidR="00676A40" w:rsidRPr="00A35FB6" w:rsidTr="00286455">
        <w:tc>
          <w:tcPr>
            <w:tcW w:w="411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olor w:val="222222"/>
                <w:szCs w:val="24"/>
                <w:lang w:val="en-US"/>
              </w:rPr>
            </w:pPr>
            <w:r w:rsidRPr="00A35FB6">
              <w:rPr>
                <w:rFonts w:asciiTheme="minorHAnsi" w:eastAsia="Times New Roman" w:hAnsiTheme="minorHAnsi" w:cs="Arial"/>
                <w:color w:val="222222"/>
                <w:szCs w:val="24"/>
                <w:lang w:val="en-US"/>
              </w:rPr>
              <w:t xml:space="preserve">Timeline: Now-Jun2022 </w:t>
            </w:r>
          </w:p>
        </w:tc>
        <w:tc>
          <w:tcPr>
            <w:tcW w:w="5249" w:type="dxa"/>
            <w:gridSpan w:val="2"/>
            <w:tcBorders>
              <w:top w:val="nil"/>
              <w:left w:val="nil"/>
              <w:bottom w:val="single" w:sz="8" w:space="0" w:color="auto"/>
            </w:tcBorders>
            <w:shd w:val="clear" w:color="auto" w:fill="FFFFFF"/>
            <w:tcMar>
              <w:top w:w="0" w:type="dxa"/>
              <w:left w:w="108" w:type="dxa"/>
              <w:bottom w:w="0" w:type="dxa"/>
              <w:right w:w="108" w:type="dxa"/>
            </w:tcMar>
            <w:hideMark/>
          </w:tcPr>
          <w:p w:rsidR="00676A40" w:rsidRPr="00A35FB6" w:rsidRDefault="00676A40" w:rsidP="00D96CA9">
            <w:pPr>
              <w:spacing w:after="0" w:line="240" w:lineRule="auto"/>
              <w:jc w:val="both"/>
              <w:rPr>
                <w:rFonts w:asciiTheme="minorHAnsi" w:eastAsia="Times New Roman" w:hAnsiTheme="minorHAnsi"/>
                <w:color w:val="222222"/>
                <w:szCs w:val="24"/>
                <w:lang w:val="en-US"/>
              </w:rPr>
            </w:pPr>
            <w:r w:rsidRPr="00A35FB6">
              <w:rPr>
                <w:rFonts w:asciiTheme="minorHAnsi" w:eastAsia="Times New Roman" w:hAnsiTheme="minorHAnsi" w:cs="Arial"/>
                <w:color w:val="222222"/>
                <w:szCs w:val="24"/>
                <w:lang w:val="en-US"/>
              </w:rPr>
              <w:t>PAP Recommendation:    No</w:t>
            </w:r>
          </w:p>
        </w:tc>
      </w:tr>
      <w:tr w:rsidR="00676A40" w:rsidRPr="00A35FB6" w:rsidTr="00CD4619">
        <w:tc>
          <w:tcPr>
            <w:tcW w:w="9360" w:type="dxa"/>
            <w:gridSpan w:val="3"/>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676A40" w:rsidRPr="00A35FB6" w:rsidRDefault="00676A40" w:rsidP="006961C8">
            <w:pPr>
              <w:spacing w:after="0" w:line="240" w:lineRule="auto"/>
              <w:jc w:val="both"/>
              <w:rPr>
                <w:rFonts w:asciiTheme="minorHAnsi" w:eastAsia="Times New Roman" w:hAnsiTheme="minorHAnsi"/>
                <w:color w:val="222222"/>
                <w:lang w:val="en-US"/>
              </w:rPr>
            </w:pPr>
            <w:r w:rsidRPr="00A35FB6">
              <w:rPr>
                <w:rFonts w:asciiTheme="minorHAnsi" w:eastAsia="Times New Roman" w:hAnsiTheme="minorHAnsi" w:cs="Arial"/>
                <w:color w:val="222222"/>
                <w:lang w:val="en-US"/>
              </w:rPr>
              <w:t>Description:    There has been little progress in this issue over the years due mainly to lack of availability of skilled providers in adequate numbers to enable 24/7</w:t>
            </w:r>
            <w:r w:rsidR="006961C8">
              <w:rPr>
                <w:rFonts w:asciiTheme="minorHAnsi" w:eastAsia="Times New Roman" w:hAnsiTheme="minorHAnsi" w:cs="Arial"/>
                <w:color w:val="222222"/>
                <w:lang w:val="en-US"/>
              </w:rPr>
              <w:t xml:space="preserve"> service</w:t>
            </w:r>
            <w:r w:rsidRPr="00A35FB6">
              <w:rPr>
                <w:rFonts w:asciiTheme="minorHAnsi" w:eastAsia="Times New Roman" w:hAnsiTheme="minorHAnsi" w:cs="Arial"/>
                <w:color w:val="222222"/>
                <w:lang w:val="en-US"/>
              </w:rPr>
              <w:t xml:space="preserve"> provision. New approaches (e.g. contracting in services of specialists like </w:t>
            </w:r>
            <w:proofErr w:type="spellStart"/>
            <w:r w:rsidR="006961C8">
              <w:rPr>
                <w:rFonts w:asciiTheme="minorHAnsi" w:eastAsia="Times New Roman" w:hAnsiTheme="minorHAnsi" w:cs="Arial"/>
                <w:color w:val="222222"/>
                <w:lang w:val="en-US"/>
              </w:rPr>
              <w:t>ob</w:t>
            </w:r>
            <w:proofErr w:type="spellEnd"/>
            <w:r w:rsidR="006961C8">
              <w:rPr>
                <w:rFonts w:asciiTheme="minorHAnsi" w:eastAsia="Times New Roman" w:hAnsiTheme="minorHAnsi" w:cs="Arial"/>
                <w:color w:val="222222"/>
                <w:lang w:val="en-US"/>
              </w:rPr>
              <w:t>/</w:t>
            </w:r>
            <w:proofErr w:type="spellStart"/>
            <w:r w:rsidR="006961C8">
              <w:rPr>
                <w:rFonts w:asciiTheme="minorHAnsi" w:eastAsia="Times New Roman" w:hAnsiTheme="minorHAnsi" w:cs="Arial"/>
                <w:color w:val="222222"/>
                <w:lang w:val="en-US"/>
              </w:rPr>
              <w:t>gyn</w:t>
            </w:r>
            <w:proofErr w:type="spellEnd"/>
            <w:r w:rsidR="006961C8">
              <w:rPr>
                <w:rFonts w:asciiTheme="minorHAnsi" w:eastAsia="Times New Roman" w:hAnsiTheme="minorHAnsi" w:cs="Arial"/>
                <w:color w:val="222222"/>
                <w:lang w:val="en-US"/>
              </w:rPr>
              <w:t xml:space="preserve"> specialists, </w:t>
            </w:r>
            <w:r w:rsidRPr="00A35FB6">
              <w:rPr>
                <w:rFonts w:asciiTheme="minorHAnsi" w:eastAsia="Times New Roman" w:hAnsiTheme="minorHAnsi" w:cs="Arial"/>
                <w:color w:val="222222"/>
                <w:lang w:val="en-US"/>
              </w:rPr>
              <w:t>anesthetists, or allowing institution based private practice) need to be tried</w:t>
            </w:r>
            <w:r w:rsidR="006961C8">
              <w:rPr>
                <w:rFonts w:asciiTheme="minorHAnsi" w:eastAsia="Times New Roman" w:hAnsiTheme="minorHAnsi" w:cs="Arial"/>
                <w:color w:val="222222"/>
                <w:lang w:val="en-US"/>
              </w:rPr>
              <w:t xml:space="preserve"> to attract and retain skilled providers. The model introduced by DGFP at union levels wherein FWVs have been provided with living quarters and are allowed to practice, is showing good results. This approach needs to be assessed and replicated if considered successful. </w:t>
            </w:r>
            <w:r w:rsidRPr="00A35FB6">
              <w:rPr>
                <w:rFonts w:asciiTheme="minorHAnsi" w:eastAsia="Times New Roman" w:hAnsiTheme="minorHAnsi" w:cs="Arial"/>
                <w:color w:val="222222"/>
                <w:lang w:val="en-US"/>
              </w:rPr>
              <w:t> </w:t>
            </w:r>
          </w:p>
        </w:tc>
      </w:tr>
      <w:tr w:rsidR="00C00523" w:rsidRPr="00A35FB6" w:rsidTr="00233689">
        <w:tc>
          <w:tcPr>
            <w:tcW w:w="936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0523" w:rsidRPr="00A35FB6" w:rsidRDefault="00C00523" w:rsidP="00C00523">
            <w:pPr>
              <w:pStyle w:val="ListParagraph"/>
              <w:numPr>
                <w:ilvl w:val="0"/>
                <w:numId w:val="8"/>
              </w:numPr>
              <w:spacing w:after="0" w:line="240" w:lineRule="auto"/>
              <w:ind w:left="0" w:firstLine="0"/>
              <w:jc w:val="both"/>
              <w:rPr>
                <w:rFonts w:asciiTheme="minorHAnsi" w:eastAsia="Times New Roman" w:hAnsiTheme="minorHAnsi" w:cs="Arial"/>
                <w:b/>
                <w:i/>
                <w:color w:val="222222"/>
                <w:lang w:val="en-US"/>
              </w:rPr>
            </w:pPr>
            <w:r>
              <w:rPr>
                <w:rFonts w:asciiTheme="minorHAnsi" w:eastAsia="Times New Roman" w:hAnsiTheme="minorHAnsi" w:cs="Arial"/>
                <w:b/>
                <w:i/>
                <w:color w:val="222222"/>
                <w:lang w:val="en-US"/>
              </w:rPr>
              <w:t>Roll out quality improvement initiatives</w:t>
            </w:r>
          </w:p>
        </w:tc>
      </w:tr>
      <w:tr w:rsidR="00C00523" w:rsidRPr="00A35FB6" w:rsidTr="00233689">
        <w:tc>
          <w:tcPr>
            <w:tcW w:w="496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0523" w:rsidRPr="00A35FB6" w:rsidRDefault="00C00523" w:rsidP="00C00523">
            <w:pPr>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 xml:space="preserve">OP:  MNCAH, MRCAH, HSM, CBHC </w:t>
            </w:r>
          </w:p>
        </w:tc>
        <w:tc>
          <w:tcPr>
            <w:tcW w:w="43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0523" w:rsidRPr="00A35FB6" w:rsidRDefault="00C00523" w:rsidP="00ED09CE">
            <w:pPr>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 xml:space="preserve">Responsibility: </w:t>
            </w:r>
            <w:r w:rsidR="00ED09CE">
              <w:rPr>
                <w:rFonts w:asciiTheme="minorHAnsi" w:eastAsia="Times New Roman" w:hAnsiTheme="minorHAnsi" w:cs="Arial"/>
                <w:color w:val="222222"/>
                <w:lang w:val="en-US"/>
              </w:rPr>
              <w:t>MOHFW</w:t>
            </w:r>
          </w:p>
        </w:tc>
      </w:tr>
      <w:tr w:rsidR="00C00523" w:rsidRPr="00A35FB6" w:rsidTr="00233689">
        <w:tc>
          <w:tcPr>
            <w:tcW w:w="496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00523" w:rsidRPr="00A35FB6" w:rsidRDefault="00C00523" w:rsidP="00233689">
            <w:pPr>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Timeline: Now-June 2021</w:t>
            </w:r>
          </w:p>
        </w:tc>
        <w:tc>
          <w:tcPr>
            <w:tcW w:w="43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00523" w:rsidRPr="00A35FB6" w:rsidRDefault="00C00523" w:rsidP="00B752DB">
            <w:pPr>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PAP Recommendation: </w:t>
            </w:r>
            <w:r w:rsidR="00B752DB">
              <w:rPr>
                <w:rFonts w:asciiTheme="minorHAnsi" w:eastAsia="Times New Roman" w:hAnsiTheme="minorHAnsi" w:cs="Arial"/>
                <w:color w:val="222222"/>
                <w:lang w:val="en-US"/>
              </w:rPr>
              <w:t>Yes</w:t>
            </w:r>
          </w:p>
        </w:tc>
      </w:tr>
      <w:tr w:rsidR="00C00523" w:rsidRPr="00A35FB6" w:rsidTr="00233689">
        <w:tc>
          <w:tcPr>
            <w:tcW w:w="9360" w:type="dxa"/>
            <w:gridSpan w:val="3"/>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C00523" w:rsidRPr="00A35FB6" w:rsidRDefault="00ED09CE" w:rsidP="00ED09CE">
            <w:pPr>
              <w:spacing w:after="0" w:line="240" w:lineRule="auto"/>
              <w:jc w:val="both"/>
              <w:rPr>
                <w:rFonts w:asciiTheme="minorHAnsi" w:eastAsia="Times New Roman" w:hAnsiTheme="minorHAnsi" w:cs="Arial"/>
                <w:color w:val="222222"/>
                <w:lang w:val="en-US"/>
              </w:rPr>
            </w:pPr>
            <w:r>
              <w:rPr>
                <w:rFonts w:asciiTheme="minorHAnsi" w:eastAsia="Times New Roman" w:hAnsiTheme="minorHAnsi" w:cs="Arial"/>
                <w:color w:val="222222"/>
                <w:lang w:val="en-US"/>
              </w:rPr>
              <w:t>Q</w:t>
            </w:r>
            <w:r w:rsidR="00C00523">
              <w:rPr>
                <w:rFonts w:asciiTheme="minorHAnsi" w:eastAsia="Times New Roman" w:hAnsiTheme="minorHAnsi" w:cs="Arial"/>
                <w:color w:val="222222"/>
                <w:lang w:val="en-US"/>
              </w:rPr>
              <w:t xml:space="preserve">uality </w:t>
            </w:r>
            <w:r>
              <w:rPr>
                <w:rFonts w:asciiTheme="minorHAnsi" w:eastAsia="Times New Roman" w:hAnsiTheme="minorHAnsi" w:cs="Arial"/>
                <w:color w:val="222222"/>
                <w:lang w:val="en-US"/>
              </w:rPr>
              <w:t xml:space="preserve">related </w:t>
            </w:r>
            <w:r w:rsidR="00C00523">
              <w:rPr>
                <w:rFonts w:asciiTheme="minorHAnsi" w:eastAsia="Times New Roman" w:hAnsiTheme="minorHAnsi" w:cs="Arial"/>
                <w:color w:val="222222"/>
                <w:lang w:val="en-US"/>
              </w:rPr>
              <w:t xml:space="preserve">tools and models </w:t>
            </w:r>
            <w:r>
              <w:rPr>
                <w:rFonts w:asciiTheme="minorHAnsi" w:eastAsia="Times New Roman" w:hAnsiTheme="minorHAnsi" w:cs="Arial"/>
                <w:color w:val="222222"/>
                <w:lang w:val="en-US"/>
              </w:rPr>
              <w:t>developed by QIS need to be quickly rolled out; QIS needs to be incorpor</w:t>
            </w:r>
            <w:r w:rsidR="00B752DB">
              <w:rPr>
                <w:rFonts w:asciiTheme="minorHAnsi" w:eastAsia="Times New Roman" w:hAnsiTheme="minorHAnsi" w:cs="Arial"/>
                <w:color w:val="222222"/>
                <w:lang w:val="en-US"/>
              </w:rPr>
              <w:t xml:space="preserve">ated within DGHS to allow closer coordination and interaction with </w:t>
            </w:r>
            <w:proofErr w:type="spellStart"/>
            <w:r w:rsidR="00B752DB">
              <w:rPr>
                <w:rFonts w:asciiTheme="minorHAnsi" w:eastAsia="Times New Roman" w:hAnsiTheme="minorHAnsi" w:cs="Arial"/>
                <w:color w:val="222222"/>
                <w:lang w:val="en-US"/>
              </w:rPr>
              <w:t>th</w:t>
            </w:r>
            <w:proofErr w:type="spellEnd"/>
            <w:r w:rsidR="00B752DB">
              <w:rPr>
                <w:rFonts w:asciiTheme="minorHAnsi" w:eastAsia="Times New Roman" w:hAnsiTheme="minorHAnsi" w:cs="Arial"/>
                <w:color w:val="222222"/>
                <w:lang w:val="en-US"/>
              </w:rPr>
              <w:t xml:space="preserve"> service delivery infrastructure</w:t>
            </w:r>
            <w:r>
              <w:rPr>
                <w:rFonts w:asciiTheme="minorHAnsi" w:eastAsia="Times New Roman" w:hAnsiTheme="minorHAnsi" w:cs="Arial"/>
                <w:color w:val="222222"/>
                <w:lang w:val="en-US"/>
              </w:rPr>
              <w:t xml:space="preserve">. </w:t>
            </w:r>
            <w:r w:rsidR="00BF631C">
              <w:rPr>
                <w:rFonts w:asciiTheme="minorHAnsi" w:eastAsia="Times New Roman" w:hAnsiTheme="minorHAnsi" w:cs="Arial"/>
                <w:color w:val="222222"/>
                <w:lang w:val="en-US"/>
              </w:rPr>
              <w:t xml:space="preserve"> Quality Improvement Cell should be created within MNCAH and MRCAH OPs to </w:t>
            </w:r>
            <w:proofErr w:type="spellStart"/>
            <w:r w:rsidR="00BF631C">
              <w:rPr>
                <w:rFonts w:asciiTheme="minorHAnsi" w:eastAsia="Times New Roman" w:hAnsiTheme="minorHAnsi" w:cs="Arial"/>
                <w:color w:val="222222"/>
                <w:lang w:val="en-US"/>
              </w:rPr>
              <w:t>catalyse</w:t>
            </w:r>
            <w:proofErr w:type="spellEnd"/>
            <w:r w:rsidR="00BF631C">
              <w:rPr>
                <w:rFonts w:asciiTheme="minorHAnsi" w:eastAsia="Times New Roman" w:hAnsiTheme="minorHAnsi" w:cs="Arial"/>
                <w:color w:val="222222"/>
                <w:lang w:val="en-US"/>
              </w:rPr>
              <w:t xml:space="preserve"> roll out quality </w:t>
            </w:r>
            <w:r>
              <w:rPr>
                <w:rFonts w:asciiTheme="minorHAnsi" w:eastAsia="Times New Roman" w:hAnsiTheme="minorHAnsi" w:cs="Arial"/>
                <w:color w:val="222222"/>
                <w:lang w:val="en-US"/>
              </w:rPr>
              <w:t>i</w:t>
            </w:r>
            <w:r w:rsidR="00C00523">
              <w:rPr>
                <w:rFonts w:asciiTheme="minorHAnsi" w:eastAsia="Times New Roman" w:hAnsiTheme="minorHAnsi" w:cs="Arial"/>
                <w:color w:val="222222"/>
                <w:lang w:val="en-US"/>
              </w:rPr>
              <w:t>mprov</w:t>
            </w:r>
            <w:r>
              <w:rPr>
                <w:rFonts w:asciiTheme="minorHAnsi" w:eastAsia="Times New Roman" w:hAnsiTheme="minorHAnsi" w:cs="Arial"/>
                <w:color w:val="222222"/>
                <w:lang w:val="en-US"/>
              </w:rPr>
              <w:t>ement initiatives.</w:t>
            </w:r>
            <w:r w:rsidR="00C00523">
              <w:rPr>
                <w:rFonts w:asciiTheme="minorHAnsi" w:eastAsia="Times New Roman" w:hAnsiTheme="minorHAnsi" w:cs="Arial"/>
                <w:color w:val="222222"/>
                <w:lang w:val="en-US"/>
              </w:rPr>
              <w:t xml:space="preserve"> </w:t>
            </w:r>
          </w:p>
        </w:tc>
      </w:tr>
      <w:tr w:rsidR="00CD4619" w:rsidRPr="00A35FB6" w:rsidTr="00233689">
        <w:tc>
          <w:tcPr>
            <w:tcW w:w="936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D4619" w:rsidRPr="00A35FB6" w:rsidRDefault="00CD4619" w:rsidP="00233689">
            <w:pPr>
              <w:pStyle w:val="ListParagraph"/>
              <w:numPr>
                <w:ilvl w:val="0"/>
                <w:numId w:val="8"/>
              </w:numPr>
              <w:spacing w:after="0" w:line="240" w:lineRule="auto"/>
              <w:ind w:left="0" w:firstLine="0"/>
              <w:jc w:val="both"/>
              <w:rPr>
                <w:rFonts w:asciiTheme="minorHAnsi" w:eastAsia="Times New Roman" w:hAnsiTheme="minorHAnsi" w:cs="Arial"/>
                <w:b/>
                <w:i/>
                <w:color w:val="222222"/>
                <w:lang w:val="en-US"/>
              </w:rPr>
            </w:pPr>
            <w:r w:rsidRPr="00A35FB6">
              <w:rPr>
                <w:rFonts w:asciiTheme="minorHAnsi" w:eastAsia="Times New Roman" w:hAnsiTheme="minorHAnsi" w:cs="Arial"/>
                <w:b/>
                <w:i/>
                <w:color w:val="222222"/>
                <w:lang w:val="en-US"/>
              </w:rPr>
              <w:t>Fast track introduction of accreditation</w:t>
            </w:r>
          </w:p>
        </w:tc>
      </w:tr>
      <w:tr w:rsidR="00CD4619" w:rsidRPr="00A35FB6" w:rsidTr="00233689">
        <w:tc>
          <w:tcPr>
            <w:tcW w:w="496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D4619" w:rsidRPr="00A35FB6" w:rsidRDefault="00CD4619" w:rsidP="00233689">
            <w:pPr>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OP:  MNCAH, MRCAH, HSM, CBHC (with QIS) with DGHS and DGFP</w:t>
            </w:r>
          </w:p>
        </w:tc>
        <w:tc>
          <w:tcPr>
            <w:tcW w:w="43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D4619" w:rsidRPr="00A35FB6" w:rsidRDefault="00CD4619" w:rsidP="00233689">
            <w:pPr>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Responsibility: QIS</w:t>
            </w:r>
          </w:p>
        </w:tc>
      </w:tr>
      <w:tr w:rsidR="00CD4619" w:rsidRPr="00A35FB6" w:rsidTr="00286455">
        <w:tc>
          <w:tcPr>
            <w:tcW w:w="4962" w:type="dxa"/>
            <w:gridSpan w:val="2"/>
            <w:tcBorders>
              <w:top w:val="nil"/>
              <w:left w:val="single" w:sz="8" w:space="0" w:color="auto"/>
              <w:right w:val="single" w:sz="8" w:space="0" w:color="auto"/>
            </w:tcBorders>
            <w:shd w:val="clear" w:color="auto" w:fill="FFFFFF"/>
            <w:tcMar>
              <w:top w:w="0" w:type="dxa"/>
              <w:left w:w="108" w:type="dxa"/>
              <w:bottom w:w="0" w:type="dxa"/>
              <w:right w:w="108" w:type="dxa"/>
            </w:tcMar>
            <w:hideMark/>
          </w:tcPr>
          <w:p w:rsidR="00CD4619" w:rsidRPr="00A35FB6" w:rsidRDefault="00CD4619" w:rsidP="00233689">
            <w:pPr>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Timeline: Now-June 2021</w:t>
            </w:r>
          </w:p>
        </w:tc>
        <w:tc>
          <w:tcPr>
            <w:tcW w:w="4398" w:type="dxa"/>
            <w:tcBorders>
              <w:top w:val="nil"/>
              <w:left w:val="nil"/>
              <w:right w:val="single" w:sz="8" w:space="0" w:color="auto"/>
            </w:tcBorders>
            <w:shd w:val="clear" w:color="auto" w:fill="FFFFFF"/>
            <w:tcMar>
              <w:top w:w="0" w:type="dxa"/>
              <w:left w:w="108" w:type="dxa"/>
              <w:bottom w:w="0" w:type="dxa"/>
              <w:right w:w="108" w:type="dxa"/>
            </w:tcMar>
            <w:hideMark/>
          </w:tcPr>
          <w:p w:rsidR="00CD4619" w:rsidRPr="00A35FB6" w:rsidRDefault="00CD4619" w:rsidP="00CD4619">
            <w:pPr>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 xml:space="preserve">PAP Recommendation:    </w:t>
            </w:r>
            <w:r w:rsidR="00B752DB">
              <w:rPr>
                <w:rFonts w:asciiTheme="minorHAnsi" w:eastAsia="Times New Roman" w:hAnsiTheme="minorHAnsi" w:cs="Arial"/>
                <w:color w:val="222222"/>
                <w:lang w:val="en-US"/>
              </w:rPr>
              <w:t>No</w:t>
            </w:r>
          </w:p>
        </w:tc>
      </w:tr>
      <w:tr w:rsidR="00CD4619" w:rsidRPr="00A35FB6" w:rsidTr="00286455">
        <w:tc>
          <w:tcPr>
            <w:tcW w:w="9360" w:type="dxa"/>
            <w:gridSpan w:val="3"/>
            <w:tcBorders>
              <w:top w:val="nil"/>
              <w:left w:val="single" w:sz="8" w:space="0" w:color="auto"/>
              <w:bottom w:val="single" w:sz="4" w:space="0" w:color="auto"/>
              <w:right w:val="single" w:sz="4" w:space="0" w:color="auto"/>
            </w:tcBorders>
            <w:shd w:val="clear" w:color="auto" w:fill="FFFFFF"/>
            <w:tcMar>
              <w:top w:w="0" w:type="dxa"/>
              <w:left w:w="108" w:type="dxa"/>
              <w:bottom w:w="0" w:type="dxa"/>
              <w:right w:w="108" w:type="dxa"/>
            </w:tcMar>
            <w:hideMark/>
          </w:tcPr>
          <w:p w:rsidR="00CD4619" w:rsidRPr="00A35FB6" w:rsidRDefault="00CD4619" w:rsidP="00233689">
            <w:pPr>
              <w:spacing w:after="0" w:line="240" w:lineRule="auto"/>
              <w:jc w:val="both"/>
              <w:rPr>
                <w:rFonts w:asciiTheme="minorHAnsi" w:eastAsia="Times New Roman" w:hAnsiTheme="minorHAnsi" w:cs="Arial"/>
                <w:color w:val="222222"/>
                <w:lang w:val="en-US"/>
              </w:rPr>
            </w:pPr>
            <w:r w:rsidRPr="00A35FB6">
              <w:rPr>
                <w:rFonts w:asciiTheme="minorHAnsi" w:eastAsia="Times New Roman" w:hAnsiTheme="minorHAnsi" w:cs="Arial"/>
                <w:color w:val="222222"/>
                <w:lang w:val="en-US"/>
              </w:rPr>
              <w:t xml:space="preserve">Accreditation would contribute to regulating well </w:t>
            </w:r>
            <w:proofErr w:type="gramStart"/>
            <w:r w:rsidRPr="00A35FB6">
              <w:rPr>
                <w:rFonts w:asciiTheme="minorHAnsi" w:eastAsia="Times New Roman" w:hAnsiTheme="minorHAnsi" w:cs="Arial"/>
                <w:color w:val="222222"/>
                <w:lang w:val="en-US"/>
              </w:rPr>
              <w:t>as  improving</w:t>
            </w:r>
            <w:proofErr w:type="gramEnd"/>
            <w:r w:rsidRPr="00A35FB6">
              <w:rPr>
                <w:rFonts w:asciiTheme="minorHAnsi" w:eastAsia="Times New Roman" w:hAnsiTheme="minorHAnsi" w:cs="Arial"/>
                <w:color w:val="222222"/>
                <w:lang w:val="en-US"/>
              </w:rPr>
              <w:t xml:space="preserve"> quality of service delivery. Implementation of this activity needs to </w:t>
            </w:r>
            <w:proofErr w:type="spellStart"/>
            <w:r w:rsidRPr="00A35FB6">
              <w:rPr>
                <w:rFonts w:asciiTheme="minorHAnsi" w:eastAsia="Times New Roman" w:hAnsiTheme="minorHAnsi" w:cs="Arial"/>
                <w:color w:val="222222"/>
                <w:lang w:val="en-US"/>
              </w:rPr>
              <w:t>prioritsed</w:t>
            </w:r>
            <w:proofErr w:type="spellEnd"/>
            <w:r w:rsidRPr="00A35FB6">
              <w:rPr>
                <w:rFonts w:asciiTheme="minorHAnsi" w:eastAsia="Times New Roman" w:hAnsiTheme="minorHAnsi" w:cs="Arial"/>
                <w:color w:val="222222"/>
                <w:lang w:val="en-US"/>
              </w:rPr>
              <w:t xml:space="preserve"> within HPNSP,  and earlier work under HPNSDP reactivated to prepare for countrywide implementation </w:t>
            </w:r>
          </w:p>
          <w:p w:rsidR="00CD4619" w:rsidRPr="00A35FB6" w:rsidRDefault="00CD4619" w:rsidP="00233689">
            <w:pPr>
              <w:pStyle w:val="ListParagraph"/>
              <w:spacing w:after="0" w:line="240" w:lineRule="auto"/>
              <w:ind w:left="342"/>
              <w:jc w:val="both"/>
              <w:rPr>
                <w:rFonts w:asciiTheme="minorHAnsi" w:eastAsia="Times New Roman" w:hAnsiTheme="minorHAnsi" w:cs="Arial"/>
                <w:color w:val="222222"/>
                <w:lang w:val="en-US"/>
              </w:rPr>
            </w:pPr>
          </w:p>
        </w:tc>
      </w:tr>
    </w:tbl>
    <w:p w:rsidR="00676A40" w:rsidRDefault="00676A40" w:rsidP="00676A40">
      <w:pPr>
        <w:jc w:val="both"/>
        <w:rPr>
          <w:rFonts w:asciiTheme="minorHAnsi" w:hAnsiTheme="minorHAnsi"/>
          <w:b/>
        </w:rPr>
      </w:pPr>
    </w:p>
    <w:p w:rsidR="007E77BD" w:rsidRDefault="007E77BD" w:rsidP="00676A40">
      <w:pPr>
        <w:jc w:val="both"/>
        <w:rPr>
          <w:rFonts w:asciiTheme="minorHAnsi" w:hAnsiTheme="minorHAnsi"/>
          <w:b/>
        </w:rPr>
        <w:sectPr w:rsidR="007E77BD" w:rsidSect="007E77BD">
          <w:pgSz w:w="12240" w:h="15840"/>
          <w:pgMar w:top="1440" w:right="1440" w:bottom="1440" w:left="1440" w:header="720" w:footer="720" w:gutter="0"/>
          <w:cols w:space="720"/>
          <w:docGrid w:linePitch="360"/>
        </w:sectPr>
      </w:pPr>
    </w:p>
    <w:p w:rsidR="00280842" w:rsidRDefault="00280842" w:rsidP="00676A40">
      <w:pPr>
        <w:jc w:val="both"/>
        <w:rPr>
          <w:rFonts w:asciiTheme="minorHAnsi" w:hAnsiTheme="minorHAnsi"/>
          <w:b/>
        </w:rPr>
      </w:pPr>
    </w:p>
    <w:p w:rsidR="00280842" w:rsidRDefault="00280842" w:rsidP="00280842">
      <w:pPr>
        <w:rPr>
          <w:rFonts w:cs="Arial"/>
          <w:b/>
          <w:sz w:val="24"/>
          <w:szCs w:val="24"/>
        </w:rPr>
      </w:pPr>
      <w:r>
        <w:rPr>
          <w:rFonts w:cs="Arial"/>
          <w:b/>
          <w:sz w:val="24"/>
          <w:szCs w:val="24"/>
        </w:rPr>
        <w:t xml:space="preserve">Annex </w:t>
      </w:r>
      <w:r w:rsidR="00474A38">
        <w:rPr>
          <w:rFonts w:cs="Arial"/>
          <w:b/>
          <w:sz w:val="24"/>
          <w:szCs w:val="24"/>
        </w:rPr>
        <w:t>1</w:t>
      </w:r>
      <w:r>
        <w:rPr>
          <w:rFonts w:cs="Arial"/>
          <w:b/>
          <w:sz w:val="24"/>
          <w:szCs w:val="24"/>
        </w:rPr>
        <w:t xml:space="preserve">: </w:t>
      </w:r>
      <w:r w:rsidRPr="00E00E16">
        <w:rPr>
          <w:rFonts w:cs="Arial"/>
          <w:b/>
          <w:sz w:val="24"/>
          <w:szCs w:val="24"/>
        </w:rPr>
        <w:t>4</w:t>
      </w:r>
      <w:r w:rsidRPr="00E00E16">
        <w:rPr>
          <w:rFonts w:cs="Arial"/>
          <w:b/>
          <w:sz w:val="24"/>
          <w:szCs w:val="24"/>
          <w:vertAlign w:val="superscript"/>
        </w:rPr>
        <w:t>TH</w:t>
      </w:r>
      <w:r w:rsidRPr="00E00E16">
        <w:rPr>
          <w:rFonts w:cs="Arial"/>
          <w:b/>
          <w:sz w:val="24"/>
          <w:szCs w:val="24"/>
        </w:rPr>
        <w:t xml:space="preserve"> HPNSP: </w:t>
      </w:r>
      <w:r>
        <w:rPr>
          <w:rFonts w:cs="Arial"/>
          <w:b/>
          <w:sz w:val="24"/>
          <w:szCs w:val="24"/>
        </w:rPr>
        <w:t>DPA to</w:t>
      </w:r>
      <w:r w:rsidRPr="00E00E16">
        <w:rPr>
          <w:rFonts w:cs="Arial"/>
          <w:b/>
          <w:sz w:val="24"/>
          <w:szCs w:val="24"/>
        </w:rPr>
        <w:t xml:space="preserve"> RMNCAH </w:t>
      </w:r>
      <w:r>
        <w:rPr>
          <w:rFonts w:cs="Arial"/>
          <w:b/>
          <w:sz w:val="24"/>
          <w:szCs w:val="24"/>
        </w:rPr>
        <w:t xml:space="preserve">services </w:t>
      </w:r>
      <w:r w:rsidRPr="00E00E16">
        <w:rPr>
          <w:rFonts w:cs="Arial"/>
          <w:b/>
          <w:sz w:val="24"/>
          <w:szCs w:val="24"/>
        </w:rPr>
        <w:t>(on budget/ off budget/ paral</w:t>
      </w:r>
      <w:r>
        <w:rPr>
          <w:rFonts w:cs="Arial"/>
          <w:b/>
          <w:sz w:val="24"/>
          <w:szCs w:val="24"/>
        </w:rPr>
        <w:t>le</w:t>
      </w:r>
      <w:r w:rsidRPr="00E00E16">
        <w:rPr>
          <w:rFonts w:cs="Arial"/>
          <w:b/>
          <w:sz w:val="24"/>
          <w:szCs w:val="24"/>
        </w:rPr>
        <w:t xml:space="preserve">l) </w:t>
      </w:r>
    </w:p>
    <w:tbl>
      <w:tblPr>
        <w:tblStyle w:val="TableGrid"/>
        <w:tblW w:w="13945" w:type="dxa"/>
        <w:tblInd w:w="108" w:type="dxa"/>
        <w:tblLayout w:type="fixed"/>
        <w:tblLook w:val="04A0" w:firstRow="1" w:lastRow="0" w:firstColumn="1" w:lastColumn="0" w:noHBand="0" w:noVBand="1"/>
      </w:tblPr>
      <w:tblGrid>
        <w:gridCol w:w="540"/>
        <w:gridCol w:w="4734"/>
        <w:gridCol w:w="36"/>
        <w:gridCol w:w="1807"/>
        <w:gridCol w:w="2126"/>
        <w:gridCol w:w="1800"/>
        <w:gridCol w:w="2880"/>
        <w:gridCol w:w="22"/>
      </w:tblGrid>
      <w:tr w:rsidR="001E4223" w:rsidRPr="00B53627" w:rsidTr="00AD372F">
        <w:trPr>
          <w:gridAfter w:val="1"/>
          <w:wAfter w:w="22" w:type="dxa"/>
        </w:trPr>
        <w:tc>
          <w:tcPr>
            <w:tcW w:w="540" w:type="dxa"/>
            <w:shd w:val="clear" w:color="auto" w:fill="D9D9D9" w:themeFill="background1" w:themeFillShade="D9"/>
          </w:tcPr>
          <w:p w:rsidR="001E4223" w:rsidRPr="00B53627" w:rsidRDefault="001E4223" w:rsidP="00AD372F">
            <w:pPr>
              <w:jc w:val="center"/>
              <w:rPr>
                <w:rFonts w:cstheme="minorHAnsi"/>
              </w:rPr>
            </w:pPr>
          </w:p>
        </w:tc>
        <w:tc>
          <w:tcPr>
            <w:tcW w:w="4734" w:type="dxa"/>
            <w:shd w:val="clear" w:color="auto" w:fill="D9D9D9" w:themeFill="background1" w:themeFillShade="D9"/>
          </w:tcPr>
          <w:p w:rsidR="001E4223" w:rsidRPr="00B53627" w:rsidRDefault="001E4223" w:rsidP="00AD372F">
            <w:pPr>
              <w:jc w:val="center"/>
              <w:rPr>
                <w:rFonts w:cstheme="minorHAnsi"/>
              </w:rPr>
            </w:pPr>
            <w:r w:rsidRPr="00B53627">
              <w:rPr>
                <w:rFonts w:cstheme="minorHAnsi"/>
              </w:rPr>
              <w:t>PROJECT TITLE</w:t>
            </w:r>
          </w:p>
        </w:tc>
        <w:tc>
          <w:tcPr>
            <w:tcW w:w="1843" w:type="dxa"/>
            <w:gridSpan w:val="2"/>
            <w:shd w:val="clear" w:color="auto" w:fill="D9D9D9" w:themeFill="background1" w:themeFillShade="D9"/>
          </w:tcPr>
          <w:p w:rsidR="001E4223" w:rsidRPr="00B53627" w:rsidRDefault="001E4223" w:rsidP="00AD372F">
            <w:pPr>
              <w:jc w:val="center"/>
              <w:rPr>
                <w:rFonts w:cstheme="minorHAnsi"/>
              </w:rPr>
            </w:pPr>
            <w:r w:rsidRPr="00B53627">
              <w:rPr>
                <w:rFonts w:cstheme="minorHAnsi"/>
              </w:rPr>
              <w:t>DURATION</w:t>
            </w:r>
          </w:p>
        </w:tc>
        <w:tc>
          <w:tcPr>
            <w:tcW w:w="2126" w:type="dxa"/>
            <w:shd w:val="clear" w:color="auto" w:fill="D9D9D9" w:themeFill="background1" w:themeFillShade="D9"/>
          </w:tcPr>
          <w:p w:rsidR="001E4223" w:rsidRPr="00B53627" w:rsidRDefault="001E4223" w:rsidP="00AD372F">
            <w:pPr>
              <w:jc w:val="center"/>
              <w:rPr>
                <w:rFonts w:cstheme="minorHAnsi"/>
              </w:rPr>
            </w:pPr>
            <w:r w:rsidRPr="00B53627">
              <w:rPr>
                <w:rFonts w:cstheme="minorHAnsi"/>
              </w:rPr>
              <w:t>LOCATION</w:t>
            </w:r>
          </w:p>
        </w:tc>
        <w:tc>
          <w:tcPr>
            <w:tcW w:w="1800" w:type="dxa"/>
            <w:shd w:val="clear" w:color="auto" w:fill="D9D9D9" w:themeFill="background1" w:themeFillShade="D9"/>
          </w:tcPr>
          <w:p w:rsidR="001E4223" w:rsidRPr="00B53627" w:rsidRDefault="001E4223" w:rsidP="00AD372F">
            <w:pPr>
              <w:jc w:val="right"/>
              <w:rPr>
                <w:rFonts w:cstheme="minorHAnsi"/>
              </w:rPr>
            </w:pPr>
            <w:r w:rsidRPr="00B53627">
              <w:rPr>
                <w:rFonts w:cstheme="minorHAnsi"/>
              </w:rPr>
              <w:t>PROJECT VALUE</w:t>
            </w:r>
          </w:p>
        </w:tc>
        <w:tc>
          <w:tcPr>
            <w:tcW w:w="2880" w:type="dxa"/>
            <w:shd w:val="clear" w:color="auto" w:fill="D9D9D9" w:themeFill="background1" w:themeFillShade="D9"/>
          </w:tcPr>
          <w:p w:rsidR="001E4223" w:rsidRPr="00B53627" w:rsidRDefault="001E4223" w:rsidP="00AD372F">
            <w:pPr>
              <w:jc w:val="center"/>
              <w:rPr>
                <w:rFonts w:cstheme="minorHAnsi"/>
              </w:rPr>
            </w:pPr>
            <w:r w:rsidRPr="00B53627">
              <w:rPr>
                <w:rFonts w:cstheme="minorHAnsi"/>
              </w:rPr>
              <w:t>IMPLEMENT</w:t>
            </w:r>
            <w:r>
              <w:rPr>
                <w:rFonts w:cstheme="minorHAnsi"/>
              </w:rPr>
              <w:t>ING PARTNER</w:t>
            </w:r>
          </w:p>
        </w:tc>
      </w:tr>
      <w:tr w:rsidR="001E4223" w:rsidRPr="00E51E8E" w:rsidTr="00AD372F">
        <w:tc>
          <w:tcPr>
            <w:tcW w:w="13945" w:type="dxa"/>
            <w:gridSpan w:val="8"/>
            <w:shd w:val="clear" w:color="auto" w:fill="FFFFFF" w:themeFill="background1"/>
          </w:tcPr>
          <w:p w:rsidR="001E4223" w:rsidRPr="00E51E8E" w:rsidRDefault="001E4223" w:rsidP="00AD372F">
            <w:pPr>
              <w:tabs>
                <w:tab w:val="left" w:pos="225"/>
                <w:tab w:val="center" w:pos="6410"/>
              </w:tabs>
              <w:rPr>
                <w:rFonts w:cstheme="minorHAnsi"/>
                <w:b/>
              </w:rPr>
            </w:pPr>
            <w:r>
              <w:rPr>
                <w:rFonts w:cstheme="minorHAnsi"/>
                <w:b/>
              </w:rPr>
              <w:tab/>
              <w:t>USAID</w:t>
            </w:r>
            <w:r w:rsidRPr="00E51E8E">
              <w:rPr>
                <w:rFonts w:cstheme="minorHAnsi"/>
                <w:b/>
              </w:rPr>
              <w:tab/>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1</w:t>
            </w:r>
          </w:p>
        </w:tc>
        <w:tc>
          <w:tcPr>
            <w:tcW w:w="4770" w:type="dxa"/>
            <w:gridSpan w:val="2"/>
          </w:tcPr>
          <w:p w:rsidR="001E4223" w:rsidRPr="00E94E01" w:rsidRDefault="001E4223" w:rsidP="00AD372F">
            <w:pPr>
              <w:pStyle w:val="ListParagraph"/>
              <w:ind w:left="0"/>
              <w:contextualSpacing w:val="0"/>
              <w:rPr>
                <w:rFonts w:cs="Arial"/>
                <w:sz w:val="21"/>
                <w:szCs w:val="21"/>
              </w:rPr>
            </w:pPr>
            <w:r w:rsidRPr="00E94E01">
              <w:rPr>
                <w:rFonts w:eastAsia="Calibri" w:cs="Arial"/>
                <w:sz w:val="21"/>
                <w:szCs w:val="21"/>
              </w:rPr>
              <w:t xml:space="preserve">Marketing Innovations for Sustainable Health Development </w:t>
            </w:r>
          </w:p>
        </w:tc>
        <w:tc>
          <w:tcPr>
            <w:tcW w:w="1807" w:type="dxa"/>
          </w:tcPr>
          <w:p w:rsidR="001E4223" w:rsidRPr="00E94E01" w:rsidRDefault="001E4223" w:rsidP="00AD372F">
            <w:pPr>
              <w:jc w:val="center"/>
              <w:rPr>
                <w:rFonts w:cs="Arial"/>
                <w:sz w:val="21"/>
                <w:szCs w:val="21"/>
              </w:rPr>
            </w:pPr>
            <w:r w:rsidRPr="00E94E01">
              <w:rPr>
                <w:rFonts w:cs="Arial"/>
                <w:sz w:val="21"/>
                <w:szCs w:val="21"/>
              </w:rPr>
              <w:t>Oct 2016-Sep 2021</w:t>
            </w:r>
          </w:p>
        </w:tc>
        <w:tc>
          <w:tcPr>
            <w:tcW w:w="2126" w:type="dxa"/>
          </w:tcPr>
          <w:p w:rsidR="001E4223" w:rsidRPr="00E94E01" w:rsidRDefault="001E4223" w:rsidP="00AD372F">
            <w:pPr>
              <w:jc w:val="center"/>
              <w:rPr>
                <w:rFonts w:cs="Arial"/>
                <w:sz w:val="21"/>
                <w:szCs w:val="21"/>
              </w:rPr>
            </w:pPr>
            <w:r w:rsidRPr="00E94E01">
              <w:rPr>
                <w:rFonts w:cs="Arial"/>
                <w:sz w:val="21"/>
                <w:szCs w:val="21"/>
              </w:rPr>
              <w:t>Nationwide</w:t>
            </w:r>
          </w:p>
        </w:tc>
        <w:tc>
          <w:tcPr>
            <w:tcW w:w="1800" w:type="dxa"/>
          </w:tcPr>
          <w:p w:rsidR="001E4223" w:rsidRPr="00E94E01" w:rsidRDefault="001E4223" w:rsidP="00AD372F">
            <w:pPr>
              <w:jc w:val="center"/>
              <w:rPr>
                <w:rFonts w:cs="Arial"/>
                <w:sz w:val="21"/>
                <w:szCs w:val="21"/>
              </w:rPr>
            </w:pPr>
            <w:r w:rsidRPr="00E94E01">
              <w:rPr>
                <w:rFonts w:cs="Arial"/>
                <w:sz w:val="21"/>
                <w:szCs w:val="21"/>
              </w:rPr>
              <w:t>USD 20million</w:t>
            </w:r>
          </w:p>
        </w:tc>
        <w:tc>
          <w:tcPr>
            <w:tcW w:w="2880" w:type="dxa"/>
          </w:tcPr>
          <w:p w:rsidR="001E4223" w:rsidRPr="00E94E01" w:rsidRDefault="001E4223" w:rsidP="00AD372F">
            <w:pPr>
              <w:rPr>
                <w:rFonts w:cs="Arial"/>
                <w:sz w:val="21"/>
                <w:szCs w:val="21"/>
              </w:rPr>
            </w:pPr>
            <w:r w:rsidRPr="00E94E01">
              <w:rPr>
                <w:rFonts w:cs="Arial"/>
                <w:sz w:val="21"/>
                <w:szCs w:val="21"/>
              </w:rPr>
              <w:t>SMC</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2</w:t>
            </w:r>
          </w:p>
        </w:tc>
        <w:tc>
          <w:tcPr>
            <w:tcW w:w="4770" w:type="dxa"/>
            <w:gridSpan w:val="2"/>
          </w:tcPr>
          <w:p w:rsidR="001E4223" w:rsidRPr="00E94E01" w:rsidRDefault="001E4223" w:rsidP="00AD372F">
            <w:pPr>
              <w:pStyle w:val="ListParagraph"/>
              <w:widowControl w:val="0"/>
              <w:tabs>
                <w:tab w:val="left" w:pos="270"/>
              </w:tabs>
              <w:ind w:left="0"/>
              <w:contextualSpacing w:val="0"/>
              <w:rPr>
                <w:rFonts w:cs="Arial"/>
                <w:sz w:val="21"/>
                <w:szCs w:val="21"/>
              </w:rPr>
            </w:pPr>
            <w:r w:rsidRPr="00E94E01">
              <w:rPr>
                <w:rFonts w:cs="Arial"/>
                <w:sz w:val="21"/>
                <w:szCs w:val="21"/>
                <w:shd w:val="clear" w:color="auto" w:fill="FFFFFF"/>
              </w:rPr>
              <w:t>Advancing Universal Health Coverage (AUHC)</w:t>
            </w:r>
          </w:p>
        </w:tc>
        <w:tc>
          <w:tcPr>
            <w:tcW w:w="1807" w:type="dxa"/>
          </w:tcPr>
          <w:p w:rsidR="001E4223" w:rsidRPr="00E94E01" w:rsidRDefault="001E4223" w:rsidP="00AD372F">
            <w:pPr>
              <w:jc w:val="center"/>
              <w:rPr>
                <w:rFonts w:cs="Arial"/>
                <w:sz w:val="21"/>
                <w:szCs w:val="21"/>
              </w:rPr>
            </w:pPr>
            <w:r w:rsidRPr="00E94E01">
              <w:rPr>
                <w:rFonts w:cs="Arial"/>
                <w:sz w:val="21"/>
                <w:szCs w:val="21"/>
              </w:rPr>
              <w:t>Oct 2017-Sep 2022</w:t>
            </w:r>
          </w:p>
        </w:tc>
        <w:tc>
          <w:tcPr>
            <w:tcW w:w="2126" w:type="dxa"/>
          </w:tcPr>
          <w:p w:rsidR="001E4223" w:rsidRPr="00E94E01" w:rsidRDefault="001E4223" w:rsidP="00AD372F">
            <w:pPr>
              <w:jc w:val="center"/>
              <w:rPr>
                <w:rFonts w:cs="Arial"/>
                <w:sz w:val="21"/>
                <w:szCs w:val="21"/>
              </w:rPr>
            </w:pPr>
            <w:r w:rsidRPr="00E94E01">
              <w:rPr>
                <w:rFonts w:cs="Arial"/>
                <w:sz w:val="21"/>
                <w:szCs w:val="21"/>
              </w:rPr>
              <w:t>Nationwide</w:t>
            </w:r>
          </w:p>
        </w:tc>
        <w:tc>
          <w:tcPr>
            <w:tcW w:w="1800" w:type="dxa"/>
          </w:tcPr>
          <w:p w:rsidR="001E4223" w:rsidRPr="00E94E01" w:rsidRDefault="001E4223" w:rsidP="00AD372F">
            <w:pPr>
              <w:jc w:val="center"/>
              <w:rPr>
                <w:rFonts w:cs="Arial"/>
                <w:sz w:val="21"/>
                <w:szCs w:val="21"/>
              </w:rPr>
            </w:pPr>
            <w:r w:rsidRPr="00E94E01">
              <w:rPr>
                <w:rFonts w:cs="Arial"/>
                <w:sz w:val="21"/>
                <w:szCs w:val="21"/>
              </w:rPr>
              <w:t xml:space="preserve">USD </w:t>
            </w:r>
            <w:r w:rsidRPr="00E94E01">
              <w:rPr>
                <w:rFonts w:cs="Arial"/>
                <w:sz w:val="21"/>
                <w:szCs w:val="21"/>
                <w:shd w:val="clear" w:color="auto" w:fill="FFFFFF"/>
              </w:rPr>
              <w:t>90 million</w:t>
            </w:r>
          </w:p>
        </w:tc>
        <w:tc>
          <w:tcPr>
            <w:tcW w:w="2880" w:type="dxa"/>
          </w:tcPr>
          <w:p w:rsidR="001E4223" w:rsidRPr="00E94E01" w:rsidRDefault="001E4223" w:rsidP="00AD372F">
            <w:pPr>
              <w:rPr>
                <w:rFonts w:cs="Arial"/>
                <w:sz w:val="21"/>
                <w:szCs w:val="21"/>
              </w:rPr>
            </w:pPr>
            <w:proofErr w:type="spellStart"/>
            <w:r w:rsidRPr="00E94E01">
              <w:rPr>
                <w:rFonts w:cs="Arial"/>
                <w:sz w:val="21"/>
                <w:szCs w:val="21"/>
              </w:rPr>
              <w:t>Chemonics</w:t>
            </w:r>
            <w:proofErr w:type="spellEnd"/>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3</w:t>
            </w:r>
          </w:p>
        </w:tc>
        <w:tc>
          <w:tcPr>
            <w:tcW w:w="4770" w:type="dxa"/>
            <w:gridSpan w:val="2"/>
          </w:tcPr>
          <w:p w:rsidR="001E4223" w:rsidRPr="00E94E01" w:rsidRDefault="001E4223" w:rsidP="00AD372F">
            <w:pPr>
              <w:rPr>
                <w:rFonts w:cs="Arial"/>
                <w:sz w:val="21"/>
                <w:szCs w:val="21"/>
              </w:rPr>
            </w:pPr>
            <w:proofErr w:type="spellStart"/>
            <w:r w:rsidRPr="00E94E01">
              <w:rPr>
                <w:rFonts w:eastAsia="Calibri" w:cs="Arial"/>
                <w:sz w:val="21"/>
                <w:szCs w:val="21"/>
              </w:rPr>
              <w:t>MaMoni</w:t>
            </w:r>
            <w:proofErr w:type="spellEnd"/>
            <w:r w:rsidRPr="00E94E01">
              <w:rPr>
                <w:rFonts w:eastAsia="Calibri" w:cs="Arial"/>
                <w:sz w:val="21"/>
                <w:szCs w:val="21"/>
              </w:rPr>
              <w:t xml:space="preserve"> Maternal and </w:t>
            </w:r>
            <w:proofErr w:type="spellStart"/>
            <w:r w:rsidRPr="00E94E01">
              <w:rPr>
                <w:rFonts w:eastAsia="Calibri" w:cs="Arial"/>
                <w:sz w:val="21"/>
                <w:szCs w:val="21"/>
              </w:rPr>
              <w:t>Newborn</w:t>
            </w:r>
            <w:proofErr w:type="spellEnd"/>
            <w:r w:rsidRPr="00E94E01">
              <w:rPr>
                <w:rFonts w:eastAsia="Calibri" w:cs="Arial"/>
                <w:sz w:val="21"/>
                <w:szCs w:val="21"/>
              </w:rPr>
              <w:t xml:space="preserve"> Care Strengthening Project </w:t>
            </w:r>
          </w:p>
        </w:tc>
        <w:tc>
          <w:tcPr>
            <w:tcW w:w="1807" w:type="dxa"/>
          </w:tcPr>
          <w:p w:rsidR="001E4223" w:rsidRPr="00E94E01" w:rsidRDefault="001E4223" w:rsidP="00AD372F">
            <w:pPr>
              <w:jc w:val="center"/>
              <w:rPr>
                <w:rFonts w:cs="Arial"/>
                <w:sz w:val="21"/>
                <w:szCs w:val="21"/>
              </w:rPr>
            </w:pPr>
            <w:r w:rsidRPr="00E94E01">
              <w:rPr>
                <w:rFonts w:cs="Arial"/>
                <w:sz w:val="21"/>
                <w:szCs w:val="21"/>
              </w:rPr>
              <w:t>Apr 2018-Apr 2023</w:t>
            </w:r>
          </w:p>
        </w:tc>
        <w:tc>
          <w:tcPr>
            <w:tcW w:w="2126" w:type="dxa"/>
          </w:tcPr>
          <w:p w:rsidR="001E4223" w:rsidRPr="00E94E01" w:rsidRDefault="001E4223" w:rsidP="00AD372F">
            <w:pPr>
              <w:jc w:val="center"/>
              <w:rPr>
                <w:rFonts w:cs="Arial"/>
                <w:sz w:val="21"/>
                <w:szCs w:val="21"/>
              </w:rPr>
            </w:pPr>
            <w:r w:rsidRPr="00E94E01">
              <w:rPr>
                <w:rFonts w:cs="Arial"/>
                <w:sz w:val="21"/>
                <w:szCs w:val="21"/>
              </w:rPr>
              <w:t>10 districts</w:t>
            </w:r>
          </w:p>
        </w:tc>
        <w:tc>
          <w:tcPr>
            <w:tcW w:w="1800" w:type="dxa"/>
          </w:tcPr>
          <w:p w:rsidR="001E4223" w:rsidRPr="00E94E01" w:rsidRDefault="001E4223" w:rsidP="00AD372F">
            <w:pPr>
              <w:jc w:val="center"/>
              <w:rPr>
                <w:rFonts w:cs="Arial"/>
                <w:sz w:val="21"/>
                <w:szCs w:val="21"/>
              </w:rPr>
            </w:pPr>
            <w:r w:rsidRPr="00E94E01">
              <w:rPr>
                <w:rFonts w:cs="Arial"/>
                <w:sz w:val="21"/>
                <w:szCs w:val="21"/>
              </w:rPr>
              <w:t xml:space="preserve">USD </w:t>
            </w:r>
            <w:r w:rsidRPr="00E94E01">
              <w:rPr>
                <w:rFonts w:eastAsia="Calibri" w:cs="Arial"/>
                <w:sz w:val="21"/>
                <w:szCs w:val="21"/>
              </w:rPr>
              <w:t>49.5million</w:t>
            </w:r>
          </w:p>
        </w:tc>
        <w:tc>
          <w:tcPr>
            <w:tcW w:w="2880" w:type="dxa"/>
          </w:tcPr>
          <w:p w:rsidR="001E4223" w:rsidRPr="00E94E01" w:rsidRDefault="001E4223" w:rsidP="00AD372F">
            <w:pPr>
              <w:rPr>
                <w:rFonts w:cs="Arial"/>
                <w:sz w:val="21"/>
                <w:szCs w:val="21"/>
              </w:rPr>
            </w:pPr>
            <w:r w:rsidRPr="00E94E01">
              <w:rPr>
                <w:rFonts w:cs="Arial"/>
                <w:sz w:val="21"/>
                <w:szCs w:val="21"/>
              </w:rPr>
              <w:t>Save the Children</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4</w:t>
            </w:r>
          </w:p>
        </w:tc>
        <w:tc>
          <w:tcPr>
            <w:tcW w:w="4770" w:type="dxa"/>
            <w:gridSpan w:val="2"/>
          </w:tcPr>
          <w:p w:rsidR="001E4223" w:rsidRPr="00E94E01" w:rsidRDefault="001E4223" w:rsidP="00AD372F">
            <w:pPr>
              <w:rPr>
                <w:rFonts w:cs="Arial"/>
                <w:sz w:val="21"/>
                <w:szCs w:val="21"/>
              </w:rPr>
            </w:pPr>
            <w:r w:rsidRPr="00E94E01">
              <w:rPr>
                <w:rFonts w:eastAsia="Calibri" w:cs="Arial"/>
                <w:sz w:val="21"/>
                <w:szCs w:val="21"/>
              </w:rPr>
              <w:t>Accelerating Universal Access to Family Planning (AUAFP)</w:t>
            </w:r>
          </w:p>
        </w:tc>
        <w:tc>
          <w:tcPr>
            <w:tcW w:w="1807" w:type="dxa"/>
          </w:tcPr>
          <w:p w:rsidR="001E4223" w:rsidRPr="00E94E01" w:rsidRDefault="001E4223" w:rsidP="00AD372F">
            <w:pPr>
              <w:jc w:val="center"/>
              <w:rPr>
                <w:rFonts w:cs="Arial"/>
                <w:sz w:val="21"/>
                <w:szCs w:val="21"/>
              </w:rPr>
            </w:pPr>
            <w:r w:rsidRPr="00E94E01">
              <w:rPr>
                <w:rFonts w:cs="Arial"/>
                <w:sz w:val="21"/>
                <w:szCs w:val="21"/>
              </w:rPr>
              <w:t>Jul 2018-2023</w:t>
            </w:r>
          </w:p>
        </w:tc>
        <w:tc>
          <w:tcPr>
            <w:tcW w:w="2126" w:type="dxa"/>
          </w:tcPr>
          <w:p w:rsidR="001E4223" w:rsidRPr="00E94E01" w:rsidRDefault="001E4223" w:rsidP="00AD372F">
            <w:pPr>
              <w:jc w:val="center"/>
              <w:rPr>
                <w:rFonts w:cs="Arial"/>
                <w:sz w:val="21"/>
                <w:szCs w:val="21"/>
              </w:rPr>
            </w:pPr>
            <w:r w:rsidRPr="00E94E01">
              <w:rPr>
                <w:rFonts w:cs="Arial"/>
                <w:sz w:val="21"/>
                <w:szCs w:val="21"/>
              </w:rPr>
              <w:t>Nationwide</w:t>
            </w:r>
          </w:p>
        </w:tc>
        <w:tc>
          <w:tcPr>
            <w:tcW w:w="1800" w:type="dxa"/>
          </w:tcPr>
          <w:p w:rsidR="001E4223" w:rsidRPr="00E94E01" w:rsidRDefault="001E4223" w:rsidP="00AD372F">
            <w:pPr>
              <w:jc w:val="center"/>
              <w:rPr>
                <w:rFonts w:cs="Arial"/>
                <w:sz w:val="21"/>
                <w:szCs w:val="21"/>
              </w:rPr>
            </w:pPr>
            <w:r w:rsidRPr="00E94E01">
              <w:rPr>
                <w:rFonts w:cs="Arial"/>
                <w:color w:val="222222"/>
                <w:sz w:val="21"/>
                <w:szCs w:val="21"/>
                <w:shd w:val="clear" w:color="auto" w:fill="FFFFFF"/>
              </w:rPr>
              <w:t>USD 40.6million</w:t>
            </w:r>
          </w:p>
        </w:tc>
        <w:tc>
          <w:tcPr>
            <w:tcW w:w="2880" w:type="dxa"/>
          </w:tcPr>
          <w:p w:rsidR="001E4223" w:rsidRPr="00E94E01" w:rsidRDefault="001E4223" w:rsidP="00AD372F">
            <w:pPr>
              <w:rPr>
                <w:rFonts w:cs="Arial"/>
                <w:sz w:val="21"/>
                <w:szCs w:val="21"/>
              </w:rPr>
            </w:pPr>
            <w:r w:rsidRPr="00E94E01">
              <w:rPr>
                <w:rFonts w:cs="Arial"/>
                <w:sz w:val="21"/>
                <w:szCs w:val="21"/>
              </w:rPr>
              <w:t>Pathfinder International/</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5</w:t>
            </w:r>
          </w:p>
        </w:tc>
        <w:tc>
          <w:tcPr>
            <w:tcW w:w="4770" w:type="dxa"/>
            <w:gridSpan w:val="2"/>
          </w:tcPr>
          <w:p w:rsidR="001E4223" w:rsidRPr="00E94E01" w:rsidRDefault="001E4223" w:rsidP="00AD372F">
            <w:pPr>
              <w:pStyle w:val="ListParagraph"/>
              <w:widowControl w:val="0"/>
              <w:tabs>
                <w:tab w:val="left" w:pos="270"/>
              </w:tabs>
              <w:ind w:left="0"/>
              <w:contextualSpacing w:val="0"/>
              <w:rPr>
                <w:rFonts w:cs="Arial"/>
                <w:sz w:val="21"/>
                <w:szCs w:val="21"/>
              </w:rPr>
            </w:pPr>
            <w:proofErr w:type="spellStart"/>
            <w:r w:rsidRPr="00E94E01">
              <w:rPr>
                <w:rFonts w:eastAsia="Calibri" w:cs="Arial"/>
                <w:sz w:val="21"/>
                <w:szCs w:val="21"/>
              </w:rPr>
              <w:t>Ujjiban</w:t>
            </w:r>
            <w:proofErr w:type="spellEnd"/>
            <w:r w:rsidRPr="00E94E01">
              <w:rPr>
                <w:rFonts w:eastAsia="Calibri" w:cs="Arial"/>
                <w:sz w:val="21"/>
                <w:szCs w:val="21"/>
              </w:rPr>
              <w:t xml:space="preserve"> Social and </w:t>
            </w:r>
            <w:proofErr w:type="spellStart"/>
            <w:r w:rsidRPr="00E94E01">
              <w:rPr>
                <w:rFonts w:eastAsia="Calibri" w:cs="Arial"/>
                <w:sz w:val="21"/>
                <w:szCs w:val="21"/>
              </w:rPr>
              <w:t>Behavioral</w:t>
            </w:r>
            <w:proofErr w:type="spellEnd"/>
            <w:r w:rsidRPr="00E94E01">
              <w:rPr>
                <w:rFonts w:eastAsia="Calibri" w:cs="Arial"/>
                <w:sz w:val="21"/>
                <w:szCs w:val="21"/>
              </w:rPr>
              <w:t xml:space="preserve"> Change Communication (SBCC) Activity</w:t>
            </w:r>
          </w:p>
        </w:tc>
        <w:tc>
          <w:tcPr>
            <w:tcW w:w="1807" w:type="dxa"/>
          </w:tcPr>
          <w:p w:rsidR="001E4223" w:rsidRPr="00E94E01" w:rsidRDefault="001E4223" w:rsidP="00AD372F">
            <w:pPr>
              <w:jc w:val="center"/>
              <w:rPr>
                <w:rFonts w:cs="Arial"/>
                <w:sz w:val="21"/>
                <w:szCs w:val="21"/>
              </w:rPr>
            </w:pPr>
            <w:r w:rsidRPr="00E94E01">
              <w:rPr>
                <w:rFonts w:cs="Arial"/>
                <w:sz w:val="21"/>
                <w:szCs w:val="21"/>
              </w:rPr>
              <w:t>Mar 2017-2022</w:t>
            </w:r>
          </w:p>
        </w:tc>
        <w:tc>
          <w:tcPr>
            <w:tcW w:w="2126" w:type="dxa"/>
          </w:tcPr>
          <w:p w:rsidR="001E4223" w:rsidRPr="00E94E01" w:rsidRDefault="001E4223" w:rsidP="00AD372F">
            <w:pPr>
              <w:jc w:val="center"/>
              <w:rPr>
                <w:rFonts w:cs="Arial"/>
                <w:sz w:val="21"/>
                <w:szCs w:val="21"/>
              </w:rPr>
            </w:pPr>
            <w:r w:rsidRPr="00E94E01">
              <w:rPr>
                <w:rFonts w:cs="Arial"/>
                <w:sz w:val="21"/>
                <w:szCs w:val="21"/>
              </w:rPr>
              <w:t>Nationwide</w:t>
            </w:r>
          </w:p>
        </w:tc>
        <w:tc>
          <w:tcPr>
            <w:tcW w:w="1800" w:type="dxa"/>
          </w:tcPr>
          <w:p w:rsidR="001E4223" w:rsidRPr="00E94E01" w:rsidRDefault="001E4223" w:rsidP="00AD372F">
            <w:pPr>
              <w:jc w:val="center"/>
              <w:rPr>
                <w:rFonts w:cs="Arial"/>
                <w:sz w:val="21"/>
                <w:szCs w:val="21"/>
              </w:rPr>
            </w:pPr>
            <w:r w:rsidRPr="00E94E01">
              <w:rPr>
                <w:rFonts w:cs="Arial"/>
                <w:sz w:val="21"/>
                <w:szCs w:val="21"/>
              </w:rPr>
              <w:t>USD 15 million</w:t>
            </w:r>
          </w:p>
        </w:tc>
        <w:tc>
          <w:tcPr>
            <w:tcW w:w="2880" w:type="dxa"/>
          </w:tcPr>
          <w:p w:rsidR="001E4223" w:rsidRPr="00E94E01" w:rsidRDefault="001E4223" w:rsidP="00AD372F">
            <w:pPr>
              <w:rPr>
                <w:rFonts w:cs="Arial"/>
                <w:sz w:val="21"/>
                <w:szCs w:val="21"/>
              </w:rPr>
            </w:pPr>
            <w:r w:rsidRPr="00E94E01">
              <w:rPr>
                <w:rFonts w:cs="Arial"/>
                <w:sz w:val="21"/>
                <w:szCs w:val="21"/>
              </w:rPr>
              <w:t xml:space="preserve">John Hopkins </w:t>
            </w:r>
            <w:proofErr w:type="spellStart"/>
            <w:r w:rsidRPr="00E94E01">
              <w:rPr>
                <w:rFonts w:cs="Arial"/>
                <w:sz w:val="21"/>
                <w:szCs w:val="21"/>
              </w:rPr>
              <w:t>Univsity</w:t>
            </w:r>
            <w:proofErr w:type="spellEnd"/>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6</w:t>
            </w:r>
          </w:p>
        </w:tc>
        <w:tc>
          <w:tcPr>
            <w:tcW w:w="4770" w:type="dxa"/>
            <w:gridSpan w:val="2"/>
          </w:tcPr>
          <w:p w:rsidR="001E4223" w:rsidRPr="00E94E01" w:rsidRDefault="001E4223" w:rsidP="00AD372F">
            <w:pPr>
              <w:pStyle w:val="ListParagraph"/>
              <w:widowControl w:val="0"/>
              <w:ind w:left="0"/>
              <w:contextualSpacing w:val="0"/>
              <w:rPr>
                <w:rFonts w:eastAsia="Calibri" w:cs="Arial"/>
                <w:bCs/>
                <w:i/>
                <w:sz w:val="21"/>
                <w:szCs w:val="21"/>
              </w:rPr>
            </w:pPr>
            <w:r w:rsidRPr="00E94E01">
              <w:rPr>
                <w:rFonts w:eastAsia="Calibri" w:cs="Arial"/>
                <w:bCs/>
                <w:sz w:val="21"/>
                <w:szCs w:val="21"/>
              </w:rPr>
              <w:t>Advancing Adolescent Health (A2H) Activity</w:t>
            </w:r>
          </w:p>
        </w:tc>
        <w:tc>
          <w:tcPr>
            <w:tcW w:w="1807" w:type="dxa"/>
          </w:tcPr>
          <w:p w:rsidR="001E4223" w:rsidRPr="00E94E01" w:rsidRDefault="001E4223" w:rsidP="00AD372F">
            <w:pPr>
              <w:jc w:val="center"/>
              <w:rPr>
                <w:rFonts w:cs="Arial"/>
                <w:sz w:val="21"/>
                <w:szCs w:val="21"/>
              </w:rPr>
            </w:pPr>
            <w:r w:rsidRPr="00E94E01">
              <w:rPr>
                <w:rFonts w:cs="Arial"/>
                <w:sz w:val="21"/>
                <w:szCs w:val="21"/>
              </w:rPr>
              <w:t>Jan 2016-2019</w:t>
            </w:r>
          </w:p>
        </w:tc>
        <w:tc>
          <w:tcPr>
            <w:tcW w:w="2126" w:type="dxa"/>
          </w:tcPr>
          <w:p w:rsidR="001E4223" w:rsidRPr="00E94E01" w:rsidRDefault="001E4223" w:rsidP="00AD372F">
            <w:pPr>
              <w:jc w:val="center"/>
              <w:rPr>
                <w:rFonts w:cs="Arial"/>
                <w:sz w:val="21"/>
                <w:szCs w:val="21"/>
              </w:rPr>
            </w:pPr>
          </w:p>
        </w:tc>
        <w:tc>
          <w:tcPr>
            <w:tcW w:w="1800" w:type="dxa"/>
          </w:tcPr>
          <w:p w:rsidR="001E4223" w:rsidRPr="00E94E01" w:rsidRDefault="001E4223" w:rsidP="00AD372F">
            <w:pPr>
              <w:jc w:val="center"/>
              <w:rPr>
                <w:rFonts w:cs="Arial"/>
                <w:sz w:val="21"/>
                <w:szCs w:val="21"/>
              </w:rPr>
            </w:pPr>
            <w:r w:rsidRPr="00E94E01">
              <w:rPr>
                <w:rFonts w:cs="Arial"/>
                <w:sz w:val="21"/>
                <w:szCs w:val="21"/>
              </w:rPr>
              <w:t>USD 6million</w:t>
            </w:r>
          </w:p>
        </w:tc>
        <w:tc>
          <w:tcPr>
            <w:tcW w:w="2880" w:type="dxa"/>
          </w:tcPr>
          <w:p w:rsidR="001E4223" w:rsidRPr="00E94E01" w:rsidRDefault="001E4223" w:rsidP="00AD372F">
            <w:pPr>
              <w:rPr>
                <w:rFonts w:cs="Arial"/>
                <w:sz w:val="21"/>
                <w:szCs w:val="21"/>
              </w:rPr>
            </w:pPr>
            <w:r w:rsidRPr="00E94E01">
              <w:rPr>
                <w:rFonts w:cs="Arial"/>
                <w:sz w:val="21"/>
                <w:szCs w:val="21"/>
              </w:rPr>
              <w:t>Plan USA</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7</w:t>
            </w:r>
          </w:p>
        </w:tc>
        <w:tc>
          <w:tcPr>
            <w:tcW w:w="4770" w:type="dxa"/>
            <w:gridSpan w:val="2"/>
          </w:tcPr>
          <w:p w:rsidR="001E4223" w:rsidRPr="00E94E01" w:rsidRDefault="001E4223" w:rsidP="00AD372F">
            <w:pPr>
              <w:pStyle w:val="ListParagraph"/>
              <w:widowControl w:val="0"/>
              <w:tabs>
                <w:tab w:val="left" w:pos="270"/>
              </w:tabs>
              <w:ind w:left="0"/>
              <w:contextualSpacing w:val="0"/>
              <w:rPr>
                <w:rFonts w:cs="Arial"/>
                <w:sz w:val="21"/>
                <w:szCs w:val="21"/>
              </w:rPr>
            </w:pPr>
            <w:r w:rsidRPr="00E94E01">
              <w:rPr>
                <w:rFonts w:cs="Arial"/>
                <w:sz w:val="21"/>
                <w:szCs w:val="21"/>
              </w:rPr>
              <w:t>Research for Decision Makers</w:t>
            </w:r>
          </w:p>
          <w:p w:rsidR="001E4223" w:rsidRPr="00E94E01" w:rsidRDefault="001E4223" w:rsidP="00AD372F">
            <w:pPr>
              <w:rPr>
                <w:rFonts w:cs="Arial"/>
                <w:sz w:val="21"/>
                <w:szCs w:val="21"/>
              </w:rPr>
            </w:pPr>
          </w:p>
        </w:tc>
        <w:tc>
          <w:tcPr>
            <w:tcW w:w="1807" w:type="dxa"/>
          </w:tcPr>
          <w:p w:rsidR="001E4223" w:rsidRPr="00E94E01" w:rsidRDefault="001E4223" w:rsidP="00AD372F">
            <w:pPr>
              <w:jc w:val="center"/>
              <w:rPr>
                <w:rFonts w:cs="Arial"/>
                <w:sz w:val="21"/>
                <w:szCs w:val="21"/>
              </w:rPr>
            </w:pPr>
            <w:r w:rsidRPr="00E94E01">
              <w:rPr>
                <w:rFonts w:cs="Arial"/>
                <w:sz w:val="21"/>
                <w:szCs w:val="21"/>
              </w:rPr>
              <w:t>May 2017-2022</w:t>
            </w:r>
          </w:p>
        </w:tc>
        <w:tc>
          <w:tcPr>
            <w:tcW w:w="2126" w:type="dxa"/>
          </w:tcPr>
          <w:p w:rsidR="001E4223" w:rsidRPr="00E94E01" w:rsidRDefault="001E4223" w:rsidP="00AD372F">
            <w:pPr>
              <w:jc w:val="center"/>
              <w:rPr>
                <w:rFonts w:cs="Arial"/>
                <w:sz w:val="21"/>
                <w:szCs w:val="21"/>
              </w:rPr>
            </w:pPr>
            <w:r w:rsidRPr="00E94E01">
              <w:rPr>
                <w:rFonts w:cs="Arial"/>
                <w:sz w:val="21"/>
                <w:szCs w:val="21"/>
              </w:rPr>
              <w:t>Nationwide</w:t>
            </w:r>
          </w:p>
        </w:tc>
        <w:tc>
          <w:tcPr>
            <w:tcW w:w="1800" w:type="dxa"/>
          </w:tcPr>
          <w:p w:rsidR="001E4223" w:rsidRPr="00E94E01" w:rsidRDefault="001E4223" w:rsidP="00AD372F">
            <w:pPr>
              <w:jc w:val="center"/>
              <w:rPr>
                <w:rFonts w:cs="Arial"/>
                <w:sz w:val="21"/>
                <w:szCs w:val="21"/>
              </w:rPr>
            </w:pPr>
            <w:r w:rsidRPr="00E94E01">
              <w:rPr>
                <w:rFonts w:cs="Arial"/>
                <w:sz w:val="21"/>
                <w:szCs w:val="21"/>
              </w:rPr>
              <w:t>USD 15million</w:t>
            </w:r>
          </w:p>
        </w:tc>
        <w:tc>
          <w:tcPr>
            <w:tcW w:w="2880" w:type="dxa"/>
          </w:tcPr>
          <w:p w:rsidR="001E4223" w:rsidRPr="00E94E01" w:rsidRDefault="001E4223" w:rsidP="00AD372F">
            <w:pPr>
              <w:rPr>
                <w:rFonts w:cs="Arial"/>
                <w:sz w:val="21"/>
                <w:szCs w:val="21"/>
              </w:rPr>
            </w:pPr>
            <w:proofErr w:type="spellStart"/>
            <w:r w:rsidRPr="00E94E01">
              <w:rPr>
                <w:rFonts w:cs="Arial"/>
                <w:sz w:val="21"/>
                <w:szCs w:val="21"/>
              </w:rPr>
              <w:t>Icddr,B</w:t>
            </w:r>
            <w:proofErr w:type="spellEnd"/>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8</w:t>
            </w:r>
          </w:p>
        </w:tc>
        <w:tc>
          <w:tcPr>
            <w:tcW w:w="4770" w:type="dxa"/>
            <w:gridSpan w:val="2"/>
          </w:tcPr>
          <w:p w:rsidR="001E4223" w:rsidRPr="00E94E01" w:rsidRDefault="001E4223" w:rsidP="00AD372F">
            <w:pPr>
              <w:pStyle w:val="ListParagraph"/>
              <w:widowControl w:val="0"/>
              <w:tabs>
                <w:tab w:val="left" w:pos="270"/>
              </w:tabs>
              <w:ind w:left="0"/>
              <w:contextualSpacing w:val="0"/>
              <w:rPr>
                <w:rFonts w:cs="Arial"/>
                <w:sz w:val="21"/>
                <w:szCs w:val="21"/>
              </w:rPr>
            </w:pPr>
            <w:r w:rsidRPr="00E94E01">
              <w:rPr>
                <w:rFonts w:cs="Arial"/>
                <w:sz w:val="21"/>
                <w:szCs w:val="21"/>
              </w:rPr>
              <w:t>Improving Nutrition using Community-Based Approaches (INCA)</w:t>
            </w:r>
          </w:p>
        </w:tc>
        <w:tc>
          <w:tcPr>
            <w:tcW w:w="1807" w:type="dxa"/>
          </w:tcPr>
          <w:p w:rsidR="001E4223" w:rsidRPr="00E94E01" w:rsidRDefault="001E4223" w:rsidP="00AD372F">
            <w:pPr>
              <w:jc w:val="center"/>
              <w:rPr>
                <w:rFonts w:cs="Arial"/>
                <w:sz w:val="21"/>
                <w:szCs w:val="21"/>
              </w:rPr>
            </w:pPr>
            <w:r w:rsidRPr="00E94E01">
              <w:rPr>
                <w:rFonts w:cs="Arial"/>
                <w:sz w:val="21"/>
                <w:szCs w:val="21"/>
              </w:rPr>
              <w:t>May 2017-2020</w:t>
            </w:r>
          </w:p>
        </w:tc>
        <w:tc>
          <w:tcPr>
            <w:tcW w:w="2126" w:type="dxa"/>
          </w:tcPr>
          <w:p w:rsidR="001E4223" w:rsidRPr="00E94E01" w:rsidRDefault="001E4223" w:rsidP="00AD372F">
            <w:pPr>
              <w:jc w:val="center"/>
              <w:rPr>
                <w:rFonts w:cs="Arial"/>
                <w:sz w:val="21"/>
                <w:szCs w:val="21"/>
              </w:rPr>
            </w:pPr>
            <w:r w:rsidRPr="00E94E01">
              <w:rPr>
                <w:rFonts w:cs="Arial"/>
                <w:sz w:val="21"/>
                <w:szCs w:val="21"/>
              </w:rPr>
              <w:t>3 districts</w:t>
            </w:r>
          </w:p>
        </w:tc>
        <w:tc>
          <w:tcPr>
            <w:tcW w:w="1800" w:type="dxa"/>
          </w:tcPr>
          <w:p w:rsidR="001E4223" w:rsidRPr="00E94E01" w:rsidRDefault="001E4223" w:rsidP="00AD372F">
            <w:pPr>
              <w:jc w:val="center"/>
              <w:rPr>
                <w:rFonts w:cs="Arial"/>
                <w:sz w:val="21"/>
                <w:szCs w:val="21"/>
              </w:rPr>
            </w:pPr>
            <w:r w:rsidRPr="00E94E01">
              <w:rPr>
                <w:rFonts w:cs="Arial"/>
                <w:sz w:val="21"/>
                <w:szCs w:val="21"/>
              </w:rPr>
              <w:t>USD 4.5 million</w:t>
            </w:r>
          </w:p>
        </w:tc>
        <w:tc>
          <w:tcPr>
            <w:tcW w:w="2880" w:type="dxa"/>
          </w:tcPr>
          <w:p w:rsidR="001E4223" w:rsidRPr="00E94E01" w:rsidRDefault="001E4223" w:rsidP="00AD372F">
            <w:pPr>
              <w:rPr>
                <w:rFonts w:cs="Arial"/>
                <w:sz w:val="21"/>
                <w:szCs w:val="21"/>
              </w:rPr>
            </w:pPr>
            <w:r w:rsidRPr="00E94E01">
              <w:rPr>
                <w:rFonts w:cs="Arial"/>
                <w:sz w:val="21"/>
                <w:szCs w:val="21"/>
              </w:rPr>
              <w:t>Caritas Bangladesh</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9</w:t>
            </w:r>
          </w:p>
        </w:tc>
        <w:tc>
          <w:tcPr>
            <w:tcW w:w="4770" w:type="dxa"/>
            <w:gridSpan w:val="2"/>
          </w:tcPr>
          <w:p w:rsidR="001E4223" w:rsidRPr="00E94E01" w:rsidRDefault="001E4223" w:rsidP="00AD372F">
            <w:pPr>
              <w:rPr>
                <w:rFonts w:cs="Arial"/>
                <w:sz w:val="21"/>
                <w:szCs w:val="21"/>
              </w:rPr>
            </w:pPr>
            <w:r w:rsidRPr="00E94E01">
              <w:rPr>
                <w:rFonts w:eastAsia="Calibri" w:cs="Arial"/>
                <w:sz w:val="21"/>
                <w:szCs w:val="21"/>
              </w:rPr>
              <w:t>Early Childhood Development Mass Media Activity (</w:t>
            </w:r>
            <w:proofErr w:type="spellStart"/>
            <w:r w:rsidRPr="00E94E01">
              <w:rPr>
                <w:rFonts w:eastAsia="Calibri" w:cs="Arial"/>
                <w:sz w:val="21"/>
                <w:szCs w:val="21"/>
              </w:rPr>
              <w:t>Sisimpur</w:t>
            </w:r>
            <w:proofErr w:type="spellEnd"/>
            <w:r w:rsidRPr="00E94E01">
              <w:rPr>
                <w:rFonts w:eastAsia="Calibri" w:cs="Arial"/>
                <w:sz w:val="21"/>
                <w:szCs w:val="21"/>
              </w:rPr>
              <w:t>)</w:t>
            </w:r>
          </w:p>
        </w:tc>
        <w:tc>
          <w:tcPr>
            <w:tcW w:w="1807" w:type="dxa"/>
          </w:tcPr>
          <w:p w:rsidR="001E4223" w:rsidRPr="00E94E01" w:rsidRDefault="001E4223" w:rsidP="00AD372F">
            <w:pPr>
              <w:jc w:val="center"/>
              <w:rPr>
                <w:rFonts w:cs="Arial"/>
                <w:sz w:val="21"/>
                <w:szCs w:val="21"/>
              </w:rPr>
            </w:pPr>
            <w:r w:rsidRPr="00E94E01">
              <w:rPr>
                <w:rFonts w:cs="Arial"/>
                <w:sz w:val="21"/>
                <w:szCs w:val="21"/>
              </w:rPr>
              <w:t>Dec 2017-Nov 2021</w:t>
            </w:r>
          </w:p>
        </w:tc>
        <w:tc>
          <w:tcPr>
            <w:tcW w:w="2126" w:type="dxa"/>
          </w:tcPr>
          <w:p w:rsidR="001E4223" w:rsidRPr="00E94E01" w:rsidRDefault="001E4223" w:rsidP="00AD372F">
            <w:pPr>
              <w:jc w:val="center"/>
              <w:rPr>
                <w:rFonts w:cs="Arial"/>
                <w:sz w:val="21"/>
                <w:szCs w:val="21"/>
              </w:rPr>
            </w:pPr>
            <w:r w:rsidRPr="00E94E01">
              <w:rPr>
                <w:rFonts w:cs="Arial"/>
                <w:sz w:val="21"/>
                <w:szCs w:val="21"/>
              </w:rPr>
              <w:t>Nationwide</w:t>
            </w:r>
          </w:p>
        </w:tc>
        <w:tc>
          <w:tcPr>
            <w:tcW w:w="1800" w:type="dxa"/>
          </w:tcPr>
          <w:p w:rsidR="001E4223" w:rsidRPr="00E94E01" w:rsidRDefault="001E4223" w:rsidP="00AD372F">
            <w:pPr>
              <w:jc w:val="center"/>
              <w:rPr>
                <w:rFonts w:cs="Arial"/>
                <w:sz w:val="21"/>
                <w:szCs w:val="21"/>
              </w:rPr>
            </w:pPr>
            <w:r w:rsidRPr="00E94E01">
              <w:rPr>
                <w:rFonts w:cs="Arial"/>
                <w:sz w:val="21"/>
                <w:szCs w:val="21"/>
              </w:rPr>
              <w:t>USD 4million</w:t>
            </w:r>
          </w:p>
        </w:tc>
        <w:tc>
          <w:tcPr>
            <w:tcW w:w="2880" w:type="dxa"/>
          </w:tcPr>
          <w:p w:rsidR="001E4223" w:rsidRPr="00E94E01" w:rsidRDefault="001E4223" w:rsidP="00AD372F">
            <w:pPr>
              <w:rPr>
                <w:rFonts w:cs="Arial"/>
                <w:sz w:val="21"/>
                <w:szCs w:val="21"/>
              </w:rPr>
            </w:pPr>
            <w:r w:rsidRPr="00E94E01">
              <w:rPr>
                <w:rFonts w:eastAsia="Calibri" w:cs="Arial"/>
                <w:sz w:val="21"/>
                <w:szCs w:val="21"/>
              </w:rPr>
              <w:t>Sesame Workshop, New York</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10</w:t>
            </w:r>
          </w:p>
        </w:tc>
        <w:tc>
          <w:tcPr>
            <w:tcW w:w="4770" w:type="dxa"/>
            <w:gridSpan w:val="2"/>
          </w:tcPr>
          <w:p w:rsidR="001E4223" w:rsidRPr="00E94E01" w:rsidRDefault="001E4223" w:rsidP="00AD372F">
            <w:pPr>
              <w:pStyle w:val="ListParagraph"/>
              <w:ind w:left="0"/>
              <w:contextualSpacing w:val="0"/>
              <w:rPr>
                <w:rFonts w:cs="Arial"/>
                <w:sz w:val="21"/>
                <w:szCs w:val="21"/>
              </w:rPr>
            </w:pPr>
            <w:r w:rsidRPr="00E94E01">
              <w:rPr>
                <w:rFonts w:eastAsia="Calibri" w:cs="Arial"/>
                <w:sz w:val="21"/>
                <w:szCs w:val="21"/>
              </w:rPr>
              <w:t>Fistula Care Plus Project</w:t>
            </w:r>
          </w:p>
          <w:p w:rsidR="001E4223" w:rsidRPr="00E94E01" w:rsidRDefault="001E4223" w:rsidP="00AD372F">
            <w:pPr>
              <w:rPr>
                <w:rFonts w:cs="Arial"/>
                <w:sz w:val="21"/>
                <w:szCs w:val="21"/>
              </w:rPr>
            </w:pPr>
          </w:p>
        </w:tc>
        <w:tc>
          <w:tcPr>
            <w:tcW w:w="1807" w:type="dxa"/>
          </w:tcPr>
          <w:p w:rsidR="001E4223" w:rsidRPr="00E94E01" w:rsidRDefault="001E4223" w:rsidP="00AD372F">
            <w:pPr>
              <w:jc w:val="center"/>
              <w:rPr>
                <w:rFonts w:cs="Arial"/>
                <w:sz w:val="21"/>
                <w:szCs w:val="21"/>
              </w:rPr>
            </w:pPr>
            <w:r w:rsidRPr="00E94E01">
              <w:rPr>
                <w:rFonts w:cs="Arial"/>
                <w:sz w:val="21"/>
                <w:szCs w:val="21"/>
              </w:rPr>
              <w:t>Dec 2013-Dec 2018</w:t>
            </w:r>
          </w:p>
        </w:tc>
        <w:tc>
          <w:tcPr>
            <w:tcW w:w="2126" w:type="dxa"/>
          </w:tcPr>
          <w:p w:rsidR="001E4223" w:rsidRPr="00E94E01" w:rsidRDefault="001E4223" w:rsidP="00AD372F">
            <w:pPr>
              <w:jc w:val="center"/>
              <w:rPr>
                <w:rFonts w:cs="Arial"/>
                <w:sz w:val="21"/>
                <w:szCs w:val="21"/>
              </w:rPr>
            </w:pPr>
            <w:r w:rsidRPr="00E94E01">
              <w:rPr>
                <w:rFonts w:cs="Arial"/>
                <w:sz w:val="21"/>
                <w:szCs w:val="21"/>
              </w:rPr>
              <w:t>Nationwide</w:t>
            </w:r>
          </w:p>
        </w:tc>
        <w:tc>
          <w:tcPr>
            <w:tcW w:w="1800" w:type="dxa"/>
          </w:tcPr>
          <w:p w:rsidR="001E4223" w:rsidRPr="00E94E01" w:rsidRDefault="001E4223" w:rsidP="00AD372F">
            <w:pPr>
              <w:jc w:val="center"/>
              <w:rPr>
                <w:rFonts w:cs="Arial"/>
                <w:sz w:val="21"/>
                <w:szCs w:val="21"/>
              </w:rPr>
            </w:pPr>
            <w:r w:rsidRPr="00E94E01">
              <w:rPr>
                <w:rFonts w:cs="Arial"/>
                <w:sz w:val="21"/>
                <w:szCs w:val="21"/>
              </w:rPr>
              <w:t xml:space="preserve">USD </w:t>
            </w:r>
            <w:r w:rsidRPr="00E94E01">
              <w:rPr>
                <w:rFonts w:eastAsia="Calibri" w:cs="Arial"/>
                <w:sz w:val="21"/>
                <w:szCs w:val="21"/>
              </w:rPr>
              <w:t>5.9million</w:t>
            </w:r>
          </w:p>
        </w:tc>
        <w:tc>
          <w:tcPr>
            <w:tcW w:w="2880" w:type="dxa"/>
          </w:tcPr>
          <w:p w:rsidR="001E4223" w:rsidRPr="00E94E01" w:rsidRDefault="001E4223" w:rsidP="00AD372F">
            <w:pPr>
              <w:rPr>
                <w:rFonts w:cs="Arial"/>
                <w:sz w:val="21"/>
                <w:szCs w:val="21"/>
              </w:rPr>
            </w:pPr>
            <w:r w:rsidRPr="00E94E01">
              <w:rPr>
                <w:rFonts w:cs="Arial"/>
                <w:sz w:val="21"/>
                <w:szCs w:val="21"/>
              </w:rPr>
              <w:t>Engender Health</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11</w:t>
            </w:r>
          </w:p>
        </w:tc>
        <w:tc>
          <w:tcPr>
            <w:tcW w:w="4770" w:type="dxa"/>
            <w:gridSpan w:val="2"/>
          </w:tcPr>
          <w:p w:rsidR="001E4223" w:rsidRPr="00E94E01" w:rsidRDefault="001E4223" w:rsidP="00AD372F">
            <w:pPr>
              <w:widowControl w:val="0"/>
              <w:tabs>
                <w:tab w:val="left" w:pos="270"/>
              </w:tabs>
              <w:rPr>
                <w:rFonts w:cs="Arial"/>
                <w:sz w:val="21"/>
                <w:szCs w:val="21"/>
              </w:rPr>
            </w:pPr>
            <w:r w:rsidRPr="00E94E01">
              <w:rPr>
                <w:rFonts w:eastAsia="Calibri" w:cs="Arial"/>
                <w:sz w:val="21"/>
                <w:szCs w:val="21"/>
              </w:rPr>
              <w:t>APS PE/E (</w:t>
            </w:r>
            <w:r w:rsidRPr="00E94E01">
              <w:rPr>
                <w:rFonts w:cs="Arial"/>
                <w:sz w:val="21"/>
                <w:szCs w:val="21"/>
              </w:rPr>
              <w:t xml:space="preserve">Ending </w:t>
            </w:r>
            <w:proofErr w:type="spellStart"/>
            <w:r w:rsidRPr="00E94E01">
              <w:rPr>
                <w:rFonts w:cs="Arial"/>
                <w:sz w:val="21"/>
                <w:szCs w:val="21"/>
              </w:rPr>
              <w:t>Eclampsia</w:t>
            </w:r>
            <w:proofErr w:type="spellEnd"/>
            <w:r w:rsidRPr="00E94E01">
              <w:rPr>
                <w:rFonts w:cs="Arial"/>
                <w:sz w:val="21"/>
                <w:szCs w:val="21"/>
              </w:rPr>
              <w:t>)</w:t>
            </w:r>
          </w:p>
          <w:p w:rsidR="001E4223" w:rsidRPr="00E94E01" w:rsidRDefault="001E4223" w:rsidP="00AD372F">
            <w:pPr>
              <w:rPr>
                <w:rFonts w:cs="Arial"/>
                <w:sz w:val="21"/>
                <w:szCs w:val="21"/>
              </w:rPr>
            </w:pPr>
          </w:p>
        </w:tc>
        <w:tc>
          <w:tcPr>
            <w:tcW w:w="1807" w:type="dxa"/>
          </w:tcPr>
          <w:p w:rsidR="001E4223" w:rsidRPr="00E94E01" w:rsidRDefault="001E4223" w:rsidP="00AD372F">
            <w:pPr>
              <w:jc w:val="center"/>
              <w:rPr>
                <w:rFonts w:cs="Arial"/>
                <w:sz w:val="21"/>
                <w:szCs w:val="21"/>
              </w:rPr>
            </w:pPr>
            <w:r w:rsidRPr="00E94E01">
              <w:rPr>
                <w:rFonts w:eastAsia="Calibri" w:cs="Arial"/>
                <w:sz w:val="21"/>
                <w:szCs w:val="21"/>
              </w:rPr>
              <w:t>Oct 2012-Sep 2019</w:t>
            </w:r>
          </w:p>
        </w:tc>
        <w:tc>
          <w:tcPr>
            <w:tcW w:w="2126" w:type="dxa"/>
          </w:tcPr>
          <w:p w:rsidR="001E4223" w:rsidRPr="00E94E01" w:rsidRDefault="001E4223" w:rsidP="00AD372F">
            <w:pPr>
              <w:jc w:val="center"/>
              <w:rPr>
                <w:rFonts w:cs="Arial"/>
                <w:sz w:val="21"/>
                <w:szCs w:val="21"/>
              </w:rPr>
            </w:pPr>
          </w:p>
        </w:tc>
        <w:tc>
          <w:tcPr>
            <w:tcW w:w="1800" w:type="dxa"/>
          </w:tcPr>
          <w:p w:rsidR="001E4223" w:rsidRPr="00E94E01" w:rsidRDefault="001E4223" w:rsidP="00AD372F">
            <w:pPr>
              <w:jc w:val="center"/>
              <w:rPr>
                <w:rFonts w:cs="Arial"/>
                <w:sz w:val="21"/>
                <w:szCs w:val="21"/>
              </w:rPr>
            </w:pPr>
            <w:r w:rsidRPr="00E94E01">
              <w:rPr>
                <w:rFonts w:cs="Arial"/>
                <w:sz w:val="21"/>
                <w:szCs w:val="21"/>
              </w:rPr>
              <w:t xml:space="preserve">USD </w:t>
            </w:r>
            <w:r w:rsidRPr="00E94E01">
              <w:rPr>
                <w:rFonts w:eastAsia="Calibri" w:cs="Arial"/>
                <w:sz w:val="21"/>
                <w:szCs w:val="21"/>
              </w:rPr>
              <w:t>375,974</w:t>
            </w:r>
          </w:p>
        </w:tc>
        <w:tc>
          <w:tcPr>
            <w:tcW w:w="2880" w:type="dxa"/>
          </w:tcPr>
          <w:p w:rsidR="001E4223" w:rsidRPr="00E94E01" w:rsidRDefault="001E4223" w:rsidP="00AD372F">
            <w:pPr>
              <w:rPr>
                <w:rFonts w:cs="Arial"/>
                <w:sz w:val="21"/>
                <w:szCs w:val="21"/>
              </w:rPr>
            </w:pPr>
            <w:r w:rsidRPr="00E94E01">
              <w:rPr>
                <w:rFonts w:cs="Arial"/>
                <w:sz w:val="21"/>
                <w:szCs w:val="21"/>
              </w:rPr>
              <w:t>Population Council</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12</w:t>
            </w:r>
          </w:p>
        </w:tc>
        <w:tc>
          <w:tcPr>
            <w:tcW w:w="4770" w:type="dxa"/>
            <w:gridSpan w:val="2"/>
          </w:tcPr>
          <w:p w:rsidR="001E4223" w:rsidRPr="00E94E01" w:rsidRDefault="001E4223" w:rsidP="00AD372F">
            <w:pPr>
              <w:rPr>
                <w:rFonts w:cs="Arial"/>
                <w:sz w:val="21"/>
                <w:szCs w:val="21"/>
              </w:rPr>
            </w:pPr>
            <w:r w:rsidRPr="00E94E01">
              <w:rPr>
                <w:rFonts w:cs="Arial"/>
                <w:sz w:val="21"/>
                <w:szCs w:val="21"/>
              </w:rPr>
              <w:t xml:space="preserve">Mayer </w:t>
            </w:r>
            <w:proofErr w:type="spellStart"/>
            <w:r w:rsidRPr="00E94E01">
              <w:rPr>
                <w:rFonts w:cs="Arial"/>
                <w:sz w:val="21"/>
                <w:szCs w:val="21"/>
              </w:rPr>
              <w:t>Hashi</w:t>
            </w:r>
            <w:proofErr w:type="spellEnd"/>
            <w:r w:rsidRPr="00E94E01">
              <w:rPr>
                <w:rFonts w:cs="Arial"/>
                <w:sz w:val="21"/>
                <w:szCs w:val="21"/>
              </w:rPr>
              <w:t xml:space="preserve"> Family Planning Project in Bangladesh (MH-II)</w:t>
            </w:r>
          </w:p>
        </w:tc>
        <w:tc>
          <w:tcPr>
            <w:tcW w:w="1807" w:type="dxa"/>
          </w:tcPr>
          <w:p w:rsidR="001E4223" w:rsidRPr="00E94E01" w:rsidRDefault="001E4223" w:rsidP="00AD372F">
            <w:pPr>
              <w:jc w:val="center"/>
              <w:rPr>
                <w:rFonts w:cs="Arial"/>
                <w:sz w:val="21"/>
                <w:szCs w:val="21"/>
              </w:rPr>
            </w:pPr>
            <w:r w:rsidRPr="00E94E01">
              <w:rPr>
                <w:rFonts w:cs="Arial"/>
                <w:sz w:val="21"/>
                <w:szCs w:val="21"/>
              </w:rPr>
              <w:t>Oct 2013-Sep 2018</w:t>
            </w:r>
          </w:p>
        </w:tc>
        <w:tc>
          <w:tcPr>
            <w:tcW w:w="2126" w:type="dxa"/>
          </w:tcPr>
          <w:p w:rsidR="001E4223" w:rsidRPr="00E94E01" w:rsidRDefault="001E4223" w:rsidP="00AD372F">
            <w:pPr>
              <w:jc w:val="center"/>
              <w:rPr>
                <w:rFonts w:cs="Arial"/>
                <w:sz w:val="21"/>
                <w:szCs w:val="21"/>
              </w:rPr>
            </w:pPr>
          </w:p>
        </w:tc>
        <w:tc>
          <w:tcPr>
            <w:tcW w:w="1800" w:type="dxa"/>
          </w:tcPr>
          <w:p w:rsidR="001E4223" w:rsidRPr="00E94E01" w:rsidRDefault="001E4223" w:rsidP="00AD372F">
            <w:pPr>
              <w:jc w:val="center"/>
              <w:rPr>
                <w:rFonts w:cs="Arial"/>
                <w:sz w:val="21"/>
                <w:szCs w:val="21"/>
              </w:rPr>
            </w:pPr>
            <w:r w:rsidRPr="00E94E01">
              <w:rPr>
                <w:rFonts w:cs="Arial"/>
                <w:sz w:val="21"/>
                <w:szCs w:val="21"/>
              </w:rPr>
              <w:t>USD 20 million</w:t>
            </w:r>
          </w:p>
        </w:tc>
        <w:tc>
          <w:tcPr>
            <w:tcW w:w="2880" w:type="dxa"/>
          </w:tcPr>
          <w:p w:rsidR="001E4223" w:rsidRPr="00E94E01" w:rsidRDefault="001E4223" w:rsidP="00AD372F">
            <w:pPr>
              <w:rPr>
                <w:rFonts w:cs="Arial"/>
                <w:sz w:val="21"/>
                <w:szCs w:val="21"/>
              </w:rPr>
            </w:pPr>
            <w:r w:rsidRPr="00E94E01">
              <w:rPr>
                <w:rFonts w:cs="Arial"/>
                <w:sz w:val="21"/>
                <w:szCs w:val="21"/>
              </w:rPr>
              <w:t>Engender Health</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13</w:t>
            </w:r>
          </w:p>
        </w:tc>
        <w:tc>
          <w:tcPr>
            <w:tcW w:w="4770" w:type="dxa"/>
            <w:gridSpan w:val="2"/>
          </w:tcPr>
          <w:p w:rsidR="001E4223" w:rsidRPr="00E94E01" w:rsidRDefault="001E4223" w:rsidP="00AD372F">
            <w:pPr>
              <w:widowControl w:val="0"/>
              <w:tabs>
                <w:tab w:val="left" w:pos="270"/>
              </w:tabs>
              <w:rPr>
                <w:rFonts w:eastAsia="Calibri" w:cs="Arial"/>
                <w:sz w:val="21"/>
                <w:szCs w:val="21"/>
              </w:rPr>
            </w:pPr>
            <w:r w:rsidRPr="00E94E01">
              <w:rPr>
                <w:rFonts w:eastAsia="Calibri" w:cs="Arial"/>
                <w:sz w:val="21"/>
                <w:szCs w:val="21"/>
              </w:rPr>
              <w:t>Improving Community Health Workers Program Performance through Harmonization &amp; Community Engagement to Sustain Effective Coverage at Scale</w:t>
            </w:r>
          </w:p>
          <w:p w:rsidR="001E4223" w:rsidRPr="00E94E01" w:rsidRDefault="001E4223" w:rsidP="00AD372F">
            <w:pPr>
              <w:widowControl w:val="0"/>
              <w:tabs>
                <w:tab w:val="left" w:pos="270"/>
              </w:tabs>
              <w:rPr>
                <w:rFonts w:cs="Arial"/>
                <w:sz w:val="21"/>
                <w:szCs w:val="21"/>
              </w:rPr>
            </w:pPr>
          </w:p>
        </w:tc>
        <w:tc>
          <w:tcPr>
            <w:tcW w:w="1807" w:type="dxa"/>
          </w:tcPr>
          <w:p w:rsidR="001E4223" w:rsidRPr="00E94E01" w:rsidRDefault="001E4223" w:rsidP="00AD372F">
            <w:pPr>
              <w:jc w:val="center"/>
              <w:rPr>
                <w:rFonts w:cs="Arial"/>
                <w:sz w:val="21"/>
                <w:szCs w:val="21"/>
              </w:rPr>
            </w:pPr>
            <w:r w:rsidRPr="00E94E01">
              <w:rPr>
                <w:rFonts w:eastAsia="Calibri" w:cs="Arial"/>
                <w:sz w:val="21"/>
                <w:szCs w:val="21"/>
              </w:rPr>
              <w:t>Mar 2016-Mar 2020</w:t>
            </w:r>
          </w:p>
        </w:tc>
        <w:tc>
          <w:tcPr>
            <w:tcW w:w="2126" w:type="dxa"/>
          </w:tcPr>
          <w:p w:rsidR="001E4223" w:rsidRPr="00E94E01" w:rsidRDefault="001E4223" w:rsidP="00AD372F">
            <w:pPr>
              <w:jc w:val="center"/>
              <w:rPr>
                <w:rFonts w:cs="Arial"/>
                <w:sz w:val="21"/>
                <w:szCs w:val="21"/>
              </w:rPr>
            </w:pPr>
          </w:p>
        </w:tc>
        <w:tc>
          <w:tcPr>
            <w:tcW w:w="1800" w:type="dxa"/>
          </w:tcPr>
          <w:p w:rsidR="001E4223" w:rsidRPr="00E94E01" w:rsidRDefault="001E4223" w:rsidP="00AD372F">
            <w:pPr>
              <w:jc w:val="center"/>
              <w:rPr>
                <w:rFonts w:cs="Arial"/>
                <w:sz w:val="21"/>
                <w:szCs w:val="21"/>
              </w:rPr>
            </w:pPr>
            <w:r w:rsidRPr="00E94E01">
              <w:rPr>
                <w:rFonts w:eastAsia="Calibri" w:cs="Arial"/>
                <w:sz w:val="21"/>
                <w:szCs w:val="21"/>
              </w:rPr>
              <w:t>USD .25 million</w:t>
            </w:r>
          </w:p>
        </w:tc>
        <w:tc>
          <w:tcPr>
            <w:tcW w:w="2880" w:type="dxa"/>
          </w:tcPr>
          <w:p w:rsidR="001E4223" w:rsidRPr="00E94E01" w:rsidRDefault="001E4223" w:rsidP="00AD372F">
            <w:pPr>
              <w:rPr>
                <w:rFonts w:cs="Arial"/>
                <w:sz w:val="21"/>
                <w:szCs w:val="21"/>
              </w:rPr>
            </w:pPr>
            <w:r w:rsidRPr="00E94E01">
              <w:rPr>
                <w:rFonts w:eastAsia="Calibri" w:cs="Arial"/>
                <w:sz w:val="21"/>
                <w:szCs w:val="21"/>
              </w:rPr>
              <w:t>Save the Children</w:t>
            </w:r>
          </w:p>
        </w:tc>
      </w:tr>
      <w:tr w:rsidR="001E4223" w:rsidRPr="00E94E01" w:rsidTr="00AD372F">
        <w:trPr>
          <w:gridAfter w:val="1"/>
          <w:wAfter w:w="22" w:type="dxa"/>
          <w:trHeight w:val="746"/>
        </w:trPr>
        <w:tc>
          <w:tcPr>
            <w:tcW w:w="540" w:type="dxa"/>
          </w:tcPr>
          <w:p w:rsidR="001E4223" w:rsidRPr="00E94E01" w:rsidRDefault="001E4223" w:rsidP="00AD372F">
            <w:pPr>
              <w:rPr>
                <w:rFonts w:cs="Arial"/>
                <w:sz w:val="21"/>
                <w:szCs w:val="21"/>
              </w:rPr>
            </w:pPr>
          </w:p>
          <w:p w:rsidR="001E4223" w:rsidRPr="00E94E01" w:rsidRDefault="001E4223" w:rsidP="00AD372F">
            <w:pPr>
              <w:rPr>
                <w:rFonts w:cs="Arial"/>
                <w:sz w:val="21"/>
                <w:szCs w:val="21"/>
              </w:rPr>
            </w:pPr>
          </w:p>
        </w:tc>
        <w:tc>
          <w:tcPr>
            <w:tcW w:w="4770" w:type="dxa"/>
            <w:gridSpan w:val="2"/>
          </w:tcPr>
          <w:p w:rsidR="001E4223" w:rsidRPr="00E94E01" w:rsidRDefault="001E4223" w:rsidP="00AD372F">
            <w:pPr>
              <w:widowControl w:val="0"/>
              <w:tabs>
                <w:tab w:val="left" w:pos="270"/>
              </w:tabs>
              <w:rPr>
                <w:rFonts w:eastAsia="Calibri" w:cs="Arial"/>
                <w:sz w:val="21"/>
                <w:szCs w:val="21"/>
              </w:rPr>
            </w:pPr>
          </w:p>
        </w:tc>
        <w:tc>
          <w:tcPr>
            <w:tcW w:w="1807" w:type="dxa"/>
          </w:tcPr>
          <w:p w:rsidR="001E4223" w:rsidRPr="00E94E01" w:rsidRDefault="001E4223" w:rsidP="00AD372F">
            <w:pPr>
              <w:jc w:val="center"/>
              <w:rPr>
                <w:rFonts w:eastAsia="Calibri" w:cs="Arial"/>
                <w:sz w:val="21"/>
                <w:szCs w:val="21"/>
              </w:rPr>
            </w:pPr>
          </w:p>
        </w:tc>
        <w:tc>
          <w:tcPr>
            <w:tcW w:w="2126" w:type="dxa"/>
          </w:tcPr>
          <w:p w:rsidR="001E4223" w:rsidRPr="00E94E01" w:rsidRDefault="001E4223" w:rsidP="00AD372F">
            <w:pPr>
              <w:jc w:val="center"/>
              <w:rPr>
                <w:rFonts w:cs="Arial"/>
                <w:sz w:val="21"/>
                <w:szCs w:val="21"/>
              </w:rPr>
            </w:pPr>
          </w:p>
        </w:tc>
        <w:tc>
          <w:tcPr>
            <w:tcW w:w="1800" w:type="dxa"/>
          </w:tcPr>
          <w:p w:rsidR="001E4223" w:rsidRPr="00E94E01" w:rsidRDefault="001E4223" w:rsidP="00AD372F">
            <w:pPr>
              <w:jc w:val="center"/>
              <w:rPr>
                <w:rFonts w:eastAsia="Calibri" w:cs="Arial"/>
                <w:sz w:val="21"/>
                <w:szCs w:val="21"/>
              </w:rPr>
            </w:pPr>
          </w:p>
        </w:tc>
        <w:tc>
          <w:tcPr>
            <w:tcW w:w="2880" w:type="dxa"/>
          </w:tcPr>
          <w:p w:rsidR="001E4223" w:rsidRPr="00E94E01" w:rsidRDefault="001E4223" w:rsidP="00AD372F">
            <w:pPr>
              <w:rPr>
                <w:rFonts w:eastAsia="Calibri" w:cs="Arial"/>
                <w:sz w:val="21"/>
                <w:szCs w:val="21"/>
              </w:rPr>
            </w:pPr>
          </w:p>
        </w:tc>
      </w:tr>
      <w:tr w:rsidR="001E4223" w:rsidRPr="00E94E01" w:rsidTr="00AD372F">
        <w:trPr>
          <w:gridAfter w:val="1"/>
          <w:wAfter w:w="22" w:type="dxa"/>
        </w:trPr>
        <w:tc>
          <w:tcPr>
            <w:tcW w:w="540" w:type="dxa"/>
            <w:shd w:val="clear" w:color="auto" w:fill="D9D9D9" w:themeFill="background1" w:themeFillShade="D9"/>
          </w:tcPr>
          <w:p w:rsidR="001E4223" w:rsidRPr="00E94E01" w:rsidRDefault="001E4223" w:rsidP="00AD372F">
            <w:pPr>
              <w:jc w:val="center"/>
              <w:rPr>
                <w:rFonts w:cs="Arial"/>
                <w:sz w:val="21"/>
                <w:szCs w:val="21"/>
              </w:rPr>
            </w:pPr>
          </w:p>
        </w:tc>
        <w:tc>
          <w:tcPr>
            <w:tcW w:w="4734" w:type="dxa"/>
            <w:shd w:val="clear" w:color="auto" w:fill="D9D9D9" w:themeFill="background1" w:themeFillShade="D9"/>
          </w:tcPr>
          <w:p w:rsidR="001E4223" w:rsidRPr="00E94E01" w:rsidRDefault="001E4223" w:rsidP="00AD372F">
            <w:pPr>
              <w:jc w:val="center"/>
              <w:rPr>
                <w:rFonts w:cs="Arial"/>
                <w:sz w:val="21"/>
                <w:szCs w:val="21"/>
              </w:rPr>
            </w:pPr>
            <w:r w:rsidRPr="00E94E01">
              <w:rPr>
                <w:rFonts w:cs="Arial"/>
                <w:sz w:val="21"/>
                <w:szCs w:val="21"/>
              </w:rPr>
              <w:t>PROJECT TITLE</w:t>
            </w:r>
          </w:p>
        </w:tc>
        <w:tc>
          <w:tcPr>
            <w:tcW w:w="1843" w:type="dxa"/>
            <w:gridSpan w:val="2"/>
            <w:shd w:val="clear" w:color="auto" w:fill="D9D9D9" w:themeFill="background1" w:themeFillShade="D9"/>
          </w:tcPr>
          <w:p w:rsidR="001E4223" w:rsidRPr="00E94E01" w:rsidRDefault="001E4223" w:rsidP="00AD372F">
            <w:pPr>
              <w:jc w:val="center"/>
              <w:rPr>
                <w:rFonts w:cs="Arial"/>
                <w:sz w:val="21"/>
                <w:szCs w:val="21"/>
              </w:rPr>
            </w:pPr>
            <w:r w:rsidRPr="00E94E01">
              <w:rPr>
                <w:rFonts w:cs="Arial"/>
                <w:sz w:val="21"/>
                <w:szCs w:val="21"/>
              </w:rPr>
              <w:t>DURATION</w:t>
            </w:r>
          </w:p>
        </w:tc>
        <w:tc>
          <w:tcPr>
            <w:tcW w:w="2126" w:type="dxa"/>
            <w:shd w:val="clear" w:color="auto" w:fill="D9D9D9" w:themeFill="background1" w:themeFillShade="D9"/>
          </w:tcPr>
          <w:p w:rsidR="001E4223" w:rsidRPr="00E94E01" w:rsidRDefault="001E4223" w:rsidP="00AD372F">
            <w:pPr>
              <w:jc w:val="center"/>
              <w:rPr>
                <w:rFonts w:cs="Arial"/>
                <w:sz w:val="21"/>
                <w:szCs w:val="21"/>
              </w:rPr>
            </w:pPr>
            <w:r w:rsidRPr="00E94E01">
              <w:rPr>
                <w:rFonts w:cs="Arial"/>
                <w:sz w:val="21"/>
                <w:szCs w:val="21"/>
              </w:rPr>
              <w:t>LOCATION</w:t>
            </w:r>
          </w:p>
        </w:tc>
        <w:tc>
          <w:tcPr>
            <w:tcW w:w="1800" w:type="dxa"/>
            <w:shd w:val="clear" w:color="auto" w:fill="D9D9D9" w:themeFill="background1" w:themeFillShade="D9"/>
          </w:tcPr>
          <w:p w:rsidR="001E4223" w:rsidRPr="00E94E01" w:rsidRDefault="001E4223" w:rsidP="00AD372F">
            <w:pPr>
              <w:jc w:val="center"/>
              <w:rPr>
                <w:rFonts w:cs="Arial"/>
                <w:sz w:val="21"/>
                <w:szCs w:val="21"/>
              </w:rPr>
            </w:pPr>
            <w:r w:rsidRPr="00E94E01">
              <w:rPr>
                <w:rFonts w:cs="Arial"/>
                <w:sz w:val="21"/>
                <w:szCs w:val="21"/>
              </w:rPr>
              <w:t>PROJECT VALUE</w:t>
            </w:r>
          </w:p>
        </w:tc>
        <w:tc>
          <w:tcPr>
            <w:tcW w:w="2880" w:type="dxa"/>
            <w:shd w:val="clear" w:color="auto" w:fill="D9D9D9" w:themeFill="background1" w:themeFillShade="D9"/>
          </w:tcPr>
          <w:p w:rsidR="001E4223" w:rsidRPr="00E94E01" w:rsidRDefault="001E4223" w:rsidP="00AD372F">
            <w:pPr>
              <w:jc w:val="center"/>
              <w:rPr>
                <w:rFonts w:cs="Arial"/>
                <w:sz w:val="21"/>
                <w:szCs w:val="21"/>
              </w:rPr>
            </w:pPr>
            <w:r w:rsidRPr="00E94E01">
              <w:rPr>
                <w:rFonts w:cs="Arial"/>
                <w:sz w:val="21"/>
                <w:szCs w:val="21"/>
              </w:rPr>
              <w:t>IMPLEMENTING PARTNER</w:t>
            </w:r>
          </w:p>
        </w:tc>
      </w:tr>
      <w:tr w:rsidR="001E4223" w:rsidRPr="00E94E01" w:rsidTr="00AD372F">
        <w:tc>
          <w:tcPr>
            <w:tcW w:w="13945" w:type="dxa"/>
            <w:gridSpan w:val="8"/>
            <w:shd w:val="clear" w:color="auto" w:fill="D9D9D9" w:themeFill="background1" w:themeFillShade="D9"/>
          </w:tcPr>
          <w:p w:rsidR="001E4223" w:rsidRPr="00E94E01" w:rsidRDefault="001E4223" w:rsidP="00AD372F">
            <w:pPr>
              <w:rPr>
                <w:rFonts w:cs="Arial"/>
                <w:b/>
                <w:sz w:val="21"/>
                <w:szCs w:val="21"/>
              </w:rPr>
            </w:pPr>
            <w:r w:rsidRPr="00E94E01">
              <w:rPr>
                <w:rFonts w:cs="Arial"/>
                <w:b/>
                <w:sz w:val="21"/>
                <w:szCs w:val="21"/>
              </w:rPr>
              <w:t>DFID</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lang w:val="en-US"/>
              </w:rPr>
            </w:pPr>
            <w:r w:rsidRPr="00E94E01">
              <w:rPr>
                <w:rFonts w:cs="Arial"/>
                <w:sz w:val="21"/>
                <w:szCs w:val="21"/>
                <w:lang w:val="en-US"/>
              </w:rPr>
              <w:t>14</w:t>
            </w:r>
          </w:p>
        </w:tc>
        <w:tc>
          <w:tcPr>
            <w:tcW w:w="4770" w:type="dxa"/>
            <w:gridSpan w:val="2"/>
          </w:tcPr>
          <w:p w:rsidR="001E4223" w:rsidRPr="00E94E01" w:rsidRDefault="001E4223" w:rsidP="00AD372F">
            <w:pPr>
              <w:rPr>
                <w:rFonts w:cs="Arial"/>
                <w:sz w:val="21"/>
                <w:szCs w:val="21"/>
                <w:lang w:val="en-US"/>
              </w:rPr>
            </w:pPr>
            <w:r w:rsidRPr="00E94E01">
              <w:rPr>
                <w:rFonts w:cs="Arial"/>
                <w:sz w:val="21"/>
                <w:szCs w:val="21"/>
                <w:lang w:val="en-US"/>
              </w:rPr>
              <w:t>Family Planning in Bangladesh- Improving Quality and Access</w:t>
            </w:r>
          </w:p>
        </w:tc>
        <w:tc>
          <w:tcPr>
            <w:tcW w:w="1807" w:type="dxa"/>
          </w:tcPr>
          <w:p w:rsidR="001E4223" w:rsidRPr="00E94E01" w:rsidRDefault="001E4223" w:rsidP="00AD372F">
            <w:pPr>
              <w:jc w:val="center"/>
              <w:rPr>
                <w:rFonts w:cs="Arial"/>
                <w:sz w:val="21"/>
                <w:szCs w:val="21"/>
                <w:lang w:val="en-US"/>
              </w:rPr>
            </w:pPr>
            <w:r w:rsidRPr="00E94E01">
              <w:rPr>
                <w:rFonts w:cs="Arial"/>
                <w:sz w:val="21"/>
                <w:szCs w:val="21"/>
                <w:lang w:val="en-US"/>
              </w:rPr>
              <w:t>Oct 2016-Sep 2021</w:t>
            </w:r>
          </w:p>
        </w:tc>
        <w:tc>
          <w:tcPr>
            <w:tcW w:w="2126" w:type="dxa"/>
          </w:tcPr>
          <w:p w:rsidR="001E4223" w:rsidRPr="00E94E01" w:rsidRDefault="001E4223" w:rsidP="00AD372F">
            <w:pPr>
              <w:jc w:val="center"/>
              <w:rPr>
                <w:rFonts w:cs="Arial"/>
                <w:sz w:val="21"/>
                <w:szCs w:val="21"/>
                <w:lang w:val="en-US"/>
              </w:rPr>
            </w:pPr>
            <w:r w:rsidRPr="00E94E01">
              <w:rPr>
                <w:rFonts w:cs="Arial"/>
                <w:color w:val="333333"/>
                <w:sz w:val="21"/>
                <w:szCs w:val="21"/>
              </w:rPr>
              <w:t>6 divisions</w:t>
            </w:r>
          </w:p>
        </w:tc>
        <w:tc>
          <w:tcPr>
            <w:tcW w:w="1800" w:type="dxa"/>
          </w:tcPr>
          <w:p w:rsidR="001E4223" w:rsidRPr="00E94E01" w:rsidRDefault="001E4223" w:rsidP="00AD372F">
            <w:pPr>
              <w:jc w:val="center"/>
              <w:rPr>
                <w:rFonts w:cs="Arial"/>
                <w:sz w:val="21"/>
                <w:szCs w:val="21"/>
                <w:lang w:val="en-US"/>
              </w:rPr>
            </w:pPr>
            <w:r w:rsidRPr="00E94E01">
              <w:rPr>
                <w:rFonts w:cs="Arial"/>
                <w:sz w:val="21"/>
                <w:szCs w:val="21"/>
                <w:lang w:val="en-US"/>
              </w:rPr>
              <w:t>GBP 4.99 million</w:t>
            </w:r>
          </w:p>
        </w:tc>
        <w:tc>
          <w:tcPr>
            <w:tcW w:w="2880" w:type="dxa"/>
          </w:tcPr>
          <w:p w:rsidR="001E4223" w:rsidRPr="00E94E01" w:rsidRDefault="001E4223" w:rsidP="00AD372F">
            <w:pPr>
              <w:rPr>
                <w:rFonts w:cs="Arial"/>
                <w:sz w:val="21"/>
                <w:szCs w:val="21"/>
              </w:rPr>
            </w:pPr>
            <w:proofErr w:type="spellStart"/>
            <w:r w:rsidRPr="00E94E01">
              <w:rPr>
                <w:rFonts w:cs="Arial"/>
                <w:sz w:val="21"/>
                <w:szCs w:val="21"/>
              </w:rPr>
              <w:t>Ipas</w:t>
            </w:r>
            <w:proofErr w:type="spellEnd"/>
            <w:r w:rsidRPr="00E94E01">
              <w:rPr>
                <w:rFonts w:cs="Arial"/>
                <w:sz w:val="21"/>
                <w:szCs w:val="21"/>
              </w:rPr>
              <w:t xml:space="preserve"> </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15</w:t>
            </w:r>
          </w:p>
        </w:tc>
        <w:tc>
          <w:tcPr>
            <w:tcW w:w="4770" w:type="dxa"/>
            <w:gridSpan w:val="2"/>
          </w:tcPr>
          <w:p w:rsidR="001E4223" w:rsidRPr="00E94E01" w:rsidRDefault="001E4223" w:rsidP="00AD372F">
            <w:pPr>
              <w:rPr>
                <w:rFonts w:cs="Arial"/>
                <w:sz w:val="21"/>
                <w:szCs w:val="21"/>
              </w:rPr>
            </w:pPr>
            <w:r w:rsidRPr="00E94E01">
              <w:rPr>
                <w:rFonts w:eastAsia="Times New Roman" w:cs="Arial"/>
                <w:color w:val="222222"/>
                <w:sz w:val="21"/>
                <w:szCs w:val="21"/>
              </w:rPr>
              <w:t>Saving lives of mothers and babies in Bangladesh: Strengthening the national midwifery programme</w:t>
            </w:r>
          </w:p>
        </w:tc>
        <w:tc>
          <w:tcPr>
            <w:tcW w:w="1807" w:type="dxa"/>
          </w:tcPr>
          <w:p w:rsidR="001E4223" w:rsidRPr="00E94E01" w:rsidRDefault="001E4223" w:rsidP="00AD372F">
            <w:pPr>
              <w:jc w:val="center"/>
              <w:rPr>
                <w:rFonts w:cs="Arial"/>
                <w:sz w:val="21"/>
                <w:szCs w:val="21"/>
              </w:rPr>
            </w:pPr>
            <w:r w:rsidRPr="00E94E01">
              <w:rPr>
                <w:rFonts w:cs="Arial"/>
                <w:sz w:val="21"/>
                <w:szCs w:val="21"/>
                <w:lang w:eastAsia="en-PH"/>
              </w:rPr>
              <w:t>2016-2021</w:t>
            </w:r>
          </w:p>
        </w:tc>
        <w:tc>
          <w:tcPr>
            <w:tcW w:w="2126" w:type="dxa"/>
          </w:tcPr>
          <w:p w:rsidR="001E4223" w:rsidRPr="00E94E01" w:rsidRDefault="001E4223" w:rsidP="00AD372F">
            <w:pPr>
              <w:jc w:val="center"/>
              <w:rPr>
                <w:rFonts w:cs="Arial"/>
                <w:sz w:val="21"/>
                <w:szCs w:val="21"/>
              </w:rPr>
            </w:pPr>
            <w:r w:rsidRPr="00E94E01">
              <w:rPr>
                <w:rFonts w:cs="Arial"/>
                <w:sz w:val="21"/>
                <w:szCs w:val="21"/>
              </w:rPr>
              <w:t>Nationwide</w:t>
            </w:r>
          </w:p>
        </w:tc>
        <w:tc>
          <w:tcPr>
            <w:tcW w:w="1800" w:type="dxa"/>
          </w:tcPr>
          <w:p w:rsidR="001E4223" w:rsidRPr="00E94E01" w:rsidRDefault="001E4223" w:rsidP="00AD372F">
            <w:pPr>
              <w:tabs>
                <w:tab w:val="left" w:pos="720"/>
              </w:tabs>
              <w:ind w:left="720" w:hanging="720"/>
              <w:jc w:val="center"/>
              <w:rPr>
                <w:rFonts w:cs="Arial"/>
                <w:sz w:val="21"/>
                <w:szCs w:val="21"/>
              </w:rPr>
            </w:pPr>
            <w:r w:rsidRPr="00E94E01">
              <w:rPr>
                <w:rFonts w:eastAsia="Times New Roman" w:cs="Arial"/>
                <w:color w:val="222222"/>
                <w:sz w:val="21"/>
                <w:szCs w:val="21"/>
              </w:rPr>
              <w:t>GBP 5.34million</w:t>
            </w:r>
          </w:p>
          <w:p w:rsidR="001E4223" w:rsidRPr="00E94E01" w:rsidRDefault="001E4223" w:rsidP="00AD372F">
            <w:pPr>
              <w:jc w:val="center"/>
              <w:rPr>
                <w:rFonts w:cs="Arial"/>
                <w:sz w:val="21"/>
                <w:szCs w:val="21"/>
              </w:rPr>
            </w:pPr>
          </w:p>
        </w:tc>
        <w:tc>
          <w:tcPr>
            <w:tcW w:w="2880" w:type="dxa"/>
          </w:tcPr>
          <w:p w:rsidR="001E4223" w:rsidRPr="00E94E01" w:rsidRDefault="001E4223" w:rsidP="00AD372F">
            <w:pPr>
              <w:rPr>
                <w:rFonts w:cs="Arial"/>
                <w:sz w:val="21"/>
                <w:szCs w:val="21"/>
              </w:rPr>
            </w:pPr>
            <w:r w:rsidRPr="00E94E01">
              <w:rPr>
                <w:rFonts w:cs="Arial"/>
                <w:sz w:val="21"/>
                <w:szCs w:val="21"/>
              </w:rPr>
              <w:t>UNFPA</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16</w:t>
            </w:r>
          </w:p>
        </w:tc>
        <w:tc>
          <w:tcPr>
            <w:tcW w:w="4770" w:type="dxa"/>
            <w:gridSpan w:val="2"/>
          </w:tcPr>
          <w:p w:rsidR="001E4223" w:rsidRPr="00E94E01" w:rsidRDefault="001E4223" w:rsidP="00AD372F">
            <w:pPr>
              <w:pStyle w:val="ListParagraph"/>
              <w:ind w:left="0"/>
              <w:jc w:val="both"/>
              <w:rPr>
                <w:rFonts w:cs="Arial"/>
                <w:sz w:val="21"/>
                <w:szCs w:val="21"/>
              </w:rPr>
            </w:pPr>
            <w:r w:rsidRPr="00E94E01">
              <w:rPr>
                <w:rFonts w:cs="Arial"/>
                <w:sz w:val="21"/>
                <w:szCs w:val="21"/>
              </w:rPr>
              <w:t xml:space="preserve">Better Health in Bangladesh: TA to Health Systems Strengthening(FP; </w:t>
            </w:r>
            <w:proofErr w:type="spellStart"/>
            <w:r w:rsidRPr="00E94E01">
              <w:rPr>
                <w:rFonts w:cs="Arial"/>
                <w:sz w:val="21"/>
                <w:szCs w:val="21"/>
              </w:rPr>
              <w:t>BEMoNC</w:t>
            </w:r>
            <w:proofErr w:type="spellEnd"/>
            <w:r w:rsidRPr="00E94E01">
              <w:rPr>
                <w:rFonts w:cs="Arial"/>
                <w:sz w:val="21"/>
                <w:szCs w:val="21"/>
              </w:rPr>
              <w:t>; STI; Cervical Cancer)</w:t>
            </w:r>
          </w:p>
        </w:tc>
        <w:tc>
          <w:tcPr>
            <w:tcW w:w="1807" w:type="dxa"/>
          </w:tcPr>
          <w:p w:rsidR="001E4223" w:rsidRPr="00E94E01" w:rsidRDefault="001E4223" w:rsidP="00AD372F">
            <w:pPr>
              <w:jc w:val="center"/>
              <w:rPr>
                <w:rFonts w:cs="Arial"/>
                <w:sz w:val="21"/>
                <w:szCs w:val="21"/>
              </w:rPr>
            </w:pPr>
            <w:r w:rsidRPr="00E94E01">
              <w:rPr>
                <w:rFonts w:cs="Arial"/>
                <w:sz w:val="21"/>
                <w:szCs w:val="21"/>
              </w:rPr>
              <w:t>2018-2022</w:t>
            </w:r>
          </w:p>
        </w:tc>
        <w:tc>
          <w:tcPr>
            <w:tcW w:w="2126" w:type="dxa"/>
          </w:tcPr>
          <w:p w:rsidR="001E4223" w:rsidRPr="00E94E01" w:rsidRDefault="001E4223" w:rsidP="00AD372F">
            <w:pPr>
              <w:jc w:val="center"/>
              <w:rPr>
                <w:rFonts w:cs="Arial"/>
                <w:sz w:val="21"/>
                <w:szCs w:val="21"/>
              </w:rPr>
            </w:pPr>
            <w:r w:rsidRPr="00E94E01">
              <w:rPr>
                <w:rFonts w:cs="Arial"/>
                <w:sz w:val="21"/>
                <w:szCs w:val="21"/>
              </w:rPr>
              <w:t>Nationwide</w:t>
            </w:r>
          </w:p>
        </w:tc>
        <w:tc>
          <w:tcPr>
            <w:tcW w:w="1800" w:type="dxa"/>
          </w:tcPr>
          <w:p w:rsidR="001E4223" w:rsidRPr="00E94E01" w:rsidRDefault="001E4223" w:rsidP="00AD372F">
            <w:pPr>
              <w:jc w:val="center"/>
              <w:rPr>
                <w:rFonts w:cs="Arial"/>
                <w:sz w:val="21"/>
                <w:szCs w:val="21"/>
              </w:rPr>
            </w:pPr>
            <w:r w:rsidRPr="00E94E01">
              <w:rPr>
                <w:rFonts w:cs="Arial"/>
                <w:sz w:val="21"/>
                <w:szCs w:val="21"/>
              </w:rPr>
              <w:t>GBP 8.8million</w:t>
            </w:r>
          </w:p>
        </w:tc>
        <w:tc>
          <w:tcPr>
            <w:tcW w:w="2880" w:type="dxa"/>
          </w:tcPr>
          <w:p w:rsidR="001E4223" w:rsidRPr="00E94E01" w:rsidRDefault="001E4223" w:rsidP="00AD372F">
            <w:pPr>
              <w:rPr>
                <w:rFonts w:cs="Arial"/>
                <w:sz w:val="21"/>
                <w:szCs w:val="21"/>
              </w:rPr>
            </w:pPr>
            <w:r w:rsidRPr="00E94E01">
              <w:rPr>
                <w:rFonts w:cs="Arial"/>
                <w:sz w:val="21"/>
                <w:szCs w:val="21"/>
              </w:rPr>
              <w:t>UNFPA</w:t>
            </w:r>
            <w:r>
              <w:rPr>
                <w:rFonts w:cs="Arial"/>
                <w:sz w:val="21"/>
                <w:szCs w:val="21"/>
              </w:rPr>
              <w:t>, WHO</w:t>
            </w:r>
          </w:p>
        </w:tc>
      </w:tr>
      <w:tr w:rsidR="001E4223" w:rsidRPr="00E94E01" w:rsidTr="00AD372F">
        <w:tc>
          <w:tcPr>
            <w:tcW w:w="13945" w:type="dxa"/>
            <w:gridSpan w:val="8"/>
            <w:shd w:val="clear" w:color="auto" w:fill="D9D9D9" w:themeFill="background1" w:themeFillShade="D9"/>
          </w:tcPr>
          <w:p w:rsidR="001E4223" w:rsidRPr="00E94E01" w:rsidRDefault="001E4223" w:rsidP="00AD372F">
            <w:pPr>
              <w:rPr>
                <w:rFonts w:cs="Arial"/>
                <w:b/>
                <w:sz w:val="21"/>
                <w:szCs w:val="21"/>
              </w:rPr>
            </w:pPr>
            <w:r w:rsidRPr="00E94E01">
              <w:rPr>
                <w:rFonts w:cs="Arial"/>
                <w:b/>
                <w:sz w:val="21"/>
                <w:szCs w:val="21"/>
              </w:rPr>
              <w:t>Global Affairs Canada</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17</w:t>
            </w:r>
          </w:p>
        </w:tc>
        <w:tc>
          <w:tcPr>
            <w:tcW w:w="4770" w:type="dxa"/>
            <w:gridSpan w:val="2"/>
          </w:tcPr>
          <w:p w:rsidR="001E4223" w:rsidRPr="00E94E01" w:rsidRDefault="001E4223" w:rsidP="00AD372F">
            <w:pPr>
              <w:rPr>
                <w:rFonts w:cs="Arial"/>
                <w:sz w:val="21"/>
                <w:szCs w:val="21"/>
              </w:rPr>
            </w:pPr>
            <w:r w:rsidRPr="00E94E01">
              <w:rPr>
                <w:rFonts w:cs="Arial"/>
                <w:iCs/>
                <w:sz w:val="21"/>
                <w:szCs w:val="21"/>
              </w:rPr>
              <w:t>Improving maternal, sexual and reproductive health and rights in Bangladesh</w:t>
            </w:r>
          </w:p>
        </w:tc>
        <w:tc>
          <w:tcPr>
            <w:tcW w:w="1807" w:type="dxa"/>
          </w:tcPr>
          <w:p w:rsidR="001E4223" w:rsidRPr="00E94E01" w:rsidRDefault="001E4223" w:rsidP="00AD372F">
            <w:pPr>
              <w:jc w:val="center"/>
              <w:rPr>
                <w:rFonts w:cs="Arial"/>
                <w:sz w:val="21"/>
                <w:szCs w:val="21"/>
              </w:rPr>
            </w:pPr>
            <w:r w:rsidRPr="00E94E01">
              <w:rPr>
                <w:rFonts w:eastAsia="Times New Roman" w:cs="Arial"/>
                <w:color w:val="222222"/>
                <w:sz w:val="21"/>
                <w:szCs w:val="21"/>
              </w:rPr>
              <w:t>2017-2022</w:t>
            </w:r>
          </w:p>
        </w:tc>
        <w:tc>
          <w:tcPr>
            <w:tcW w:w="2126" w:type="dxa"/>
          </w:tcPr>
          <w:p w:rsidR="001E4223" w:rsidRPr="00E94E01" w:rsidRDefault="001E4223" w:rsidP="00AD372F">
            <w:pPr>
              <w:jc w:val="center"/>
              <w:rPr>
                <w:rFonts w:cs="Arial"/>
                <w:sz w:val="21"/>
                <w:szCs w:val="21"/>
              </w:rPr>
            </w:pPr>
            <w:r w:rsidRPr="00E94E01">
              <w:rPr>
                <w:rFonts w:eastAsia="Times New Roman" w:cs="Arial"/>
                <w:color w:val="222222"/>
                <w:sz w:val="21"/>
                <w:szCs w:val="21"/>
              </w:rPr>
              <w:t>5</w:t>
            </w:r>
          </w:p>
        </w:tc>
        <w:tc>
          <w:tcPr>
            <w:tcW w:w="1800" w:type="dxa"/>
          </w:tcPr>
          <w:p w:rsidR="001E4223" w:rsidRPr="00E94E01" w:rsidRDefault="001E4223" w:rsidP="00AD372F">
            <w:pPr>
              <w:jc w:val="center"/>
              <w:rPr>
                <w:rFonts w:cs="Arial"/>
                <w:sz w:val="21"/>
                <w:szCs w:val="21"/>
              </w:rPr>
            </w:pPr>
            <w:r w:rsidRPr="00E94E01">
              <w:rPr>
                <w:rFonts w:eastAsia="Times New Roman" w:cs="Arial"/>
                <w:color w:val="222222"/>
                <w:sz w:val="21"/>
                <w:szCs w:val="21"/>
              </w:rPr>
              <w:t>CAD 12 million</w:t>
            </w:r>
          </w:p>
        </w:tc>
        <w:tc>
          <w:tcPr>
            <w:tcW w:w="2880" w:type="dxa"/>
          </w:tcPr>
          <w:p w:rsidR="001E4223" w:rsidRPr="00E94E01" w:rsidRDefault="001E4223" w:rsidP="00AD372F">
            <w:pPr>
              <w:rPr>
                <w:rFonts w:cs="Arial"/>
                <w:sz w:val="21"/>
                <w:szCs w:val="21"/>
              </w:rPr>
            </w:pPr>
            <w:r w:rsidRPr="00E94E01">
              <w:rPr>
                <w:rFonts w:eastAsia="Times New Roman" w:cs="Arial"/>
                <w:color w:val="222222"/>
                <w:sz w:val="21"/>
                <w:szCs w:val="21"/>
              </w:rPr>
              <w:t>UNFPA</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18</w:t>
            </w:r>
          </w:p>
        </w:tc>
        <w:tc>
          <w:tcPr>
            <w:tcW w:w="4770" w:type="dxa"/>
            <w:gridSpan w:val="2"/>
          </w:tcPr>
          <w:p w:rsidR="001E4223" w:rsidRPr="00E94E01" w:rsidRDefault="001E4223" w:rsidP="00AD372F">
            <w:pPr>
              <w:rPr>
                <w:rFonts w:cs="Arial"/>
                <w:sz w:val="21"/>
                <w:szCs w:val="21"/>
              </w:rPr>
            </w:pPr>
            <w:r w:rsidRPr="00E94E01">
              <w:rPr>
                <w:rFonts w:cs="Arial"/>
                <w:sz w:val="21"/>
                <w:szCs w:val="21"/>
              </w:rPr>
              <w:t>Improving Maternal, Sexual and Reproductive Health and Rights on budget</w:t>
            </w:r>
          </w:p>
        </w:tc>
        <w:tc>
          <w:tcPr>
            <w:tcW w:w="1807" w:type="dxa"/>
          </w:tcPr>
          <w:p w:rsidR="001E4223" w:rsidRPr="00E94E01" w:rsidRDefault="001E4223" w:rsidP="00AD372F">
            <w:pPr>
              <w:jc w:val="center"/>
              <w:rPr>
                <w:rFonts w:cs="Arial"/>
                <w:sz w:val="21"/>
                <w:szCs w:val="21"/>
              </w:rPr>
            </w:pPr>
            <w:r w:rsidRPr="00E94E01">
              <w:rPr>
                <w:rFonts w:cs="Arial"/>
                <w:sz w:val="21"/>
                <w:szCs w:val="21"/>
              </w:rPr>
              <w:t>Apr 2017-Jun 2022</w:t>
            </w:r>
          </w:p>
        </w:tc>
        <w:tc>
          <w:tcPr>
            <w:tcW w:w="2126" w:type="dxa"/>
          </w:tcPr>
          <w:p w:rsidR="001E4223" w:rsidRPr="00E94E01" w:rsidRDefault="001E4223" w:rsidP="00AD372F">
            <w:pPr>
              <w:jc w:val="center"/>
              <w:rPr>
                <w:rFonts w:cs="Arial"/>
                <w:sz w:val="21"/>
                <w:szCs w:val="21"/>
              </w:rPr>
            </w:pPr>
            <w:r w:rsidRPr="00E94E01">
              <w:rPr>
                <w:rFonts w:cs="Arial"/>
                <w:sz w:val="21"/>
                <w:szCs w:val="21"/>
              </w:rPr>
              <w:t>Nationwide</w:t>
            </w:r>
          </w:p>
        </w:tc>
        <w:tc>
          <w:tcPr>
            <w:tcW w:w="1800" w:type="dxa"/>
          </w:tcPr>
          <w:p w:rsidR="001E4223" w:rsidRPr="00E94E01" w:rsidRDefault="001E4223" w:rsidP="00AD372F">
            <w:pPr>
              <w:jc w:val="center"/>
              <w:rPr>
                <w:rFonts w:cs="Arial"/>
                <w:sz w:val="21"/>
                <w:szCs w:val="21"/>
              </w:rPr>
            </w:pPr>
            <w:r w:rsidRPr="00E94E01">
              <w:rPr>
                <w:rFonts w:cs="Arial"/>
                <w:sz w:val="21"/>
                <w:szCs w:val="21"/>
              </w:rPr>
              <w:t>CAD 35 million</w:t>
            </w:r>
          </w:p>
        </w:tc>
        <w:tc>
          <w:tcPr>
            <w:tcW w:w="2880" w:type="dxa"/>
          </w:tcPr>
          <w:p w:rsidR="001E4223" w:rsidRPr="00E94E01" w:rsidRDefault="001E4223" w:rsidP="00AD372F">
            <w:pPr>
              <w:rPr>
                <w:rFonts w:cs="Arial"/>
                <w:sz w:val="21"/>
                <w:szCs w:val="21"/>
              </w:rPr>
            </w:pPr>
            <w:r w:rsidRPr="00E94E01">
              <w:rPr>
                <w:rFonts w:cs="Arial"/>
                <w:sz w:val="21"/>
                <w:szCs w:val="21"/>
              </w:rPr>
              <w:t>UNICEF AND UNFPA</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19</w:t>
            </w:r>
          </w:p>
        </w:tc>
        <w:tc>
          <w:tcPr>
            <w:tcW w:w="4770" w:type="dxa"/>
            <w:gridSpan w:val="2"/>
          </w:tcPr>
          <w:p w:rsidR="001E4223" w:rsidRPr="00E94E01" w:rsidRDefault="001E4223" w:rsidP="00AD372F">
            <w:pPr>
              <w:rPr>
                <w:rFonts w:cs="Arial"/>
                <w:sz w:val="21"/>
                <w:szCs w:val="21"/>
              </w:rPr>
            </w:pPr>
            <w:r w:rsidRPr="00E94E01">
              <w:rPr>
                <w:rFonts w:cs="Arial"/>
                <w:sz w:val="21"/>
                <w:szCs w:val="21"/>
              </w:rPr>
              <w:t>Strengthening Health Outcome of Children</w:t>
            </w:r>
          </w:p>
        </w:tc>
        <w:tc>
          <w:tcPr>
            <w:tcW w:w="1807" w:type="dxa"/>
          </w:tcPr>
          <w:p w:rsidR="001E4223" w:rsidRPr="00E94E01" w:rsidRDefault="001E4223" w:rsidP="00AD372F">
            <w:pPr>
              <w:jc w:val="center"/>
              <w:rPr>
                <w:rFonts w:cs="Arial"/>
                <w:sz w:val="21"/>
                <w:szCs w:val="21"/>
              </w:rPr>
            </w:pPr>
            <w:r w:rsidRPr="00E94E01">
              <w:rPr>
                <w:rFonts w:cs="Arial"/>
                <w:sz w:val="21"/>
                <w:szCs w:val="21"/>
              </w:rPr>
              <w:t>2018 4yrs</w:t>
            </w:r>
          </w:p>
        </w:tc>
        <w:tc>
          <w:tcPr>
            <w:tcW w:w="2126" w:type="dxa"/>
          </w:tcPr>
          <w:p w:rsidR="001E4223" w:rsidRPr="00E94E01" w:rsidRDefault="001E4223" w:rsidP="00AD372F">
            <w:pPr>
              <w:jc w:val="center"/>
              <w:rPr>
                <w:rFonts w:cs="Arial"/>
                <w:sz w:val="21"/>
                <w:szCs w:val="21"/>
              </w:rPr>
            </w:pPr>
          </w:p>
        </w:tc>
        <w:tc>
          <w:tcPr>
            <w:tcW w:w="1800" w:type="dxa"/>
          </w:tcPr>
          <w:p w:rsidR="001E4223" w:rsidRPr="00E94E01" w:rsidRDefault="001E4223" w:rsidP="00AD372F">
            <w:pPr>
              <w:jc w:val="center"/>
              <w:rPr>
                <w:rFonts w:cs="Arial"/>
                <w:sz w:val="21"/>
                <w:szCs w:val="21"/>
              </w:rPr>
            </w:pPr>
            <w:r w:rsidRPr="00E94E01">
              <w:rPr>
                <w:rFonts w:cs="Arial"/>
                <w:sz w:val="21"/>
                <w:szCs w:val="21"/>
              </w:rPr>
              <w:t>CAD 12 million</w:t>
            </w:r>
          </w:p>
        </w:tc>
        <w:tc>
          <w:tcPr>
            <w:tcW w:w="2880" w:type="dxa"/>
          </w:tcPr>
          <w:p w:rsidR="001E4223" w:rsidRPr="00E94E01" w:rsidRDefault="001E4223" w:rsidP="00AD372F">
            <w:pPr>
              <w:rPr>
                <w:rFonts w:cs="Arial"/>
                <w:sz w:val="21"/>
                <w:szCs w:val="21"/>
              </w:rPr>
            </w:pPr>
            <w:r w:rsidRPr="00E94E01">
              <w:rPr>
                <w:rFonts w:cs="Arial"/>
                <w:sz w:val="21"/>
                <w:szCs w:val="21"/>
              </w:rPr>
              <w:t>PLAN</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21</w:t>
            </w:r>
          </w:p>
        </w:tc>
        <w:tc>
          <w:tcPr>
            <w:tcW w:w="4770" w:type="dxa"/>
            <w:gridSpan w:val="2"/>
          </w:tcPr>
          <w:p w:rsidR="001E4223" w:rsidRPr="00E94E01" w:rsidRDefault="001E4223" w:rsidP="00AD372F">
            <w:pPr>
              <w:rPr>
                <w:rFonts w:cs="Arial"/>
                <w:sz w:val="21"/>
                <w:szCs w:val="21"/>
              </w:rPr>
            </w:pPr>
            <w:r w:rsidRPr="00E94E01">
              <w:rPr>
                <w:rFonts w:cs="Arial"/>
                <w:sz w:val="21"/>
                <w:szCs w:val="21"/>
              </w:rPr>
              <w:t>Strengthening HR for Health</w:t>
            </w:r>
          </w:p>
        </w:tc>
        <w:tc>
          <w:tcPr>
            <w:tcW w:w="1807" w:type="dxa"/>
          </w:tcPr>
          <w:p w:rsidR="001E4223" w:rsidRPr="00E94E01" w:rsidRDefault="001E4223" w:rsidP="00AD372F">
            <w:pPr>
              <w:jc w:val="center"/>
              <w:rPr>
                <w:rFonts w:cs="Arial"/>
                <w:sz w:val="21"/>
                <w:szCs w:val="21"/>
              </w:rPr>
            </w:pPr>
            <w:r w:rsidRPr="00E94E01">
              <w:rPr>
                <w:rFonts w:cs="Arial"/>
                <w:sz w:val="21"/>
                <w:szCs w:val="21"/>
              </w:rPr>
              <w:t>April2012-April 2019</w:t>
            </w:r>
          </w:p>
        </w:tc>
        <w:tc>
          <w:tcPr>
            <w:tcW w:w="2126" w:type="dxa"/>
          </w:tcPr>
          <w:p w:rsidR="001E4223" w:rsidRPr="00E94E01" w:rsidRDefault="001E4223" w:rsidP="00AD372F">
            <w:pPr>
              <w:jc w:val="center"/>
              <w:rPr>
                <w:rFonts w:cs="Arial"/>
                <w:sz w:val="21"/>
                <w:szCs w:val="21"/>
              </w:rPr>
            </w:pPr>
          </w:p>
        </w:tc>
        <w:tc>
          <w:tcPr>
            <w:tcW w:w="1800" w:type="dxa"/>
          </w:tcPr>
          <w:p w:rsidR="001E4223" w:rsidRPr="00E94E01" w:rsidRDefault="001E4223" w:rsidP="00AD372F">
            <w:pPr>
              <w:jc w:val="center"/>
              <w:rPr>
                <w:rFonts w:cs="Arial"/>
                <w:sz w:val="21"/>
                <w:szCs w:val="21"/>
              </w:rPr>
            </w:pPr>
            <w:r w:rsidRPr="00E94E01">
              <w:rPr>
                <w:rFonts w:cs="Arial"/>
                <w:sz w:val="21"/>
                <w:szCs w:val="21"/>
              </w:rPr>
              <w:t>CAD 20million</w:t>
            </w:r>
          </w:p>
        </w:tc>
        <w:tc>
          <w:tcPr>
            <w:tcW w:w="2880" w:type="dxa"/>
          </w:tcPr>
          <w:p w:rsidR="001E4223" w:rsidRPr="00E94E01" w:rsidRDefault="001E4223" w:rsidP="00AD372F">
            <w:pPr>
              <w:rPr>
                <w:rFonts w:cs="Arial"/>
                <w:sz w:val="21"/>
                <w:szCs w:val="21"/>
              </w:rPr>
            </w:pPr>
            <w:r w:rsidRPr="00E94E01">
              <w:rPr>
                <w:rFonts w:cs="Arial"/>
                <w:sz w:val="21"/>
                <w:szCs w:val="21"/>
              </w:rPr>
              <w:t>Co-water</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22</w:t>
            </w:r>
          </w:p>
        </w:tc>
        <w:tc>
          <w:tcPr>
            <w:tcW w:w="4770" w:type="dxa"/>
            <w:gridSpan w:val="2"/>
          </w:tcPr>
          <w:p w:rsidR="001E4223" w:rsidRPr="00E94E01" w:rsidRDefault="001E4223" w:rsidP="00AD372F">
            <w:pPr>
              <w:shd w:val="clear" w:color="auto" w:fill="FFFFFF"/>
              <w:jc w:val="both"/>
              <w:rPr>
                <w:rFonts w:eastAsia="Times New Roman" w:cs="Arial"/>
                <w:color w:val="222222"/>
                <w:sz w:val="21"/>
                <w:szCs w:val="21"/>
              </w:rPr>
            </w:pPr>
            <w:r w:rsidRPr="00E94E01">
              <w:rPr>
                <w:rFonts w:cs="Arial"/>
                <w:sz w:val="21"/>
                <w:szCs w:val="21"/>
              </w:rPr>
              <w:t xml:space="preserve">Achieving Universal Access to SRHR in Host Communities of Cox’s Bazar </w:t>
            </w:r>
          </w:p>
          <w:p w:rsidR="001E4223" w:rsidRPr="00E94E01" w:rsidRDefault="001E4223" w:rsidP="00AD372F">
            <w:pPr>
              <w:rPr>
                <w:rFonts w:cs="Arial"/>
                <w:sz w:val="21"/>
                <w:szCs w:val="21"/>
              </w:rPr>
            </w:pPr>
            <w:r w:rsidRPr="00E94E01">
              <w:rPr>
                <w:rFonts w:cs="Arial"/>
                <w:sz w:val="21"/>
                <w:szCs w:val="21"/>
              </w:rPr>
              <w:t>(</w:t>
            </w:r>
            <w:r w:rsidRPr="00E94E01">
              <w:rPr>
                <w:rFonts w:eastAsia="Calibri" w:cs="Arial"/>
                <w:sz w:val="21"/>
                <w:szCs w:val="21"/>
                <w:lang w:val="en-CA"/>
              </w:rPr>
              <w:t>equitable SRHR care and GBV response to host communities)</w:t>
            </w:r>
          </w:p>
        </w:tc>
        <w:tc>
          <w:tcPr>
            <w:tcW w:w="1807" w:type="dxa"/>
          </w:tcPr>
          <w:p w:rsidR="001E4223" w:rsidRPr="00E94E01" w:rsidRDefault="001E4223" w:rsidP="00AD372F">
            <w:pPr>
              <w:shd w:val="clear" w:color="auto" w:fill="FFFFFF"/>
              <w:jc w:val="center"/>
              <w:rPr>
                <w:rFonts w:eastAsia="Times New Roman" w:cs="Arial"/>
                <w:color w:val="222222"/>
                <w:sz w:val="21"/>
                <w:szCs w:val="21"/>
              </w:rPr>
            </w:pPr>
            <w:r w:rsidRPr="00E94E01">
              <w:rPr>
                <w:rFonts w:cs="Arial"/>
                <w:sz w:val="21"/>
                <w:szCs w:val="21"/>
                <w:lang w:eastAsia="en-PH"/>
              </w:rPr>
              <w:t>2018-2020 (3 years)</w:t>
            </w:r>
          </w:p>
          <w:p w:rsidR="001E4223" w:rsidRPr="00E94E01" w:rsidRDefault="001E4223" w:rsidP="00AD372F">
            <w:pPr>
              <w:jc w:val="center"/>
              <w:rPr>
                <w:rFonts w:cs="Arial"/>
                <w:sz w:val="21"/>
                <w:szCs w:val="21"/>
              </w:rPr>
            </w:pPr>
          </w:p>
        </w:tc>
        <w:tc>
          <w:tcPr>
            <w:tcW w:w="2126" w:type="dxa"/>
          </w:tcPr>
          <w:p w:rsidR="001E4223" w:rsidRPr="00E94E01" w:rsidRDefault="001E4223" w:rsidP="00AD372F">
            <w:pPr>
              <w:jc w:val="center"/>
              <w:rPr>
                <w:rFonts w:cs="Arial"/>
                <w:sz w:val="21"/>
                <w:szCs w:val="21"/>
              </w:rPr>
            </w:pPr>
            <w:r w:rsidRPr="00E94E01">
              <w:rPr>
                <w:rFonts w:eastAsia="Times New Roman" w:cs="Arial"/>
                <w:color w:val="222222"/>
                <w:sz w:val="21"/>
                <w:szCs w:val="21"/>
              </w:rPr>
              <w:t xml:space="preserve">Cox’s Bazar district (except </w:t>
            </w:r>
            <w:proofErr w:type="spellStart"/>
            <w:r w:rsidRPr="00E94E01">
              <w:rPr>
                <w:rFonts w:eastAsia="Times New Roman" w:cs="Arial"/>
                <w:color w:val="222222"/>
                <w:sz w:val="21"/>
                <w:szCs w:val="21"/>
              </w:rPr>
              <w:t>Ukhiya</w:t>
            </w:r>
            <w:proofErr w:type="spellEnd"/>
            <w:r w:rsidRPr="00E94E01">
              <w:rPr>
                <w:rFonts w:eastAsia="Times New Roman" w:cs="Arial"/>
                <w:color w:val="222222"/>
                <w:sz w:val="21"/>
                <w:szCs w:val="21"/>
              </w:rPr>
              <w:t xml:space="preserve"> and </w:t>
            </w:r>
            <w:proofErr w:type="spellStart"/>
            <w:r w:rsidRPr="00E94E01">
              <w:rPr>
                <w:rFonts w:eastAsia="Times New Roman" w:cs="Arial"/>
                <w:color w:val="222222"/>
                <w:sz w:val="21"/>
                <w:szCs w:val="21"/>
              </w:rPr>
              <w:t>Teknaf</w:t>
            </w:r>
            <w:proofErr w:type="spellEnd"/>
            <w:r w:rsidRPr="00E94E01">
              <w:rPr>
                <w:rFonts w:eastAsia="Times New Roman" w:cs="Arial"/>
                <w:color w:val="222222"/>
                <w:sz w:val="21"/>
                <w:szCs w:val="21"/>
              </w:rPr>
              <w:t>)</w:t>
            </w:r>
          </w:p>
        </w:tc>
        <w:tc>
          <w:tcPr>
            <w:tcW w:w="1800" w:type="dxa"/>
          </w:tcPr>
          <w:p w:rsidR="001E4223" w:rsidRPr="00E94E01" w:rsidRDefault="001E4223" w:rsidP="00AD372F">
            <w:pPr>
              <w:ind w:left="720" w:hanging="720"/>
              <w:jc w:val="center"/>
              <w:rPr>
                <w:rFonts w:eastAsia="Times New Roman" w:cs="Arial"/>
                <w:color w:val="222222"/>
                <w:sz w:val="21"/>
                <w:szCs w:val="21"/>
              </w:rPr>
            </w:pPr>
            <w:r w:rsidRPr="00E94E01">
              <w:rPr>
                <w:rFonts w:eastAsia="Times New Roman" w:cs="Arial"/>
                <w:color w:val="222222"/>
                <w:sz w:val="21"/>
                <w:szCs w:val="21"/>
              </w:rPr>
              <w:t>CAD 11 million</w:t>
            </w:r>
          </w:p>
          <w:p w:rsidR="001E4223" w:rsidRPr="00E94E01" w:rsidRDefault="001E4223" w:rsidP="00AD372F">
            <w:pPr>
              <w:ind w:left="720"/>
              <w:jc w:val="center"/>
              <w:rPr>
                <w:rFonts w:eastAsia="Calibri" w:cs="Arial"/>
                <w:sz w:val="21"/>
                <w:szCs w:val="21"/>
                <w:lang w:val="en-CA"/>
              </w:rPr>
            </w:pPr>
          </w:p>
          <w:p w:rsidR="001E4223" w:rsidRPr="00E94E01" w:rsidRDefault="001E4223" w:rsidP="00AD372F">
            <w:pPr>
              <w:jc w:val="center"/>
              <w:rPr>
                <w:rFonts w:cs="Arial"/>
                <w:sz w:val="21"/>
                <w:szCs w:val="21"/>
              </w:rPr>
            </w:pPr>
          </w:p>
        </w:tc>
        <w:tc>
          <w:tcPr>
            <w:tcW w:w="2880" w:type="dxa"/>
          </w:tcPr>
          <w:p w:rsidR="001E4223" w:rsidRPr="00E94E01" w:rsidRDefault="001E4223" w:rsidP="00AD372F">
            <w:pPr>
              <w:rPr>
                <w:rFonts w:cs="Arial"/>
                <w:sz w:val="21"/>
                <w:szCs w:val="21"/>
              </w:rPr>
            </w:pPr>
            <w:r w:rsidRPr="00E94E01">
              <w:rPr>
                <w:rFonts w:eastAsia="Times New Roman" w:cs="Arial"/>
                <w:color w:val="222222"/>
                <w:sz w:val="21"/>
                <w:szCs w:val="21"/>
              </w:rPr>
              <w:t>UNFPA</w:t>
            </w:r>
          </w:p>
        </w:tc>
      </w:tr>
      <w:tr w:rsidR="001E4223" w:rsidRPr="00E94E01" w:rsidTr="00AD372F">
        <w:tc>
          <w:tcPr>
            <w:tcW w:w="13945" w:type="dxa"/>
            <w:gridSpan w:val="8"/>
            <w:shd w:val="clear" w:color="auto" w:fill="D9D9D9" w:themeFill="background1" w:themeFillShade="D9"/>
          </w:tcPr>
          <w:p w:rsidR="001E4223" w:rsidRPr="00E94E01" w:rsidRDefault="001E4223" w:rsidP="00AD372F">
            <w:pPr>
              <w:rPr>
                <w:rFonts w:eastAsia="Times New Roman" w:cs="Arial"/>
                <w:b/>
                <w:color w:val="222222"/>
                <w:sz w:val="21"/>
                <w:szCs w:val="21"/>
              </w:rPr>
            </w:pPr>
            <w:r w:rsidRPr="00E94E01">
              <w:rPr>
                <w:rFonts w:eastAsia="Times New Roman" w:cs="Arial"/>
                <w:b/>
                <w:color w:val="222222"/>
                <w:sz w:val="21"/>
                <w:szCs w:val="21"/>
              </w:rPr>
              <w:t>Swedish International Development Cooperating Agency</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23</w:t>
            </w:r>
          </w:p>
        </w:tc>
        <w:tc>
          <w:tcPr>
            <w:tcW w:w="4770" w:type="dxa"/>
            <w:gridSpan w:val="2"/>
          </w:tcPr>
          <w:p w:rsidR="001E4223" w:rsidRPr="00E94E01" w:rsidRDefault="001E4223" w:rsidP="00AD372F">
            <w:pPr>
              <w:shd w:val="clear" w:color="auto" w:fill="FFFFFF"/>
              <w:jc w:val="both"/>
              <w:rPr>
                <w:rFonts w:eastAsia="Times New Roman" w:cs="Arial"/>
                <w:color w:val="222222"/>
                <w:sz w:val="21"/>
                <w:szCs w:val="21"/>
              </w:rPr>
            </w:pPr>
            <w:r w:rsidRPr="00E94E01">
              <w:rPr>
                <w:rFonts w:eastAsia="Times New Roman" w:cs="Arial"/>
                <w:color w:val="222222"/>
                <w:sz w:val="21"/>
                <w:szCs w:val="21"/>
              </w:rPr>
              <w:t>Strengthening Midwifery-led Continuum of Care in Bangladesh</w:t>
            </w:r>
          </w:p>
          <w:p w:rsidR="001E4223" w:rsidRPr="00E94E01" w:rsidRDefault="001E4223" w:rsidP="00AD372F">
            <w:pPr>
              <w:rPr>
                <w:rFonts w:cs="Arial"/>
                <w:sz w:val="21"/>
                <w:szCs w:val="21"/>
              </w:rPr>
            </w:pPr>
          </w:p>
        </w:tc>
        <w:tc>
          <w:tcPr>
            <w:tcW w:w="1807" w:type="dxa"/>
          </w:tcPr>
          <w:p w:rsidR="001E4223" w:rsidRPr="00E94E01" w:rsidRDefault="001E4223" w:rsidP="00AD372F">
            <w:pPr>
              <w:jc w:val="center"/>
              <w:rPr>
                <w:rFonts w:cs="Arial"/>
                <w:sz w:val="21"/>
                <w:szCs w:val="21"/>
              </w:rPr>
            </w:pPr>
            <w:r w:rsidRPr="00E94E01">
              <w:rPr>
                <w:rFonts w:eastAsia="Times New Roman" w:cs="Arial"/>
                <w:color w:val="222222"/>
                <w:sz w:val="21"/>
                <w:szCs w:val="21"/>
              </w:rPr>
              <w:t>2017-2021 (4 years)</w:t>
            </w:r>
          </w:p>
        </w:tc>
        <w:tc>
          <w:tcPr>
            <w:tcW w:w="2126" w:type="dxa"/>
          </w:tcPr>
          <w:p w:rsidR="001E4223" w:rsidRPr="00E94E01" w:rsidRDefault="001E4223" w:rsidP="00AD372F">
            <w:pPr>
              <w:jc w:val="center"/>
              <w:rPr>
                <w:rFonts w:cs="Arial"/>
                <w:sz w:val="21"/>
                <w:szCs w:val="21"/>
              </w:rPr>
            </w:pPr>
            <w:r w:rsidRPr="00E94E01">
              <w:rPr>
                <w:rFonts w:eastAsia="Times New Roman" w:cs="Arial"/>
                <w:color w:val="222222"/>
                <w:sz w:val="21"/>
                <w:szCs w:val="21"/>
              </w:rPr>
              <w:t>5 districts</w:t>
            </w:r>
          </w:p>
        </w:tc>
        <w:tc>
          <w:tcPr>
            <w:tcW w:w="1800" w:type="dxa"/>
          </w:tcPr>
          <w:p w:rsidR="001E4223" w:rsidRPr="00E94E01" w:rsidRDefault="001E4223" w:rsidP="00AD372F">
            <w:pPr>
              <w:shd w:val="clear" w:color="auto" w:fill="FFFFFF"/>
              <w:jc w:val="center"/>
              <w:rPr>
                <w:rFonts w:eastAsia="Times New Roman" w:cs="Arial"/>
                <w:color w:val="222222"/>
                <w:sz w:val="21"/>
                <w:szCs w:val="21"/>
              </w:rPr>
            </w:pPr>
            <w:r w:rsidRPr="00E94E01">
              <w:rPr>
                <w:rFonts w:eastAsia="Times New Roman" w:cs="Arial"/>
                <w:color w:val="222222"/>
                <w:sz w:val="21"/>
                <w:szCs w:val="21"/>
              </w:rPr>
              <w:t>SEK 61.5 million</w:t>
            </w:r>
          </w:p>
          <w:p w:rsidR="001E4223" w:rsidRPr="00E94E01" w:rsidRDefault="001E4223" w:rsidP="00AD372F">
            <w:pPr>
              <w:jc w:val="center"/>
              <w:rPr>
                <w:rFonts w:cs="Arial"/>
                <w:sz w:val="21"/>
                <w:szCs w:val="21"/>
              </w:rPr>
            </w:pPr>
          </w:p>
        </w:tc>
        <w:tc>
          <w:tcPr>
            <w:tcW w:w="2880" w:type="dxa"/>
          </w:tcPr>
          <w:p w:rsidR="001E4223" w:rsidRPr="00E94E01" w:rsidRDefault="001E4223" w:rsidP="00AD372F">
            <w:pPr>
              <w:shd w:val="clear" w:color="auto" w:fill="FFFFFF"/>
              <w:jc w:val="both"/>
              <w:rPr>
                <w:rFonts w:cs="Arial"/>
                <w:sz w:val="21"/>
                <w:szCs w:val="21"/>
              </w:rPr>
            </w:pPr>
            <w:r w:rsidRPr="00E94E01">
              <w:rPr>
                <w:rFonts w:cs="Arial"/>
                <w:sz w:val="21"/>
                <w:szCs w:val="21"/>
              </w:rPr>
              <w:t>UNFPA</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24</w:t>
            </w:r>
          </w:p>
        </w:tc>
        <w:tc>
          <w:tcPr>
            <w:tcW w:w="4770" w:type="dxa"/>
            <w:gridSpan w:val="2"/>
          </w:tcPr>
          <w:p w:rsidR="001E4223" w:rsidRPr="00E94E01" w:rsidRDefault="001E4223" w:rsidP="00AD372F">
            <w:pPr>
              <w:rPr>
                <w:rFonts w:cs="Arial"/>
                <w:sz w:val="21"/>
                <w:szCs w:val="21"/>
              </w:rPr>
            </w:pPr>
            <w:r w:rsidRPr="00E94E01">
              <w:rPr>
                <w:rFonts w:cs="Arial"/>
                <w:sz w:val="21"/>
                <w:szCs w:val="21"/>
              </w:rPr>
              <w:t>Support to MR, PAC services in government medical college hospitals</w:t>
            </w:r>
          </w:p>
        </w:tc>
        <w:tc>
          <w:tcPr>
            <w:tcW w:w="1807" w:type="dxa"/>
          </w:tcPr>
          <w:p w:rsidR="001E4223" w:rsidRPr="00E94E01" w:rsidRDefault="001E4223" w:rsidP="00AD372F">
            <w:pPr>
              <w:jc w:val="center"/>
              <w:rPr>
                <w:rFonts w:cs="Arial"/>
                <w:sz w:val="21"/>
                <w:szCs w:val="21"/>
              </w:rPr>
            </w:pPr>
            <w:r w:rsidRPr="00E94E01">
              <w:rPr>
                <w:rFonts w:cs="Arial"/>
                <w:sz w:val="21"/>
                <w:szCs w:val="21"/>
              </w:rPr>
              <w:t>2016-2019</w:t>
            </w:r>
          </w:p>
        </w:tc>
        <w:tc>
          <w:tcPr>
            <w:tcW w:w="2126" w:type="dxa"/>
          </w:tcPr>
          <w:p w:rsidR="001E4223" w:rsidRPr="00E94E01" w:rsidRDefault="001E4223" w:rsidP="00AD372F">
            <w:pPr>
              <w:jc w:val="center"/>
              <w:rPr>
                <w:rFonts w:cs="Arial"/>
                <w:sz w:val="21"/>
                <w:szCs w:val="21"/>
              </w:rPr>
            </w:pPr>
            <w:r w:rsidRPr="00E94E01">
              <w:rPr>
                <w:rFonts w:cs="Arial"/>
                <w:sz w:val="21"/>
                <w:szCs w:val="21"/>
              </w:rPr>
              <w:t>Nationwide</w:t>
            </w:r>
          </w:p>
        </w:tc>
        <w:tc>
          <w:tcPr>
            <w:tcW w:w="1800" w:type="dxa"/>
          </w:tcPr>
          <w:p w:rsidR="001E4223" w:rsidRPr="00E94E01" w:rsidRDefault="001E4223" w:rsidP="00AD372F">
            <w:pPr>
              <w:jc w:val="center"/>
              <w:rPr>
                <w:rFonts w:cs="Arial"/>
                <w:sz w:val="21"/>
                <w:szCs w:val="21"/>
              </w:rPr>
            </w:pPr>
            <w:r w:rsidRPr="00E94E01">
              <w:rPr>
                <w:rFonts w:cs="Arial"/>
                <w:sz w:val="21"/>
                <w:szCs w:val="21"/>
              </w:rPr>
              <w:t>SEK 50,000</w:t>
            </w:r>
          </w:p>
        </w:tc>
        <w:tc>
          <w:tcPr>
            <w:tcW w:w="2880" w:type="dxa"/>
          </w:tcPr>
          <w:p w:rsidR="001E4223" w:rsidRPr="00E94E01" w:rsidRDefault="001E4223" w:rsidP="00AD372F">
            <w:pPr>
              <w:rPr>
                <w:rFonts w:cs="Arial"/>
                <w:sz w:val="21"/>
                <w:szCs w:val="21"/>
              </w:rPr>
            </w:pPr>
            <w:r w:rsidRPr="00E94E01">
              <w:rPr>
                <w:rFonts w:cs="Arial"/>
                <w:sz w:val="21"/>
                <w:szCs w:val="21"/>
              </w:rPr>
              <w:t>RH Step</w:t>
            </w:r>
          </w:p>
        </w:tc>
      </w:tr>
      <w:tr w:rsidR="001E4223" w:rsidRPr="00E94E01" w:rsidTr="00AD372F">
        <w:tc>
          <w:tcPr>
            <w:tcW w:w="13945" w:type="dxa"/>
            <w:gridSpan w:val="8"/>
            <w:shd w:val="clear" w:color="auto" w:fill="D9D9D9" w:themeFill="background1" w:themeFillShade="D9"/>
          </w:tcPr>
          <w:p w:rsidR="001E4223" w:rsidRPr="00E05E18" w:rsidRDefault="001E4223" w:rsidP="00AD372F">
            <w:pPr>
              <w:rPr>
                <w:rFonts w:cs="Arial"/>
                <w:b/>
                <w:sz w:val="21"/>
                <w:szCs w:val="21"/>
              </w:rPr>
            </w:pPr>
            <w:r w:rsidRPr="00E05E18">
              <w:rPr>
                <w:rFonts w:cs="Arial"/>
                <w:b/>
                <w:sz w:val="21"/>
                <w:szCs w:val="21"/>
              </w:rPr>
              <w:t>Embassy of the Kingdom of Netherlands</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25</w:t>
            </w:r>
          </w:p>
        </w:tc>
        <w:tc>
          <w:tcPr>
            <w:tcW w:w="4770" w:type="dxa"/>
            <w:gridSpan w:val="2"/>
          </w:tcPr>
          <w:tbl>
            <w:tblPr>
              <w:tblW w:w="12240" w:type="dxa"/>
              <w:tblBorders>
                <w:top w:val="nil"/>
                <w:left w:val="nil"/>
                <w:bottom w:val="nil"/>
                <w:right w:val="nil"/>
              </w:tblBorders>
              <w:tblLayout w:type="fixed"/>
              <w:tblLook w:val="0000" w:firstRow="0" w:lastRow="0" w:firstColumn="0" w:lastColumn="0" w:noHBand="0" w:noVBand="0"/>
            </w:tblPr>
            <w:tblGrid>
              <w:gridCol w:w="12240"/>
            </w:tblGrid>
            <w:tr w:rsidR="001E4223" w:rsidRPr="00E94E01" w:rsidTr="00AD372F">
              <w:trPr>
                <w:trHeight w:val="255"/>
              </w:trPr>
              <w:tc>
                <w:tcPr>
                  <w:tcW w:w="12240" w:type="dxa"/>
                </w:tcPr>
                <w:p w:rsidR="001E4223" w:rsidRPr="00E94E01" w:rsidRDefault="001E4223" w:rsidP="00AD372F">
                  <w:pPr>
                    <w:pStyle w:val="Default"/>
                    <w:rPr>
                      <w:rFonts w:ascii="Arial" w:hAnsi="Arial" w:cs="Arial"/>
                      <w:sz w:val="21"/>
                      <w:szCs w:val="21"/>
                    </w:rPr>
                  </w:pPr>
                  <w:r w:rsidRPr="00E94E01">
                    <w:rPr>
                      <w:rFonts w:ascii="Arial" w:hAnsi="Arial" w:cs="Arial"/>
                      <w:sz w:val="21"/>
                      <w:szCs w:val="21"/>
                    </w:rPr>
                    <w:t xml:space="preserve"> Generation Breakthrough </w:t>
                  </w:r>
                </w:p>
              </w:tc>
            </w:tr>
          </w:tbl>
          <w:p w:rsidR="001E4223" w:rsidRPr="00E94E01" w:rsidRDefault="001E4223" w:rsidP="00AD372F">
            <w:pPr>
              <w:rPr>
                <w:rFonts w:cs="Arial"/>
                <w:sz w:val="21"/>
                <w:szCs w:val="21"/>
              </w:rPr>
            </w:pPr>
          </w:p>
        </w:tc>
        <w:tc>
          <w:tcPr>
            <w:tcW w:w="1807" w:type="dxa"/>
          </w:tcPr>
          <w:tbl>
            <w:tblPr>
              <w:tblW w:w="12240" w:type="dxa"/>
              <w:tblBorders>
                <w:top w:val="nil"/>
                <w:left w:val="nil"/>
                <w:bottom w:val="nil"/>
                <w:right w:val="nil"/>
              </w:tblBorders>
              <w:tblLayout w:type="fixed"/>
              <w:tblLook w:val="0000" w:firstRow="0" w:lastRow="0" w:firstColumn="0" w:lastColumn="0" w:noHBand="0" w:noVBand="0"/>
            </w:tblPr>
            <w:tblGrid>
              <w:gridCol w:w="12240"/>
            </w:tblGrid>
            <w:tr w:rsidR="001E4223" w:rsidRPr="00E94E01" w:rsidTr="00AD372F">
              <w:trPr>
                <w:trHeight w:val="376"/>
              </w:trPr>
              <w:tc>
                <w:tcPr>
                  <w:tcW w:w="12240" w:type="dxa"/>
                </w:tcPr>
                <w:p w:rsidR="001E4223" w:rsidRPr="00E94E01" w:rsidRDefault="001E4223" w:rsidP="00AD372F">
                  <w:pPr>
                    <w:pStyle w:val="Default"/>
                    <w:ind w:left="-115"/>
                    <w:jc w:val="center"/>
                    <w:rPr>
                      <w:rFonts w:ascii="Arial" w:hAnsi="Arial" w:cs="Arial"/>
                      <w:sz w:val="21"/>
                      <w:szCs w:val="21"/>
                    </w:rPr>
                  </w:pPr>
                  <w:r w:rsidRPr="00E94E01">
                    <w:rPr>
                      <w:rFonts w:ascii="Arial" w:hAnsi="Arial" w:cs="Arial"/>
                      <w:sz w:val="21"/>
                      <w:szCs w:val="21"/>
                    </w:rPr>
                    <w:t>01 December 2012 till 31 December 2019</w:t>
                  </w:r>
                </w:p>
              </w:tc>
            </w:tr>
          </w:tbl>
          <w:p w:rsidR="001E4223" w:rsidRPr="00E94E01" w:rsidRDefault="001E4223" w:rsidP="00AD372F">
            <w:pPr>
              <w:jc w:val="center"/>
              <w:rPr>
                <w:rFonts w:cs="Arial"/>
                <w:sz w:val="21"/>
                <w:szCs w:val="21"/>
              </w:rPr>
            </w:pPr>
          </w:p>
        </w:tc>
        <w:tc>
          <w:tcPr>
            <w:tcW w:w="2126" w:type="dxa"/>
          </w:tcPr>
          <w:tbl>
            <w:tblPr>
              <w:tblW w:w="12240" w:type="dxa"/>
              <w:tblBorders>
                <w:top w:val="nil"/>
                <w:left w:val="nil"/>
                <w:bottom w:val="nil"/>
                <w:right w:val="nil"/>
              </w:tblBorders>
              <w:tblLayout w:type="fixed"/>
              <w:tblLook w:val="0000" w:firstRow="0" w:lastRow="0" w:firstColumn="0" w:lastColumn="0" w:noHBand="0" w:noVBand="0"/>
            </w:tblPr>
            <w:tblGrid>
              <w:gridCol w:w="12240"/>
            </w:tblGrid>
            <w:tr w:rsidR="001E4223" w:rsidRPr="00E94E01" w:rsidTr="00AD372F">
              <w:trPr>
                <w:trHeight w:val="499"/>
              </w:trPr>
              <w:tc>
                <w:tcPr>
                  <w:tcW w:w="12240" w:type="dxa"/>
                </w:tcPr>
                <w:p w:rsidR="001E4223" w:rsidRPr="00E94E01" w:rsidRDefault="001E4223" w:rsidP="00AD372F">
                  <w:pPr>
                    <w:pStyle w:val="Default"/>
                    <w:jc w:val="center"/>
                    <w:rPr>
                      <w:rFonts w:ascii="Arial" w:hAnsi="Arial" w:cs="Arial"/>
                      <w:sz w:val="21"/>
                      <w:szCs w:val="21"/>
                    </w:rPr>
                  </w:pPr>
                  <w:proofErr w:type="spellStart"/>
                  <w:r w:rsidRPr="00E94E01">
                    <w:rPr>
                      <w:rFonts w:ascii="Arial" w:hAnsi="Arial" w:cs="Arial"/>
                      <w:sz w:val="21"/>
                      <w:szCs w:val="21"/>
                    </w:rPr>
                    <w:t>Patuakhali</w:t>
                  </w:r>
                  <w:proofErr w:type="spellEnd"/>
                  <w:r w:rsidRPr="00E94E01">
                    <w:rPr>
                      <w:rFonts w:ascii="Arial" w:hAnsi="Arial" w:cs="Arial"/>
                      <w:sz w:val="21"/>
                      <w:szCs w:val="21"/>
                    </w:rPr>
                    <w:t xml:space="preserve">, </w:t>
                  </w:r>
                  <w:proofErr w:type="spellStart"/>
                  <w:r w:rsidRPr="00E94E01">
                    <w:rPr>
                      <w:rFonts w:ascii="Arial" w:hAnsi="Arial" w:cs="Arial"/>
                      <w:sz w:val="21"/>
                      <w:szCs w:val="21"/>
                    </w:rPr>
                    <w:t>Barguna</w:t>
                  </w:r>
                  <w:proofErr w:type="spellEnd"/>
                  <w:r w:rsidRPr="00E94E01">
                    <w:rPr>
                      <w:rFonts w:ascii="Arial" w:hAnsi="Arial" w:cs="Arial"/>
                      <w:sz w:val="21"/>
                      <w:szCs w:val="21"/>
                    </w:rPr>
                    <w:t>, Barisal and Dhaka</w:t>
                  </w:r>
                </w:p>
              </w:tc>
            </w:tr>
          </w:tbl>
          <w:p w:rsidR="001E4223" w:rsidRPr="00E94E01" w:rsidRDefault="001E4223" w:rsidP="00AD372F">
            <w:pPr>
              <w:jc w:val="center"/>
              <w:rPr>
                <w:rFonts w:cs="Arial"/>
                <w:sz w:val="21"/>
                <w:szCs w:val="21"/>
              </w:rPr>
            </w:pPr>
          </w:p>
        </w:tc>
        <w:tc>
          <w:tcPr>
            <w:tcW w:w="1800" w:type="dxa"/>
          </w:tcPr>
          <w:p w:rsidR="001E4223" w:rsidRPr="00E94E01" w:rsidRDefault="001E4223" w:rsidP="00AD372F">
            <w:pPr>
              <w:pStyle w:val="Default"/>
              <w:jc w:val="center"/>
              <w:rPr>
                <w:rFonts w:ascii="Arial" w:hAnsi="Arial" w:cs="Arial"/>
                <w:sz w:val="21"/>
                <w:szCs w:val="21"/>
              </w:rPr>
            </w:pPr>
          </w:p>
          <w:tbl>
            <w:tblPr>
              <w:tblW w:w="0" w:type="auto"/>
              <w:tblBorders>
                <w:top w:val="nil"/>
                <w:left w:val="nil"/>
                <w:bottom w:val="nil"/>
                <w:right w:val="nil"/>
              </w:tblBorders>
              <w:tblLayout w:type="fixed"/>
              <w:tblLook w:val="0000" w:firstRow="0" w:lastRow="0" w:firstColumn="0" w:lastColumn="0" w:noHBand="0" w:noVBand="0"/>
            </w:tblPr>
            <w:tblGrid>
              <w:gridCol w:w="12240"/>
            </w:tblGrid>
            <w:tr w:rsidR="001E4223" w:rsidRPr="00E94E01" w:rsidTr="00AD372F">
              <w:trPr>
                <w:trHeight w:val="254"/>
              </w:trPr>
              <w:tc>
                <w:tcPr>
                  <w:tcW w:w="12240" w:type="dxa"/>
                </w:tcPr>
                <w:p w:rsidR="001E4223" w:rsidRPr="00E94E01" w:rsidRDefault="001E4223" w:rsidP="00AD372F">
                  <w:pPr>
                    <w:pStyle w:val="Default"/>
                    <w:jc w:val="center"/>
                    <w:rPr>
                      <w:rFonts w:ascii="Arial" w:hAnsi="Arial" w:cs="Arial"/>
                      <w:sz w:val="21"/>
                      <w:szCs w:val="21"/>
                    </w:rPr>
                  </w:pPr>
                  <w:r w:rsidRPr="00E94E01">
                    <w:rPr>
                      <w:rFonts w:ascii="Arial" w:hAnsi="Arial" w:cs="Arial"/>
                      <w:sz w:val="21"/>
                      <w:szCs w:val="21"/>
                    </w:rPr>
                    <w:t>-USD 8.036 million</w:t>
                  </w:r>
                </w:p>
              </w:tc>
            </w:tr>
          </w:tbl>
          <w:p w:rsidR="001E4223" w:rsidRPr="00E94E01" w:rsidRDefault="001E4223" w:rsidP="00AD372F">
            <w:pPr>
              <w:jc w:val="center"/>
              <w:rPr>
                <w:rFonts w:cs="Arial"/>
                <w:sz w:val="21"/>
                <w:szCs w:val="21"/>
              </w:rPr>
            </w:pPr>
          </w:p>
        </w:tc>
        <w:tc>
          <w:tcPr>
            <w:tcW w:w="2880" w:type="dxa"/>
          </w:tcPr>
          <w:p w:rsidR="001E4223" w:rsidRPr="00E94E01" w:rsidRDefault="001E4223" w:rsidP="00AD372F">
            <w:pPr>
              <w:rPr>
                <w:rFonts w:cs="Arial"/>
                <w:sz w:val="21"/>
                <w:szCs w:val="21"/>
              </w:rPr>
            </w:pPr>
            <w:r w:rsidRPr="00E94E01">
              <w:rPr>
                <w:rFonts w:cs="Arial"/>
                <w:sz w:val="21"/>
                <w:szCs w:val="21"/>
              </w:rPr>
              <w:t>UNFPA</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26</w:t>
            </w:r>
          </w:p>
        </w:tc>
        <w:tc>
          <w:tcPr>
            <w:tcW w:w="4770" w:type="dxa"/>
            <w:gridSpan w:val="2"/>
          </w:tcPr>
          <w:p w:rsidR="001E4223" w:rsidRPr="00E94E01" w:rsidRDefault="001E4223" w:rsidP="00AD372F">
            <w:pPr>
              <w:pStyle w:val="Default"/>
              <w:rPr>
                <w:rFonts w:ascii="Arial" w:hAnsi="Arial" w:cs="Arial"/>
                <w:sz w:val="21"/>
                <w:szCs w:val="21"/>
              </w:rPr>
            </w:pPr>
            <w:proofErr w:type="spellStart"/>
            <w:r w:rsidRPr="00E94E01">
              <w:rPr>
                <w:rFonts w:ascii="Arial" w:hAnsi="Arial" w:cs="Arial"/>
                <w:sz w:val="21"/>
                <w:szCs w:val="21"/>
              </w:rPr>
              <w:t>Shastho</w:t>
            </w:r>
            <w:proofErr w:type="spellEnd"/>
            <w:r w:rsidRPr="00E94E01">
              <w:rPr>
                <w:rFonts w:ascii="Arial" w:hAnsi="Arial" w:cs="Arial"/>
                <w:sz w:val="21"/>
                <w:szCs w:val="21"/>
              </w:rPr>
              <w:t xml:space="preserve">, </w:t>
            </w:r>
            <w:proofErr w:type="spellStart"/>
            <w:r w:rsidRPr="00E94E01">
              <w:rPr>
                <w:rFonts w:ascii="Arial" w:hAnsi="Arial" w:cs="Arial"/>
                <w:sz w:val="21"/>
                <w:szCs w:val="21"/>
              </w:rPr>
              <w:t>Odhikar</w:t>
            </w:r>
            <w:proofErr w:type="spellEnd"/>
            <w:r w:rsidRPr="00E94E01">
              <w:rPr>
                <w:rFonts w:ascii="Arial" w:hAnsi="Arial" w:cs="Arial"/>
                <w:sz w:val="21"/>
                <w:szCs w:val="21"/>
              </w:rPr>
              <w:t xml:space="preserve"> o </w:t>
            </w:r>
            <w:proofErr w:type="spellStart"/>
            <w:r w:rsidRPr="00E94E01">
              <w:rPr>
                <w:rFonts w:ascii="Arial" w:hAnsi="Arial" w:cs="Arial"/>
                <w:sz w:val="21"/>
                <w:szCs w:val="21"/>
              </w:rPr>
              <w:t>NarirIcchapuron</w:t>
            </w:r>
            <w:proofErr w:type="spellEnd"/>
            <w:r w:rsidRPr="00E94E01">
              <w:rPr>
                <w:rFonts w:ascii="Arial" w:hAnsi="Arial" w:cs="Arial"/>
                <w:sz w:val="21"/>
                <w:szCs w:val="21"/>
              </w:rPr>
              <w:t xml:space="preserve">/ </w:t>
            </w:r>
          </w:p>
          <w:p w:rsidR="001E4223" w:rsidRPr="00E94E01" w:rsidRDefault="001E4223" w:rsidP="00AD372F">
            <w:pPr>
              <w:rPr>
                <w:rFonts w:cs="Arial"/>
                <w:sz w:val="21"/>
                <w:szCs w:val="21"/>
              </w:rPr>
            </w:pPr>
            <w:r w:rsidRPr="00E94E01">
              <w:rPr>
                <w:rFonts w:cs="Arial"/>
                <w:sz w:val="21"/>
                <w:szCs w:val="21"/>
              </w:rPr>
              <w:t xml:space="preserve">Women’s Health, Rights, and Choices </w:t>
            </w:r>
          </w:p>
        </w:tc>
        <w:tc>
          <w:tcPr>
            <w:tcW w:w="1807" w:type="dxa"/>
          </w:tcPr>
          <w:p w:rsidR="001E4223" w:rsidRPr="00E94E01" w:rsidRDefault="001E4223" w:rsidP="00AD372F">
            <w:pPr>
              <w:pStyle w:val="Default"/>
              <w:jc w:val="center"/>
              <w:rPr>
                <w:rFonts w:ascii="Arial" w:hAnsi="Arial" w:cs="Arial"/>
                <w:sz w:val="21"/>
                <w:szCs w:val="21"/>
              </w:rPr>
            </w:pPr>
            <w:r w:rsidRPr="00E94E01">
              <w:rPr>
                <w:rFonts w:ascii="Arial" w:hAnsi="Arial" w:cs="Arial"/>
                <w:sz w:val="21"/>
                <w:szCs w:val="21"/>
              </w:rPr>
              <w:t>Dec 2013 - 31 March 2018</w:t>
            </w:r>
          </w:p>
        </w:tc>
        <w:tc>
          <w:tcPr>
            <w:tcW w:w="2126" w:type="dxa"/>
          </w:tcPr>
          <w:p w:rsidR="001E4223" w:rsidRDefault="001E4223" w:rsidP="00AD372F">
            <w:pPr>
              <w:pStyle w:val="Default"/>
              <w:jc w:val="center"/>
              <w:rPr>
                <w:rFonts w:ascii="Arial" w:hAnsi="Arial" w:cs="Arial"/>
                <w:sz w:val="21"/>
                <w:szCs w:val="21"/>
              </w:rPr>
            </w:pPr>
            <w:r w:rsidRPr="00E94E01">
              <w:rPr>
                <w:rFonts w:ascii="Arial" w:hAnsi="Arial" w:cs="Arial"/>
                <w:sz w:val="21"/>
                <w:szCs w:val="21"/>
              </w:rPr>
              <w:t>Dhaka city (15 slums)</w:t>
            </w:r>
          </w:p>
          <w:p w:rsidR="001E4223" w:rsidRPr="00E94E01" w:rsidRDefault="001E4223" w:rsidP="00AD372F">
            <w:pPr>
              <w:pStyle w:val="Default"/>
              <w:jc w:val="center"/>
              <w:rPr>
                <w:rFonts w:ascii="Arial" w:hAnsi="Arial" w:cs="Arial"/>
                <w:sz w:val="21"/>
                <w:szCs w:val="21"/>
              </w:rPr>
            </w:pPr>
          </w:p>
        </w:tc>
        <w:tc>
          <w:tcPr>
            <w:tcW w:w="1800" w:type="dxa"/>
          </w:tcPr>
          <w:p w:rsidR="001E4223" w:rsidRPr="00E94E01" w:rsidRDefault="001E4223" w:rsidP="00AD372F">
            <w:pPr>
              <w:pStyle w:val="Default"/>
              <w:jc w:val="center"/>
              <w:rPr>
                <w:rFonts w:ascii="Arial" w:hAnsi="Arial" w:cs="Arial"/>
                <w:sz w:val="21"/>
                <w:szCs w:val="21"/>
              </w:rPr>
            </w:pPr>
            <w:r w:rsidRPr="00E94E01">
              <w:rPr>
                <w:rFonts w:ascii="Arial" w:hAnsi="Arial" w:cs="Arial"/>
                <w:sz w:val="21"/>
                <w:szCs w:val="21"/>
              </w:rPr>
              <w:lastRenderedPageBreak/>
              <w:t>BDT 278 million</w:t>
            </w:r>
          </w:p>
          <w:p w:rsidR="001E4223" w:rsidRPr="00E94E01" w:rsidRDefault="001E4223" w:rsidP="00AD372F">
            <w:pPr>
              <w:jc w:val="center"/>
              <w:rPr>
                <w:rFonts w:cs="Arial"/>
                <w:sz w:val="21"/>
                <w:szCs w:val="21"/>
              </w:rPr>
            </w:pPr>
          </w:p>
        </w:tc>
        <w:tc>
          <w:tcPr>
            <w:tcW w:w="2880" w:type="dxa"/>
          </w:tcPr>
          <w:p w:rsidR="001E4223" w:rsidRPr="00E94E01" w:rsidRDefault="001E4223" w:rsidP="00AD372F">
            <w:pPr>
              <w:pStyle w:val="Default"/>
              <w:rPr>
                <w:rFonts w:ascii="Arial" w:hAnsi="Arial" w:cs="Arial"/>
                <w:sz w:val="21"/>
                <w:szCs w:val="21"/>
              </w:rPr>
            </w:pPr>
            <w:r w:rsidRPr="00E94E01">
              <w:rPr>
                <w:rFonts w:ascii="Arial" w:hAnsi="Arial" w:cs="Arial"/>
                <w:sz w:val="21"/>
                <w:szCs w:val="21"/>
              </w:rPr>
              <w:t>Bangladesh Legal Aid and Services Trust (Lead)</w:t>
            </w:r>
          </w:p>
        </w:tc>
      </w:tr>
      <w:tr w:rsidR="001E4223" w:rsidRPr="00E94E01" w:rsidTr="00AD372F">
        <w:trPr>
          <w:gridAfter w:val="1"/>
          <w:wAfter w:w="22" w:type="dxa"/>
        </w:trPr>
        <w:tc>
          <w:tcPr>
            <w:tcW w:w="540" w:type="dxa"/>
            <w:shd w:val="clear" w:color="auto" w:fill="D9D9D9" w:themeFill="background1" w:themeFillShade="D9"/>
          </w:tcPr>
          <w:p w:rsidR="001E4223" w:rsidRPr="00E94E01" w:rsidRDefault="001E4223" w:rsidP="00AD372F">
            <w:pPr>
              <w:jc w:val="center"/>
              <w:rPr>
                <w:rFonts w:cs="Arial"/>
                <w:sz w:val="21"/>
                <w:szCs w:val="21"/>
              </w:rPr>
            </w:pPr>
          </w:p>
        </w:tc>
        <w:tc>
          <w:tcPr>
            <w:tcW w:w="4734" w:type="dxa"/>
            <w:shd w:val="clear" w:color="auto" w:fill="D9D9D9" w:themeFill="background1" w:themeFillShade="D9"/>
          </w:tcPr>
          <w:p w:rsidR="001E4223" w:rsidRPr="00E94E01" w:rsidRDefault="001E4223" w:rsidP="00AD372F">
            <w:pPr>
              <w:jc w:val="center"/>
              <w:rPr>
                <w:rFonts w:cs="Arial"/>
                <w:sz w:val="21"/>
                <w:szCs w:val="21"/>
              </w:rPr>
            </w:pPr>
            <w:r w:rsidRPr="00E94E01">
              <w:rPr>
                <w:rFonts w:cs="Arial"/>
                <w:sz w:val="21"/>
                <w:szCs w:val="21"/>
              </w:rPr>
              <w:t>PROJECT TITLE</w:t>
            </w:r>
          </w:p>
        </w:tc>
        <w:tc>
          <w:tcPr>
            <w:tcW w:w="1843" w:type="dxa"/>
            <w:gridSpan w:val="2"/>
            <w:shd w:val="clear" w:color="auto" w:fill="D9D9D9" w:themeFill="background1" w:themeFillShade="D9"/>
          </w:tcPr>
          <w:p w:rsidR="001E4223" w:rsidRPr="00E94E01" w:rsidRDefault="001E4223" w:rsidP="00AD372F">
            <w:pPr>
              <w:jc w:val="center"/>
              <w:rPr>
                <w:rFonts w:cs="Arial"/>
                <w:sz w:val="21"/>
                <w:szCs w:val="21"/>
              </w:rPr>
            </w:pPr>
            <w:r w:rsidRPr="00E94E01">
              <w:rPr>
                <w:rFonts w:cs="Arial"/>
                <w:sz w:val="21"/>
                <w:szCs w:val="21"/>
              </w:rPr>
              <w:t>DURATION</w:t>
            </w:r>
          </w:p>
        </w:tc>
        <w:tc>
          <w:tcPr>
            <w:tcW w:w="2126" w:type="dxa"/>
            <w:shd w:val="clear" w:color="auto" w:fill="D9D9D9" w:themeFill="background1" w:themeFillShade="D9"/>
          </w:tcPr>
          <w:p w:rsidR="001E4223" w:rsidRPr="00E94E01" w:rsidRDefault="001E4223" w:rsidP="00AD372F">
            <w:pPr>
              <w:jc w:val="center"/>
              <w:rPr>
                <w:rFonts w:cs="Arial"/>
                <w:sz w:val="21"/>
                <w:szCs w:val="21"/>
              </w:rPr>
            </w:pPr>
            <w:r w:rsidRPr="00E94E01">
              <w:rPr>
                <w:rFonts w:cs="Arial"/>
                <w:sz w:val="21"/>
                <w:szCs w:val="21"/>
              </w:rPr>
              <w:t>LOCATION</w:t>
            </w:r>
          </w:p>
        </w:tc>
        <w:tc>
          <w:tcPr>
            <w:tcW w:w="1800" w:type="dxa"/>
            <w:shd w:val="clear" w:color="auto" w:fill="D9D9D9" w:themeFill="background1" w:themeFillShade="D9"/>
          </w:tcPr>
          <w:p w:rsidR="001E4223" w:rsidRPr="00E94E01" w:rsidRDefault="001E4223" w:rsidP="00AD372F">
            <w:pPr>
              <w:jc w:val="center"/>
              <w:rPr>
                <w:rFonts w:cs="Arial"/>
                <w:sz w:val="21"/>
                <w:szCs w:val="21"/>
              </w:rPr>
            </w:pPr>
            <w:r w:rsidRPr="00E94E01">
              <w:rPr>
                <w:rFonts w:cs="Arial"/>
                <w:sz w:val="21"/>
                <w:szCs w:val="21"/>
              </w:rPr>
              <w:t>PROJECT VALUE</w:t>
            </w:r>
          </w:p>
        </w:tc>
        <w:tc>
          <w:tcPr>
            <w:tcW w:w="2880" w:type="dxa"/>
            <w:shd w:val="clear" w:color="auto" w:fill="D9D9D9" w:themeFill="background1" w:themeFillShade="D9"/>
          </w:tcPr>
          <w:p w:rsidR="001E4223" w:rsidRPr="00E94E01" w:rsidRDefault="001E4223" w:rsidP="00AD372F">
            <w:pPr>
              <w:jc w:val="center"/>
              <w:rPr>
                <w:rFonts w:cs="Arial"/>
                <w:sz w:val="21"/>
                <w:szCs w:val="21"/>
              </w:rPr>
            </w:pPr>
            <w:r w:rsidRPr="00E94E01">
              <w:rPr>
                <w:rFonts w:cs="Arial"/>
                <w:sz w:val="21"/>
                <w:szCs w:val="21"/>
              </w:rPr>
              <w:t>IMPLEMENTING PARTNER</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p>
        </w:tc>
        <w:tc>
          <w:tcPr>
            <w:tcW w:w="4770" w:type="dxa"/>
            <w:gridSpan w:val="2"/>
          </w:tcPr>
          <w:p w:rsidR="001E4223" w:rsidRPr="00E94E01" w:rsidRDefault="001E4223" w:rsidP="00AD372F">
            <w:pPr>
              <w:pStyle w:val="Default"/>
              <w:rPr>
                <w:rFonts w:ascii="Arial" w:hAnsi="Arial" w:cs="Arial"/>
                <w:sz w:val="21"/>
                <w:szCs w:val="21"/>
              </w:rPr>
            </w:pPr>
          </w:p>
        </w:tc>
        <w:tc>
          <w:tcPr>
            <w:tcW w:w="1807" w:type="dxa"/>
          </w:tcPr>
          <w:p w:rsidR="001E4223" w:rsidRPr="00E94E01" w:rsidRDefault="001E4223" w:rsidP="00AD372F">
            <w:pPr>
              <w:pStyle w:val="Default"/>
              <w:jc w:val="center"/>
              <w:rPr>
                <w:rFonts w:ascii="Arial" w:hAnsi="Arial" w:cs="Arial"/>
                <w:sz w:val="21"/>
                <w:szCs w:val="21"/>
              </w:rPr>
            </w:pPr>
          </w:p>
        </w:tc>
        <w:tc>
          <w:tcPr>
            <w:tcW w:w="2126" w:type="dxa"/>
          </w:tcPr>
          <w:p w:rsidR="001E4223" w:rsidRPr="00E94E01" w:rsidRDefault="001E4223" w:rsidP="00AD372F">
            <w:pPr>
              <w:pStyle w:val="Default"/>
              <w:jc w:val="center"/>
              <w:rPr>
                <w:rFonts w:ascii="Arial" w:hAnsi="Arial" w:cs="Arial"/>
                <w:sz w:val="21"/>
                <w:szCs w:val="21"/>
              </w:rPr>
            </w:pPr>
          </w:p>
        </w:tc>
        <w:tc>
          <w:tcPr>
            <w:tcW w:w="1800" w:type="dxa"/>
          </w:tcPr>
          <w:p w:rsidR="001E4223" w:rsidRPr="00E94E01" w:rsidRDefault="001E4223" w:rsidP="00AD372F">
            <w:pPr>
              <w:pStyle w:val="Default"/>
              <w:jc w:val="center"/>
              <w:rPr>
                <w:rFonts w:ascii="Arial" w:hAnsi="Arial" w:cs="Arial"/>
                <w:sz w:val="21"/>
                <w:szCs w:val="21"/>
              </w:rPr>
            </w:pPr>
          </w:p>
        </w:tc>
        <w:tc>
          <w:tcPr>
            <w:tcW w:w="2880" w:type="dxa"/>
          </w:tcPr>
          <w:p w:rsidR="001E4223" w:rsidRPr="00E94E01" w:rsidRDefault="001E4223" w:rsidP="00AD372F">
            <w:pPr>
              <w:pStyle w:val="Default"/>
              <w:rPr>
                <w:rFonts w:ascii="Arial" w:hAnsi="Arial" w:cs="Arial"/>
                <w:sz w:val="21"/>
                <w:szCs w:val="21"/>
              </w:rPr>
            </w:pP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27</w:t>
            </w:r>
          </w:p>
        </w:tc>
        <w:tc>
          <w:tcPr>
            <w:tcW w:w="4770" w:type="dxa"/>
            <w:gridSpan w:val="2"/>
          </w:tcPr>
          <w:p w:rsidR="001E4223" w:rsidRPr="00E94E01" w:rsidRDefault="001E4223" w:rsidP="00AD372F">
            <w:pPr>
              <w:pStyle w:val="Default"/>
              <w:rPr>
                <w:rFonts w:ascii="Arial" w:hAnsi="Arial" w:cs="Arial"/>
                <w:sz w:val="21"/>
                <w:szCs w:val="21"/>
              </w:rPr>
            </w:pPr>
            <w:r w:rsidRPr="00E94E01">
              <w:rPr>
                <w:rFonts w:ascii="Arial" w:hAnsi="Arial" w:cs="Arial"/>
                <w:bCs/>
                <w:sz w:val="21"/>
                <w:szCs w:val="21"/>
              </w:rPr>
              <w:t xml:space="preserve">Working with Women: Phase II </w:t>
            </w:r>
          </w:p>
          <w:p w:rsidR="001E4223" w:rsidRPr="00E94E01" w:rsidRDefault="001E4223" w:rsidP="00AD372F">
            <w:pPr>
              <w:rPr>
                <w:rFonts w:cs="Arial"/>
                <w:sz w:val="21"/>
                <w:szCs w:val="21"/>
              </w:rPr>
            </w:pPr>
            <w:r w:rsidRPr="00E94E01">
              <w:rPr>
                <w:rFonts w:cs="Arial"/>
                <w:sz w:val="21"/>
                <w:szCs w:val="21"/>
              </w:rPr>
              <w:t xml:space="preserve">Promoting SRHR through Inclusive Business practices within the Ready Made Garment industry in Bangladesh </w:t>
            </w:r>
          </w:p>
          <w:p w:rsidR="001E4223" w:rsidRPr="00E94E01" w:rsidRDefault="001E4223" w:rsidP="00AD372F">
            <w:pPr>
              <w:rPr>
                <w:rFonts w:cs="Arial"/>
                <w:sz w:val="21"/>
                <w:szCs w:val="21"/>
              </w:rPr>
            </w:pPr>
          </w:p>
        </w:tc>
        <w:tc>
          <w:tcPr>
            <w:tcW w:w="1807" w:type="dxa"/>
          </w:tcPr>
          <w:p w:rsidR="001E4223" w:rsidRPr="00E94E01" w:rsidRDefault="001E4223" w:rsidP="00AD372F">
            <w:pPr>
              <w:jc w:val="center"/>
              <w:rPr>
                <w:rFonts w:cs="Arial"/>
                <w:sz w:val="21"/>
                <w:szCs w:val="21"/>
              </w:rPr>
            </w:pPr>
            <w:r w:rsidRPr="00E94E01">
              <w:rPr>
                <w:rFonts w:cs="Arial"/>
                <w:sz w:val="21"/>
                <w:szCs w:val="21"/>
              </w:rPr>
              <w:t>Oct 2017–Sep 2021</w:t>
            </w:r>
          </w:p>
        </w:tc>
        <w:tc>
          <w:tcPr>
            <w:tcW w:w="2126" w:type="dxa"/>
          </w:tcPr>
          <w:p w:rsidR="001E4223" w:rsidRPr="00E94E01" w:rsidRDefault="001E4223" w:rsidP="00AD372F">
            <w:pPr>
              <w:jc w:val="center"/>
              <w:rPr>
                <w:rFonts w:cs="Arial"/>
                <w:sz w:val="21"/>
                <w:szCs w:val="21"/>
              </w:rPr>
            </w:pPr>
            <w:r w:rsidRPr="00E94E01">
              <w:rPr>
                <w:rFonts w:cs="Arial"/>
                <w:sz w:val="21"/>
                <w:szCs w:val="21"/>
              </w:rPr>
              <w:t>10 Garment factories</w:t>
            </w:r>
          </w:p>
        </w:tc>
        <w:tc>
          <w:tcPr>
            <w:tcW w:w="1800" w:type="dxa"/>
          </w:tcPr>
          <w:p w:rsidR="001E4223" w:rsidRPr="00E94E01" w:rsidRDefault="001E4223" w:rsidP="00AD372F">
            <w:pPr>
              <w:jc w:val="center"/>
              <w:rPr>
                <w:rFonts w:cs="Arial"/>
                <w:sz w:val="21"/>
                <w:szCs w:val="21"/>
              </w:rPr>
            </w:pPr>
            <w:r w:rsidRPr="00E94E01">
              <w:rPr>
                <w:rFonts w:cs="Arial"/>
                <w:sz w:val="21"/>
                <w:szCs w:val="21"/>
              </w:rPr>
              <w:t>Euro 2.4 million</w:t>
            </w:r>
          </w:p>
        </w:tc>
        <w:tc>
          <w:tcPr>
            <w:tcW w:w="2880" w:type="dxa"/>
          </w:tcPr>
          <w:p w:rsidR="001E4223" w:rsidRPr="00E94E01" w:rsidRDefault="001E4223" w:rsidP="00AD372F">
            <w:pPr>
              <w:rPr>
                <w:rFonts w:cs="Arial"/>
                <w:sz w:val="21"/>
                <w:szCs w:val="21"/>
              </w:rPr>
            </w:pPr>
            <w:r w:rsidRPr="00E94E01">
              <w:rPr>
                <w:rFonts w:cs="Arial"/>
                <w:sz w:val="21"/>
                <w:szCs w:val="21"/>
              </w:rPr>
              <w:t>SNV Bangladesh</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28</w:t>
            </w:r>
          </w:p>
        </w:tc>
        <w:tc>
          <w:tcPr>
            <w:tcW w:w="4770" w:type="dxa"/>
            <w:gridSpan w:val="2"/>
          </w:tcPr>
          <w:p w:rsidR="001E4223" w:rsidRPr="00E94E01" w:rsidRDefault="001E4223" w:rsidP="00AD372F">
            <w:pPr>
              <w:pStyle w:val="Default"/>
              <w:rPr>
                <w:rFonts w:ascii="Arial" w:hAnsi="Arial" w:cs="Arial"/>
                <w:sz w:val="21"/>
                <w:szCs w:val="21"/>
              </w:rPr>
            </w:pPr>
            <w:proofErr w:type="spellStart"/>
            <w:r w:rsidRPr="00E94E01">
              <w:rPr>
                <w:rFonts w:ascii="Arial" w:hAnsi="Arial" w:cs="Arial"/>
                <w:bCs/>
                <w:sz w:val="21"/>
                <w:szCs w:val="21"/>
              </w:rPr>
              <w:t>Ritu</w:t>
            </w:r>
            <w:proofErr w:type="spellEnd"/>
            <w:r w:rsidRPr="00E94E01">
              <w:rPr>
                <w:rFonts w:ascii="Arial" w:hAnsi="Arial" w:cs="Arial"/>
                <w:bCs/>
                <w:sz w:val="21"/>
                <w:szCs w:val="21"/>
              </w:rPr>
              <w:t xml:space="preserve">: </w:t>
            </w:r>
            <w:r w:rsidRPr="00E94E01">
              <w:rPr>
                <w:rFonts w:ascii="Arial" w:hAnsi="Arial" w:cs="Arial"/>
                <w:sz w:val="21"/>
                <w:szCs w:val="21"/>
              </w:rPr>
              <w:t xml:space="preserve">Promoting Menstrual Hygiene Management in Bangladesh </w:t>
            </w:r>
          </w:p>
        </w:tc>
        <w:tc>
          <w:tcPr>
            <w:tcW w:w="1807" w:type="dxa"/>
          </w:tcPr>
          <w:p w:rsidR="001E4223" w:rsidRPr="00E94E01" w:rsidRDefault="001E4223" w:rsidP="00AD372F">
            <w:pPr>
              <w:jc w:val="center"/>
              <w:rPr>
                <w:rFonts w:cs="Arial"/>
                <w:sz w:val="21"/>
                <w:szCs w:val="21"/>
              </w:rPr>
            </w:pPr>
            <w:r w:rsidRPr="00E94E01">
              <w:rPr>
                <w:rFonts w:cs="Arial"/>
                <w:sz w:val="21"/>
                <w:szCs w:val="21"/>
              </w:rPr>
              <w:t>Nov2015-April 2019</w:t>
            </w:r>
          </w:p>
        </w:tc>
        <w:tc>
          <w:tcPr>
            <w:tcW w:w="2126" w:type="dxa"/>
          </w:tcPr>
          <w:p w:rsidR="001E4223" w:rsidRPr="00E94E01" w:rsidRDefault="001E4223" w:rsidP="00AD372F">
            <w:pPr>
              <w:jc w:val="center"/>
              <w:rPr>
                <w:rFonts w:cs="Arial"/>
                <w:sz w:val="21"/>
                <w:szCs w:val="21"/>
              </w:rPr>
            </w:pPr>
            <w:proofErr w:type="spellStart"/>
            <w:r w:rsidRPr="00E94E01">
              <w:rPr>
                <w:rFonts w:cs="Arial"/>
                <w:sz w:val="21"/>
                <w:szCs w:val="21"/>
              </w:rPr>
              <w:t>Netrokona</w:t>
            </w:r>
            <w:proofErr w:type="spellEnd"/>
          </w:p>
        </w:tc>
        <w:tc>
          <w:tcPr>
            <w:tcW w:w="1800" w:type="dxa"/>
          </w:tcPr>
          <w:p w:rsidR="001E4223" w:rsidRPr="00E94E01" w:rsidRDefault="001E4223" w:rsidP="00AD372F">
            <w:pPr>
              <w:jc w:val="center"/>
              <w:rPr>
                <w:rFonts w:cs="Arial"/>
                <w:sz w:val="21"/>
                <w:szCs w:val="21"/>
              </w:rPr>
            </w:pPr>
            <w:r w:rsidRPr="00E94E01">
              <w:rPr>
                <w:rFonts w:cs="Arial"/>
                <w:sz w:val="21"/>
                <w:szCs w:val="21"/>
              </w:rPr>
              <w:t>Euro 3.5 million</w:t>
            </w:r>
          </w:p>
        </w:tc>
        <w:tc>
          <w:tcPr>
            <w:tcW w:w="2880" w:type="dxa"/>
          </w:tcPr>
          <w:p w:rsidR="001E4223" w:rsidRPr="00E94E01" w:rsidRDefault="001E4223" w:rsidP="00AD372F">
            <w:pPr>
              <w:pStyle w:val="Default"/>
              <w:rPr>
                <w:rFonts w:ascii="Arial" w:hAnsi="Arial" w:cs="Arial"/>
                <w:sz w:val="21"/>
                <w:szCs w:val="21"/>
              </w:rPr>
            </w:pPr>
            <w:proofErr w:type="spellStart"/>
            <w:r w:rsidRPr="00E94E01">
              <w:rPr>
                <w:rFonts w:ascii="Arial" w:hAnsi="Arial" w:cs="Arial"/>
                <w:sz w:val="21"/>
                <w:szCs w:val="21"/>
              </w:rPr>
              <w:t>Simavi</w:t>
            </w:r>
            <w:proofErr w:type="spellEnd"/>
            <w:r w:rsidRPr="00E94E01">
              <w:rPr>
                <w:rFonts w:ascii="Arial" w:hAnsi="Arial" w:cs="Arial"/>
                <w:sz w:val="21"/>
                <w:szCs w:val="21"/>
              </w:rPr>
              <w:t xml:space="preserve"> (Lead), Red-Orange, TNO, BNPS&amp; DORP</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29</w:t>
            </w:r>
          </w:p>
        </w:tc>
        <w:tc>
          <w:tcPr>
            <w:tcW w:w="4770" w:type="dxa"/>
            <w:gridSpan w:val="2"/>
          </w:tcPr>
          <w:p w:rsidR="001E4223" w:rsidRPr="00E94E01" w:rsidRDefault="001E4223" w:rsidP="00AD372F">
            <w:pPr>
              <w:pStyle w:val="Default"/>
              <w:rPr>
                <w:rFonts w:ascii="Arial" w:hAnsi="Arial" w:cs="Arial"/>
                <w:sz w:val="21"/>
                <w:szCs w:val="21"/>
              </w:rPr>
            </w:pPr>
            <w:r w:rsidRPr="00E94E01">
              <w:rPr>
                <w:rFonts w:ascii="Arial" w:hAnsi="Arial" w:cs="Arial"/>
                <w:bCs/>
                <w:sz w:val="21"/>
                <w:szCs w:val="21"/>
              </w:rPr>
              <w:t xml:space="preserve">NIRAPOD 2: </w:t>
            </w:r>
          </w:p>
          <w:p w:rsidR="001E4223" w:rsidRPr="00E94E01" w:rsidRDefault="001E4223" w:rsidP="00AD372F">
            <w:pPr>
              <w:rPr>
                <w:rFonts w:cs="Arial"/>
                <w:sz w:val="21"/>
                <w:szCs w:val="21"/>
              </w:rPr>
            </w:pPr>
            <w:r w:rsidRPr="00E94E01">
              <w:rPr>
                <w:rFonts w:cs="Arial"/>
                <w:sz w:val="21"/>
                <w:szCs w:val="21"/>
              </w:rPr>
              <w:t xml:space="preserve">Empowering women on Sexual and Reproductive Health &amp; Rights and Choice of Safe MR and FP </w:t>
            </w:r>
          </w:p>
        </w:tc>
        <w:tc>
          <w:tcPr>
            <w:tcW w:w="1807" w:type="dxa"/>
          </w:tcPr>
          <w:p w:rsidR="001E4223" w:rsidRPr="00E94E01" w:rsidRDefault="001E4223" w:rsidP="00AD372F">
            <w:pPr>
              <w:jc w:val="center"/>
              <w:rPr>
                <w:rFonts w:cs="Arial"/>
                <w:sz w:val="21"/>
                <w:szCs w:val="21"/>
              </w:rPr>
            </w:pPr>
            <w:r w:rsidRPr="00E94E01">
              <w:rPr>
                <w:rFonts w:cs="Arial"/>
                <w:sz w:val="21"/>
                <w:szCs w:val="21"/>
              </w:rPr>
              <w:t>Dec 2015-Dec 2019</w:t>
            </w:r>
          </w:p>
        </w:tc>
        <w:tc>
          <w:tcPr>
            <w:tcW w:w="2126" w:type="dxa"/>
          </w:tcPr>
          <w:p w:rsidR="001E4223" w:rsidRPr="00E94E01" w:rsidRDefault="001E4223" w:rsidP="00AD372F">
            <w:pPr>
              <w:jc w:val="center"/>
              <w:rPr>
                <w:rFonts w:cs="Arial"/>
                <w:sz w:val="21"/>
                <w:szCs w:val="21"/>
              </w:rPr>
            </w:pPr>
            <w:r w:rsidRPr="00E94E01">
              <w:rPr>
                <w:rFonts w:cs="Arial"/>
                <w:sz w:val="21"/>
                <w:szCs w:val="21"/>
              </w:rPr>
              <w:t>6 southern districts; 48 Garment Factories</w:t>
            </w:r>
          </w:p>
        </w:tc>
        <w:tc>
          <w:tcPr>
            <w:tcW w:w="1800" w:type="dxa"/>
          </w:tcPr>
          <w:p w:rsidR="001E4223" w:rsidRPr="00E94E01" w:rsidRDefault="001E4223" w:rsidP="00AD372F">
            <w:pPr>
              <w:jc w:val="center"/>
              <w:rPr>
                <w:rFonts w:cs="Arial"/>
                <w:sz w:val="21"/>
                <w:szCs w:val="21"/>
              </w:rPr>
            </w:pPr>
            <w:r w:rsidRPr="00E94E01">
              <w:rPr>
                <w:rFonts w:cs="Arial"/>
                <w:sz w:val="21"/>
                <w:szCs w:val="21"/>
              </w:rPr>
              <w:t>BDT 250 million</w:t>
            </w:r>
          </w:p>
        </w:tc>
        <w:tc>
          <w:tcPr>
            <w:tcW w:w="2880" w:type="dxa"/>
          </w:tcPr>
          <w:p w:rsidR="001E4223" w:rsidRPr="00E94E01" w:rsidRDefault="001E4223" w:rsidP="00AD372F">
            <w:pPr>
              <w:rPr>
                <w:rFonts w:cs="Arial"/>
                <w:sz w:val="21"/>
                <w:szCs w:val="21"/>
              </w:rPr>
            </w:pPr>
            <w:r w:rsidRPr="00E94E01">
              <w:rPr>
                <w:rFonts w:cs="Arial"/>
                <w:sz w:val="21"/>
                <w:szCs w:val="21"/>
              </w:rPr>
              <w:t xml:space="preserve">Marie </w:t>
            </w:r>
            <w:proofErr w:type="spellStart"/>
            <w:r w:rsidRPr="00E94E01">
              <w:rPr>
                <w:rFonts w:cs="Arial"/>
                <w:sz w:val="21"/>
                <w:szCs w:val="21"/>
              </w:rPr>
              <w:t>Stopes</w:t>
            </w:r>
            <w:proofErr w:type="spellEnd"/>
            <w:r w:rsidRPr="00E94E01">
              <w:rPr>
                <w:rFonts w:cs="Arial"/>
                <w:sz w:val="21"/>
                <w:szCs w:val="21"/>
              </w:rPr>
              <w:t xml:space="preserve"> Bangladesh</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30</w:t>
            </w:r>
          </w:p>
        </w:tc>
        <w:tc>
          <w:tcPr>
            <w:tcW w:w="4770" w:type="dxa"/>
            <w:gridSpan w:val="2"/>
          </w:tcPr>
          <w:p w:rsidR="001E4223" w:rsidRPr="00E94E01" w:rsidRDefault="001E4223" w:rsidP="00AD372F">
            <w:pPr>
              <w:pStyle w:val="Default"/>
              <w:rPr>
                <w:rFonts w:ascii="Arial" w:hAnsi="Arial" w:cs="Arial"/>
                <w:sz w:val="21"/>
                <w:szCs w:val="21"/>
              </w:rPr>
            </w:pPr>
            <w:r w:rsidRPr="00E94E01">
              <w:rPr>
                <w:rFonts w:ascii="Arial" w:hAnsi="Arial" w:cs="Arial"/>
                <w:sz w:val="21"/>
                <w:szCs w:val="21"/>
              </w:rPr>
              <w:t xml:space="preserve">UBR 2: </w:t>
            </w:r>
            <w:r w:rsidRPr="00E94E01">
              <w:rPr>
                <w:rFonts w:ascii="Arial" w:hAnsi="Arial" w:cs="Arial"/>
                <w:bCs/>
                <w:sz w:val="21"/>
                <w:szCs w:val="21"/>
              </w:rPr>
              <w:t xml:space="preserve">Unite for Body Rights 2 </w:t>
            </w:r>
          </w:p>
        </w:tc>
        <w:tc>
          <w:tcPr>
            <w:tcW w:w="1807" w:type="dxa"/>
          </w:tcPr>
          <w:p w:rsidR="001E4223" w:rsidRPr="00E94E01" w:rsidRDefault="001E4223" w:rsidP="00AD372F">
            <w:pPr>
              <w:jc w:val="center"/>
              <w:rPr>
                <w:rFonts w:cs="Arial"/>
                <w:sz w:val="21"/>
                <w:szCs w:val="21"/>
              </w:rPr>
            </w:pPr>
            <w:r w:rsidRPr="00E94E01">
              <w:rPr>
                <w:rFonts w:cs="Arial"/>
                <w:sz w:val="21"/>
                <w:szCs w:val="21"/>
              </w:rPr>
              <w:t>Dec 2015-Dec 2019</w:t>
            </w:r>
          </w:p>
        </w:tc>
        <w:tc>
          <w:tcPr>
            <w:tcW w:w="2126" w:type="dxa"/>
          </w:tcPr>
          <w:p w:rsidR="001E4223" w:rsidRPr="00E94E01" w:rsidRDefault="001E4223" w:rsidP="00AD372F">
            <w:pPr>
              <w:jc w:val="center"/>
              <w:rPr>
                <w:rFonts w:cs="Arial"/>
                <w:sz w:val="21"/>
                <w:szCs w:val="21"/>
              </w:rPr>
            </w:pPr>
            <w:r w:rsidRPr="00E94E01">
              <w:rPr>
                <w:rFonts w:cs="Arial"/>
                <w:sz w:val="21"/>
                <w:szCs w:val="21"/>
              </w:rPr>
              <w:t xml:space="preserve">12 </w:t>
            </w:r>
            <w:proofErr w:type="spellStart"/>
            <w:r w:rsidRPr="00E94E01">
              <w:rPr>
                <w:rFonts w:cs="Arial"/>
                <w:sz w:val="21"/>
                <w:szCs w:val="21"/>
              </w:rPr>
              <w:t>upazillas</w:t>
            </w:r>
            <w:proofErr w:type="spellEnd"/>
          </w:p>
        </w:tc>
        <w:tc>
          <w:tcPr>
            <w:tcW w:w="1800" w:type="dxa"/>
          </w:tcPr>
          <w:p w:rsidR="001E4223" w:rsidRPr="00E94E01" w:rsidRDefault="001E4223" w:rsidP="00AD372F">
            <w:pPr>
              <w:jc w:val="center"/>
              <w:rPr>
                <w:rFonts w:cs="Arial"/>
                <w:sz w:val="21"/>
                <w:szCs w:val="21"/>
              </w:rPr>
            </w:pPr>
            <w:r w:rsidRPr="00E94E01">
              <w:rPr>
                <w:rFonts w:cs="Arial"/>
                <w:sz w:val="21"/>
                <w:szCs w:val="21"/>
              </w:rPr>
              <w:t>Euro 6 million</w:t>
            </w:r>
          </w:p>
        </w:tc>
        <w:tc>
          <w:tcPr>
            <w:tcW w:w="2880" w:type="dxa"/>
          </w:tcPr>
          <w:p w:rsidR="001E4223" w:rsidRPr="00E94E01" w:rsidRDefault="001E4223" w:rsidP="00AD372F">
            <w:pPr>
              <w:pStyle w:val="Default"/>
              <w:rPr>
                <w:rFonts w:ascii="Arial" w:hAnsi="Arial" w:cs="Arial"/>
                <w:sz w:val="21"/>
                <w:szCs w:val="21"/>
              </w:rPr>
            </w:pPr>
            <w:r w:rsidRPr="00E94E01">
              <w:rPr>
                <w:rFonts w:ascii="Arial" w:hAnsi="Arial" w:cs="Arial"/>
                <w:sz w:val="21"/>
                <w:szCs w:val="21"/>
              </w:rPr>
              <w:t>RHSTEP (Lead)</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31</w:t>
            </w:r>
          </w:p>
        </w:tc>
        <w:tc>
          <w:tcPr>
            <w:tcW w:w="4770" w:type="dxa"/>
            <w:gridSpan w:val="2"/>
          </w:tcPr>
          <w:p w:rsidR="001E4223" w:rsidRPr="00E94E01" w:rsidRDefault="001E4223" w:rsidP="00AD372F">
            <w:pPr>
              <w:pStyle w:val="Default"/>
              <w:rPr>
                <w:rFonts w:ascii="Arial" w:hAnsi="Arial" w:cs="Arial"/>
                <w:sz w:val="21"/>
                <w:szCs w:val="21"/>
              </w:rPr>
            </w:pPr>
            <w:r w:rsidRPr="00E94E01">
              <w:rPr>
                <w:rFonts w:ascii="Arial" w:hAnsi="Arial" w:cs="Arial"/>
                <w:bCs/>
                <w:sz w:val="21"/>
                <w:szCs w:val="21"/>
              </w:rPr>
              <w:t>ADOHEARTS :</w:t>
            </w:r>
            <w:r w:rsidRPr="00E94E01">
              <w:rPr>
                <w:rFonts w:ascii="Arial" w:hAnsi="Arial" w:cs="Arial"/>
                <w:sz w:val="21"/>
                <w:szCs w:val="21"/>
              </w:rPr>
              <w:t xml:space="preserve">Adolescent Health &amp; Rights enhancement through innovation and system strengthening </w:t>
            </w:r>
          </w:p>
        </w:tc>
        <w:tc>
          <w:tcPr>
            <w:tcW w:w="1807" w:type="dxa"/>
          </w:tcPr>
          <w:p w:rsidR="001E4223" w:rsidRPr="00E94E01" w:rsidRDefault="001E4223" w:rsidP="00AD372F">
            <w:pPr>
              <w:jc w:val="center"/>
              <w:rPr>
                <w:rFonts w:cs="Arial"/>
                <w:sz w:val="21"/>
                <w:szCs w:val="21"/>
              </w:rPr>
            </w:pPr>
            <w:r w:rsidRPr="00E94E01">
              <w:rPr>
                <w:rFonts w:cs="Arial"/>
                <w:sz w:val="21"/>
                <w:szCs w:val="21"/>
              </w:rPr>
              <w:t>Oct 2016-Dec 2020</w:t>
            </w:r>
          </w:p>
        </w:tc>
        <w:tc>
          <w:tcPr>
            <w:tcW w:w="2126" w:type="dxa"/>
          </w:tcPr>
          <w:p w:rsidR="001E4223" w:rsidRPr="00E94E01" w:rsidRDefault="001E4223" w:rsidP="00AD372F">
            <w:pPr>
              <w:jc w:val="center"/>
              <w:rPr>
                <w:rFonts w:cs="Arial"/>
                <w:sz w:val="21"/>
                <w:szCs w:val="21"/>
              </w:rPr>
            </w:pPr>
            <w:r w:rsidRPr="00E94E01">
              <w:rPr>
                <w:rFonts w:cs="Arial"/>
                <w:sz w:val="21"/>
                <w:szCs w:val="21"/>
              </w:rPr>
              <w:t>4 districts</w:t>
            </w:r>
          </w:p>
        </w:tc>
        <w:tc>
          <w:tcPr>
            <w:tcW w:w="1800" w:type="dxa"/>
          </w:tcPr>
          <w:p w:rsidR="001E4223" w:rsidRPr="00E94E01" w:rsidRDefault="001E4223" w:rsidP="00AD372F">
            <w:pPr>
              <w:jc w:val="center"/>
              <w:rPr>
                <w:rFonts w:cs="Arial"/>
                <w:sz w:val="21"/>
                <w:szCs w:val="21"/>
              </w:rPr>
            </w:pPr>
            <w:r w:rsidRPr="00E94E01">
              <w:rPr>
                <w:rFonts w:cs="Arial"/>
                <w:sz w:val="21"/>
                <w:szCs w:val="21"/>
              </w:rPr>
              <w:t>USD 5 million</w:t>
            </w:r>
          </w:p>
        </w:tc>
        <w:tc>
          <w:tcPr>
            <w:tcW w:w="2880" w:type="dxa"/>
          </w:tcPr>
          <w:p w:rsidR="001E4223" w:rsidRPr="00E94E01" w:rsidRDefault="001E4223" w:rsidP="00AD372F">
            <w:pPr>
              <w:rPr>
                <w:rFonts w:cs="Arial"/>
                <w:sz w:val="21"/>
                <w:szCs w:val="21"/>
              </w:rPr>
            </w:pPr>
            <w:r w:rsidRPr="00E94E01">
              <w:rPr>
                <w:rFonts w:cs="Arial"/>
                <w:sz w:val="21"/>
                <w:szCs w:val="21"/>
              </w:rPr>
              <w:t>UNICEF</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32</w:t>
            </w:r>
          </w:p>
        </w:tc>
        <w:tc>
          <w:tcPr>
            <w:tcW w:w="4770" w:type="dxa"/>
            <w:gridSpan w:val="2"/>
          </w:tcPr>
          <w:p w:rsidR="001E4223" w:rsidRPr="00E94E01" w:rsidRDefault="001E4223" w:rsidP="00AD372F">
            <w:pPr>
              <w:pStyle w:val="Default"/>
              <w:rPr>
                <w:rFonts w:ascii="Arial" w:hAnsi="Arial" w:cs="Arial"/>
                <w:sz w:val="21"/>
                <w:szCs w:val="21"/>
              </w:rPr>
            </w:pPr>
            <w:r w:rsidRPr="00E94E01">
              <w:rPr>
                <w:rFonts w:ascii="Arial" w:hAnsi="Arial" w:cs="Arial"/>
                <w:bCs/>
                <w:sz w:val="21"/>
                <w:szCs w:val="21"/>
              </w:rPr>
              <w:t>IMAGE-Plus :</w:t>
            </w:r>
            <w:r w:rsidRPr="00E94E01">
              <w:rPr>
                <w:rFonts w:ascii="Arial" w:hAnsi="Arial" w:cs="Arial"/>
                <w:sz w:val="21"/>
                <w:szCs w:val="21"/>
              </w:rPr>
              <w:t xml:space="preserve">Initiatives for married adolescent girls’ empowerment </w:t>
            </w:r>
          </w:p>
        </w:tc>
        <w:tc>
          <w:tcPr>
            <w:tcW w:w="1807" w:type="dxa"/>
          </w:tcPr>
          <w:p w:rsidR="001E4223" w:rsidRPr="00E94E01" w:rsidRDefault="001E4223" w:rsidP="00AD372F">
            <w:pPr>
              <w:jc w:val="center"/>
              <w:rPr>
                <w:rFonts w:cs="Arial"/>
                <w:sz w:val="21"/>
                <w:szCs w:val="21"/>
              </w:rPr>
            </w:pPr>
            <w:r w:rsidRPr="00E94E01">
              <w:rPr>
                <w:rFonts w:cs="Arial"/>
                <w:sz w:val="21"/>
                <w:szCs w:val="21"/>
              </w:rPr>
              <w:t>Dec 2016-Dec2020</w:t>
            </w:r>
          </w:p>
        </w:tc>
        <w:tc>
          <w:tcPr>
            <w:tcW w:w="2126" w:type="dxa"/>
          </w:tcPr>
          <w:p w:rsidR="001E4223" w:rsidRPr="00E94E01" w:rsidRDefault="001E4223" w:rsidP="00AD372F">
            <w:pPr>
              <w:jc w:val="center"/>
              <w:rPr>
                <w:rFonts w:cs="Arial"/>
                <w:sz w:val="21"/>
                <w:szCs w:val="21"/>
              </w:rPr>
            </w:pPr>
            <w:r w:rsidRPr="00E94E01">
              <w:rPr>
                <w:rFonts w:cs="Arial"/>
                <w:sz w:val="21"/>
                <w:szCs w:val="21"/>
              </w:rPr>
              <w:t>3 districts</w:t>
            </w:r>
          </w:p>
        </w:tc>
        <w:tc>
          <w:tcPr>
            <w:tcW w:w="1800" w:type="dxa"/>
          </w:tcPr>
          <w:p w:rsidR="001E4223" w:rsidRPr="00E94E01" w:rsidRDefault="001E4223" w:rsidP="00AD372F">
            <w:pPr>
              <w:jc w:val="center"/>
              <w:rPr>
                <w:rFonts w:cs="Arial"/>
                <w:sz w:val="21"/>
                <w:szCs w:val="21"/>
              </w:rPr>
            </w:pPr>
            <w:r w:rsidRPr="00E94E01">
              <w:rPr>
                <w:rFonts w:cs="Arial"/>
                <w:sz w:val="21"/>
                <w:szCs w:val="21"/>
              </w:rPr>
              <w:t>BDT 300 million</w:t>
            </w:r>
          </w:p>
        </w:tc>
        <w:tc>
          <w:tcPr>
            <w:tcW w:w="2880" w:type="dxa"/>
          </w:tcPr>
          <w:p w:rsidR="001E4223" w:rsidRPr="00E94E01" w:rsidRDefault="001E4223" w:rsidP="00AD372F">
            <w:pPr>
              <w:pStyle w:val="Default"/>
              <w:rPr>
                <w:rFonts w:ascii="Arial" w:hAnsi="Arial" w:cs="Arial"/>
                <w:sz w:val="21"/>
                <w:szCs w:val="21"/>
              </w:rPr>
            </w:pPr>
            <w:r w:rsidRPr="00E94E01">
              <w:rPr>
                <w:rFonts w:ascii="Arial" w:hAnsi="Arial" w:cs="Arial"/>
                <w:sz w:val="21"/>
                <w:szCs w:val="21"/>
              </w:rPr>
              <w:t xml:space="preserve">Terre des </w:t>
            </w:r>
            <w:proofErr w:type="spellStart"/>
            <w:r w:rsidRPr="00E94E01">
              <w:rPr>
                <w:rFonts w:ascii="Arial" w:hAnsi="Arial" w:cs="Arial"/>
                <w:sz w:val="21"/>
                <w:szCs w:val="21"/>
              </w:rPr>
              <w:t>Hommes</w:t>
            </w:r>
            <w:proofErr w:type="spellEnd"/>
            <w:r w:rsidRPr="00E94E01">
              <w:rPr>
                <w:rFonts w:ascii="Arial" w:hAnsi="Arial" w:cs="Arial"/>
                <w:sz w:val="21"/>
                <w:szCs w:val="21"/>
              </w:rPr>
              <w:t xml:space="preserve"> NL (Lead) </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33</w:t>
            </w:r>
          </w:p>
        </w:tc>
        <w:tc>
          <w:tcPr>
            <w:tcW w:w="4770" w:type="dxa"/>
            <w:gridSpan w:val="2"/>
          </w:tcPr>
          <w:p w:rsidR="001E4223" w:rsidRPr="00E94E01" w:rsidRDefault="001E4223" w:rsidP="00AD372F">
            <w:pPr>
              <w:pStyle w:val="Default"/>
              <w:rPr>
                <w:rFonts w:ascii="Arial" w:hAnsi="Arial" w:cs="Arial"/>
                <w:sz w:val="21"/>
                <w:szCs w:val="21"/>
              </w:rPr>
            </w:pPr>
            <w:r w:rsidRPr="00E94E01">
              <w:rPr>
                <w:rFonts w:ascii="Arial" w:hAnsi="Arial" w:cs="Arial"/>
                <w:bCs/>
                <w:sz w:val="21"/>
                <w:szCs w:val="21"/>
              </w:rPr>
              <w:t>SANGJOG :</w:t>
            </w:r>
            <w:r w:rsidRPr="00E94E01">
              <w:rPr>
                <w:rFonts w:ascii="Arial" w:hAnsi="Arial" w:cs="Arial"/>
                <w:sz w:val="21"/>
                <w:szCs w:val="21"/>
              </w:rPr>
              <w:t xml:space="preserve">A program for better SRHR for young people vulnerable to HIV in Bangladesh </w:t>
            </w:r>
          </w:p>
          <w:p w:rsidR="001E4223" w:rsidRPr="00E94E01" w:rsidRDefault="001E4223" w:rsidP="00AD372F">
            <w:pPr>
              <w:rPr>
                <w:rFonts w:cs="Arial"/>
                <w:sz w:val="21"/>
                <w:szCs w:val="21"/>
              </w:rPr>
            </w:pPr>
          </w:p>
        </w:tc>
        <w:tc>
          <w:tcPr>
            <w:tcW w:w="1807" w:type="dxa"/>
          </w:tcPr>
          <w:p w:rsidR="001E4223" w:rsidRPr="00E94E01" w:rsidRDefault="001E4223" w:rsidP="00AD372F">
            <w:pPr>
              <w:jc w:val="center"/>
              <w:rPr>
                <w:rFonts w:cs="Arial"/>
                <w:sz w:val="21"/>
                <w:szCs w:val="21"/>
              </w:rPr>
            </w:pPr>
            <w:r w:rsidRPr="00E94E01">
              <w:rPr>
                <w:rFonts w:cs="Arial"/>
                <w:sz w:val="21"/>
                <w:szCs w:val="21"/>
              </w:rPr>
              <w:t>Dec 2016-Nov 2018</w:t>
            </w:r>
          </w:p>
        </w:tc>
        <w:tc>
          <w:tcPr>
            <w:tcW w:w="2126" w:type="dxa"/>
          </w:tcPr>
          <w:p w:rsidR="001E4223" w:rsidRPr="00E94E01" w:rsidRDefault="001E4223" w:rsidP="00AD372F">
            <w:pPr>
              <w:jc w:val="center"/>
              <w:rPr>
                <w:rFonts w:cs="Arial"/>
                <w:sz w:val="21"/>
                <w:szCs w:val="21"/>
              </w:rPr>
            </w:pPr>
            <w:r w:rsidRPr="00E94E01">
              <w:rPr>
                <w:rFonts w:cs="Arial"/>
                <w:sz w:val="21"/>
                <w:szCs w:val="21"/>
              </w:rPr>
              <w:t>7 districts</w:t>
            </w:r>
          </w:p>
        </w:tc>
        <w:tc>
          <w:tcPr>
            <w:tcW w:w="1800" w:type="dxa"/>
          </w:tcPr>
          <w:p w:rsidR="001E4223" w:rsidRPr="00E94E01" w:rsidRDefault="001E4223" w:rsidP="00AD372F">
            <w:pPr>
              <w:jc w:val="center"/>
              <w:rPr>
                <w:rFonts w:cs="Arial"/>
                <w:sz w:val="21"/>
                <w:szCs w:val="21"/>
              </w:rPr>
            </w:pPr>
            <w:r w:rsidRPr="00E94E01">
              <w:rPr>
                <w:rFonts w:cs="Arial"/>
                <w:sz w:val="21"/>
                <w:szCs w:val="21"/>
              </w:rPr>
              <w:t>BDT 143 million</w:t>
            </w:r>
          </w:p>
        </w:tc>
        <w:tc>
          <w:tcPr>
            <w:tcW w:w="2880" w:type="dxa"/>
          </w:tcPr>
          <w:p w:rsidR="001E4223" w:rsidRPr="00E94E01" w:rsidRDefault="001E4223" w:rsidP="00AD372F">
            <w:pPr>
              <w:rPr>
                <w:rFonts w:cs="Arial"/>
                <w:sz w:val="21"/>
                <w:szCs w:val="21"/>
              </w:rPr>
            </w:pPr>
            <w:r w:rsidRPr="00E94E01">
              <w:rPr>
                <w:rFonts w:cs="Arial"/>
                <w:sz w:val="21"/>
                <w:szCs w:val="21"/>
              </w:rPr>
              <w:t>RH Step</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34</w:t>
            </w:r>
          </w:p>
        </w:tc>
        <w:tc>
          <w:tcPr>
            <w:tcW w:w="4770" w:type="dxa"/>
            <w:gridSpan w:val="2"/>
          </w:tcPr>
          <w:p w:rsidR="001E4223" w:rsidRPr="00E94E01" w:rsidRDefault="001E4223" w:rsidP="00AD372F">
            <w:pPr>
              <w:pStyle w:val="Default"/>
              <w:rPr>
                <w:rFonts w:ascii="Arial" w:hAnsi="Arial" w:cs="Arial"/>
                <w:sz w:val="21"/>
                <w:szCs w:val="21"/>
              </w:rPr>
            </w:pPr>
            <w:r w:rsidRPr="00E94E01">
              <w:rPr>
                <w:rFonts w:ascii="Arial" w:hAnsi="Arial" w:cs="Arial"/>
                <w:bCs/>
                <w:sz w:val="21"/>
                <w:szCs w:val="21"/>
              </w:rPr>
              <w:t>ASTHA :</w:t>
            </w:r>
            <w:r w:rsidRPr="00E94E01">
              <w:rPr>
                <w:rFonts w:ascii="Arial" w:hAnsi="Arial" w:cs="Arial"/>
                <w:sz w:val="21"/>
                <w:szCs w:val="21"/>
              </w:rPr>
              <w:t>Strengthening Access to Multi-</w:t>
            </w:r>
            <w:proofErr w:type="spellStart"/>
            <w:r w:rsidRPr="00E94E01">
              <w:rPr>
                <w:rFonts w:ascii="Arial" w:hAnsi="Arial" w:cs="Arial"/>
                <w:sz w:val="21"/>
                <w:szCs w:val="21"/>
              </w:rPr>
              <w:t>sectoral</w:t>
            </w:r>
            <w:proofErr w:type="spellEnd"/>
            <w:r w:rsidRPr="00E94E01">
              <w:rPr>
                <w:rFonts w:ascii="Arial" w:hAnsi="Arial" w:cs="Arial"/>
                <w:sz w:val="21"/>
                <w:szCs w:val="21"/>
              </w:rPr>
              <w:t xml:space="preserve"> Public Services for gender based violence (GBV) Survivors in Bangladesh </w:t>
            </w:r>
          </w:p>
          <w:p w:rsidR="001E4223" w:rsidRPr="00E94E01" w:rsidRDefault="001E4223" w:rsidP="00AD372F">
            <w:pPr>
              <w:rPr>
                <w:rFonts w:cs="Arial"/>
                <w:sz w:val="21"/>
                <w:szCs w:val="21"/>
              </w:rPr>
            </w:pPr>
          </w:p>
        </w:tc>
        <w:tc>
          <w:tcPr>
            <w:tcW w:w="1807" w:type="dxa"/>
          </w:tcPr>
          <w:p w:rsidR="001E4223" w:rsidRPr="00E94E01" w:rsidRDefault="001E4223" w:rsidP="00AD372F">
            <w:pPr>
              <w:jc w:val="center"/>
              <w:rPr>
                <w:rFonts w:cs="Arial"/>
                <w:sz w:val="21"/>
                <w:szCs w:val="21"/>
              </w:rPr>
            </w:pPr>
            <w:r w:rsidRPr="00E94E01">
              <w:rPr>
                <w:rFonts w:cs="Arial"/>
                <w:sz w:val="21"/>
                <w:szCs w:val="21"/>
              </w:rPr>
              <w:t>Nov 2017-Dec 2021</w:t>
            </w:r>
          </w:p>
        </w:tc>
        <w:tc>
          <w:tcPr>
            <w:tcW w:w="2126" w:type="dxa"/>
          </w:tcPr>
          <w:p w:rsidR="001E4223" w:rsidRPr="00E94E01" w:rsidRDefault="001E4223" w:rsidP="00AD372F">
            <w:pPr>
              <w:jc w:val="center"/>
              <w:rPr>
                <w:rFonts w:cs="Arial"/>
                <w:sz w:val="21"/>
                <w:szCs w:val="21"/>
              </w:rPr>
            </w:pPr>
            <w:r w:rsidRPr="00E94E01">
              <w:rPr>
                <w:rFonts w:cs="Arial"/>
                <w:sz w:val="21"/>
                <w:szCs w:val="21"/>
              </w:rPr>
              <w:t>4 districts</w:t>
            </w:r>
          </w:p>
        </w:tc>
        <w:tc>
          <w:tcPr>
            <w:tcW w:w="1800" w:type="dxa"/>
          </w:tcPr>
          <w:p w:rsidR="001E4223" w:rsidRPr="00E94E01" w:rsidRDefault="001E4223" w:rsidP="00AD372F">
            <w:pPr>
              <w:jc w:val="center"/>
              <w:rPr>
                <w:rFonts w:cs="Arial"/>
                <w:sz w:val="21"/>
                <w:szCs w:val="21"/>
              </w:rPr>
            </w:pPr>
            <w:r w:rsidRPr="00E94E01">
              <w:rPr>
                <w:rFonts w:cs="Arial"/>
                <w:sz w:val="21"/>
                <w:szCs w:val="21"/>
              </w:rPr>
              <w:t>USD 3.6 million</w:t>
            </w:r>
          </w:p>
        </w:tc>
        <w:tc>
          <w:tcPr>
            <w:tcW w:w="2880" w:type="dxa"/>
          </w:tcPr>
          <w:p w:rsidR="001E4223" w:rsidRPr="00E94E01" w:rsidRDefault="001E4223" w:rsidP="00AD372F">
            <w:pPr>
              <w:rPr>
                <w:rFonts w:cs="Arial"/>
                <w:sz w:val="21"/>
                <w:szCs w:val="21"/>
              </w:rPr>
            </w:pPr>
            <w:r w:rsidRPr="00E94E01">
              <w:rPr>
                <w:rFonts w:cs="Arial"/>
                <w:sz w:val="21"/>
                <w:szCs w:val="21"/>
              </w:rPr>
              <w:t>UNFPA</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35</w:t>
            </w:r>
          </w:p>
        </w:tc>
        <w:tc>
          <w:tcPr>
            <w:tcW w:w="4770" w:type="dxa"/>
            <w:gridSpan w:val="2"/>
          </w:tcPr>
          <w:p w:rsidR="001E4223" w:rsidRPr="00E94E01" w:rsidRDefault="001E4223" w:rsidP="00AD372F">
            <w:pPr>
              <w:rPr>
                <w:rFonts w:cs="Arial"/>
                <w:sz w:val="21"/>
                <w:szCs w:val="21"/>
              </w:rPr>
            </w:pPr>
            <w:r w:rsidRPr="00E94E01">
              <w:rPr>
                <w:rFonts w:cs="Arial"/>
                <w:sz w:val="21"/>
                <w:szCs w:val="21"/>
              </w:rPr>
              <w:t xml:space="preserve">Making Market Work for Women </w:t>
            </w:r>
          </w:p>
        </w:tc>
        <w:tc>
          <w:tcPr>
            <w:tcW w:w="1807" w:type="dxa"/>
          </w:tcPr>
          <w:p w:rsidR="001E4223" w:rsidRPr="00E94E01" w:rsidRDefault="001E4223" w:rsidP="00AD372F">
            <w:pPr>
              <w:pStyle w:val="Default"/>
              <w:jc w:val="center"/>
              <w:rPr>
                <w:rFonts w:ascii="Arial" w:hAnsi="Arial" w:cs="Arial"/>
                <w:sz w:val="21"/>
                <w:szCs w:val="21"/>
              </w:rPr>
            </w:pPr>
            <w:r w:rsidRPr="00E94E01">
              <w:rPr>
                <w:rFonts w:ascii="Arial" w:hAnsi="Arial" w:cs="Arial"/>
                <w:sz w:val="21"/>
                <w:szCs w:val="21"/>
              </w:rPr>
              <w:t>Nov 2015-Dec 2019</w:t>
            </w:r>
          </w:p>
        </w:tc>
        <w:tc>
          <w:tcPr>
            <w:tcW w:w="2126" w:type="dxa"/>
          </w:tcPr>
          <w:p w:rsidR="001E4223" w:rsidRPr="00E94E01" w:rsidRDefault="001E4223" w:rsidP="00AD372F">
            <w:pPr>
              <w:pStyle w:val="Default"/>
              <w:jc w:val="center"/>
              <w:rPr>
                <w:rFonts w:ascii="Arial" w:hAnsi="Arial" w:cs="Arial"/>
                <w:sz w:val="21"/>
                <w:szCs w:val="21"/>
              </w:rPr>
            </w:pPr>
            <w:r w:rsidRPr="00E94E01">
              <w:rPr>
                <w:rFonts w:ascii="Arial" w:hAnsi="Arial" w:cs="Arial"/>
                <w:sz w:val="21"/>
                <w:szCs w:val="21"/>
              </w:rPr>
              <w:t>4 districts</w:t>
            </w:r>
          </w:p>
          <w:p w:rsidR="001E4223" w:rsidRPr="00E94E01" w:rsidRDefault="001E4223" w:rsidP="00AD372F">
            <w:pPr>
              <w:jc w:val="center"/>
              <w:rPr>
                <w:rFonts w:cs="Arial"/>
                <w:sz w:val="21"/>
                <w:szCs w:val="21"/>
              </w:rPr>
            </w:pPr>
          </w:p>
        </w:tc>
        <w:tc>
          <w:tcPr>
            <w:tcW w:w="1800" w:type="dxa"/>
          </w:tcPr>
          <w:p w:rsidR="001E4223" w:rsidRPr="00E94E01" w:rsidRDefault="001E4223" w:rsidP="00AD372F">
            <w:pPr>
              <w:pStyle w:val="Default"/>
              <w:jc w:val="center"/>
              <w:rPr>
                <w:rFonts w:ascii="Arial" w:hAnsi="Arial" w:cs="Arial"/>
                <w:sz w:val="21"/>
                <w:szCs w:val="21"/>
              </w:rPr>
            </w:pPr>
            <w:r w:rsidRPr="00E94E01">
              <w:rPr>
                <w:rFonts w:ascii="Arial" w:hAnsi="Arial" w:cs="Arial"/>
                <w:sz w:val="21"/>
                <w:szCs w:val="21"/>
              </w:rPr>
              <w:t>BDT 186 million</w:t>
            </w:r>
          </w:p>
          <w:p w:rsidR="001E4223" w:rsidRPr="00E94E01" w:rsidRDefault="001E4223" w:rsidP="00AD372F">
            <w:pPr>
              <w:jc w:val="center"/>
              <w:rPr>
                <w:rFonts w:cs="Arial"/>
                <w:sz w:val="21"/>
                <w:szCs w:val="21"/>
              </w:rPr>
            </w:pPr>
          </w:p>
        </w:tc>
        <w:tc>
          <w:tcPr>
            <w:tcW w:w="2880" w:type="dxa"/>
          </w:tcPr>
          <w:p w:rsidR="001E4223" w:rsidRPr="00E94E01" w:rsidRDefault="001E4223" w:rsidP="00AD372F">
            <w:pPr>
              <w:pStyle w:val="Default"/>
              <w:rPr>
                <w:rFonts w:ascii="Arial" w:hAnsi="Arial" w:cs="Arial"/>
                <w:sz w:val="21"/>
                <w:szCs w:val="21"/>
              </w:rPr>
            </w:pPr>
            <w:r w:rsidRPr="00E94E01">
              <w:rPr>
                <w:rFonts w:ascii="Arial" w:hAnsi="Arial" w:cs="Arial"/>
                <w:sz w:val="21"/>
                <w:szCs w:val="21"/>
              </w:rPr>
              <w:t xml:space="preserve">Action Aid Bangladesh and Partners </w:t>
            </w:r>
          </w:p>
        </w:tc>
      </w:tr>
      <w:tr w:rsidR="001E4223" w:rsidRPr="00E94E01" w:rsidTr="00AD372F">
        <w:trPr>
          <w:gridAfter w:val="1"/>
          <w:wAfter w:w="22" w:type="dxa"/>
          <w:trHeight w:val="371"/>
        </w:trPr>
        <w:tc>
          <w:tcPr>
            <w:tcW w:w="540" w:type="dxa"/>
            <w:shd w:val="clear" w:color="auto" w:fill="D9D9D9" w:themeFill="background1" w:themeFillShade="D9"/>
          </w:tcPr>
          <w:p w:rsidR="001E4223" w:rsidRPr="00E94E01" w:rsidRDefault="001E4223" w:rsidP="00AD372F">
            <w:pPr>
              <w:rPr>
                <w:rFonts w:cs="Arial"/>
                <w:sz w:val="21"/>
                <w:szCs w:val="21"/>
              </w:rPr>
            </w:pPr>
          </w:p>
        </w:tc>
        <w:tc>
          <w:tcPr>
            <w:tcW w:w="4770" w:type="dxa"/>
            <w:gridSpan w:val="2"/>
            <w:shd w:val="clear" w:color="auto" w:fill="D9D9D9" w:themeFill="background1" w:themeFillShade="D9"/>
          </w:tcPr>
          <w:p w:rsidR="001E4223" w:rsidRPr="00E05E18" w:rsidRDefault="001E4223" w:rsidP="00AD372F">
            <w:pPr>
              <w:pStyle w:val="Default"/>
              <w:rPr>
                <w:rFonts w:ascii="Arial" w:hAnsi="Arial" w:cs="Arial"/>
                <w:b/>
                <w:bCs/>
                <w:sz w:val="21"/>
                <w:szCs w:val="21"/>
              </w:rPr>
            </w:pPr>
            <w:r w:rsidRPr="00E05E18">
              <w:rPr>
                <w:rFonts w:ascii="Arial" w:hAnsi="Arial" w:cs="Arial"/>
                <w:b/>
                <w:bCs/>
                <w:sz w:val="21"/>
                <w:szCs w:val="21"/>
              </w:rPr>
              <w:t>UNICEF</w:t>
            </w:r>
          </w:p>
        </w:tc>
        <w:tc>
          <w:tcPr>
            <w:tcW w:w="1807" w:type="dxa"/>
            <w:shd w:val="clear" w:color="auto" w:fill="D9D9D9" w:themeFill="background1" w:themeFillShade="D9"/>
          </w:tcPr>
          <w:p w:rsidR="001E4223" w:rsidRPr="00E94E01" w:rsidRDefault="001E4223" w:rsidP="00AD372F">
            <w:pPr>
              <w:jc w:val="center"/>
              <w:rPr>
                <w:rFonts w:cs="Arial"/>
                <w:sz w:val="21"/>
                <w:szCs w:val="21"/>
              </w:rPr>
            </w:pPr>
          </w:p>
        </w:tc>
        <w:tc>
          <w:tcPr>
            <w:tcW w:w="2126" w:type="dxa"/>
            <w:shd w:val="clear" w:color="auto" w:fill="D9D9D9" w:themeFill="background1" w:themeFillShade="D9"/>
          </w:tcPr>
          <w:p w:rsidR="001E4223" w:rsidRPr="00E94E01" w:rsidRDefault="001E4223" w:rsidP="00AD372F">
            <w:pPr>
              <w:jc w:val="center"/>
              <w:rPr>
                <w:rFonts w:cs="Arial"/>
                <w:sz w:val="21"/>
                <w:szCs w:val="21"/>
              </w:rPr>
            </w:pPr>
          </w:p>
        </w:tc>
        <w:tc>
          <w:tcPr>
            <w:tcW w:w="1800" w:type="dxa"/>
            <w:shd w:val="clear" w:color="auto" w:fill="D9D9D9" w:themeFill="background1" w:themeFillShade="D9"/>
          </w:tcPr>
          <w:p w:rsidR="001E4223" w:rsidRPr="00E94E01" w:rsidRDefault="001E4223" w:rsidP="00AD372F">
            <w:pPr>
              <w:jc w:val="center"/>
              <w:rPr>
                <w:rFonts w:cs="Arial"/>
                <w:sz w:val="21"/>
                <w:szCs w:val="21"/>
              </w:rPr>
            </w:pPr>
          </w:p>
        </w:tc>
        <w:tc>
          <w:tcPr>
            <w:tcW w:w="2880" w:type="dxa"/>
            <w:shd w:val="clear" w:color="auto" w:fill="D9D9D9" w:themeFill="background1" w:themeFillShade="D9"/>
          </w:tcPr>
          <w:p w:rsidR="001E4223" w:rsidRPr="00E94E01" w:rsidRDefault="001E4223" w:rsidP="00AD372F">
            <w:pPr>
              <w:pStyle w:val="Default"/>
              <w:rPr>
                <w:rFonts w:ascii="Arial" w:hAnsi="Arial" w:cs="Arial"/>
                <w:sz w:val="21"/>
                <w:szCs w:val="21"/>
              </w:rPr>
            </w:pPr>
          </w:p>
        </w:tc>
      </w:tr>
      <w:tr w:rsidR="001E4223" w:rsidRPr="00E94E01" w:rsidTr="00AD372F">
        <w:trPr>
          <w:gridAfter w:val="1"/>
          <w:wAfter w:w="22" w:type="dxa"/>
          <w:trHeight w:val="566"/>
        </w:trPr>
        <w:tc>
          <w:tcPr>
            <w:tcW w:w="540" w:type="dxa"/>
          </w:tcPr>
          <w:p w:rsidR="001E4223" w:rsidRPr="00E94E01" w:rsidRDefault="001E4223" w:rsidP="00AD372F">
            <w:pPr>
              <w:rPr>
                <w:rFonts w:cs="Arial"/>
                <w:sz w:val="21"/>
                <w:szCs w:val="21"/>
              </w:rPr>
            </w:pPr>
            <w:r w:rsidRPr="00E94E01">
              <w:rPr>
                <w:rFonts w:cs="Arial"/>
                <w:sz w:val="21"/>
                <w:szCs w:val="21"/>
              </w:rPr>
              <w:t>36</w:t>
            </w:r>
          </w:p>
        </w:tc>
        <w:tc>
          <w:tcPr>
            <w:tcW w:w="4770" w:type="dxa"/>
            <w:gridSpan w:val="2"/>
          </w:tcPr>
          <w:p w:rsidR="001E4223" w:rsidRPr="00E94E01" w:rsidRDefault="001E4223" w:rsidP="00AD372F">
            <w:pPr>
              <w:pStyle w:val="Default"/>
              <w:rPr>
                <w:rFonts w:ascii="Arial" w:hAnsi="Arial" w:cs="Arial"/>
                <w:bCs/>
                <w:sz w:val="21"/>
                <w:szCs w:val="21"/>
              </w:rPr>
            </w:pPr>
            <w:proofErr w:type="spellStart"/>
            <w:r w:rsidRPr="00E94E01">
              <w:rPr>
                <w:rFonts w:ascii="Arial" w:eastAsia="Arial" w:hAnsi="Arial" w:cs="Arial"/>
                <w:sz w:val="21"/>
                <w:szCs w:val="21"/>
                <w:lang w:val="en-US"/>
              </w:rPr>
              <w:t>GoB</w:t>
            </w:r>
            <w:proofErr w:type="spellEnd"/>
            <w:r w:rsidRPr="00E94E01">
              <w:rPr>
                <w:rFonts w:ascii="Arial" w:eastAsia="Arial" w:hAnsi="Arial" w:cs="Arial"/>
                <w:sz w:val="21"/>
                <w:szCs w:val="21"/>
                <w:lang w:val="en-US"/>
              </w:rPr>
              <w:t>-UNICEF joint Country Program</w:t>
            </w:r>
          </w:p>
        </w:tc>
        <w:tc>
          <w:tcPr>
            <w:tcW w:w="1807" w:type="dxa"/>
          </w:tcPr>
          <w:p w:rsidR="001E4223" w:rsidRPr="00E94E01" w:rsidRDefault="001E4223" w:rsidP="00AD372F">
            <w:pPr>
              <w:jc w:val="center"/>
              <w:rPr>
                <w:rFonts w:cs="Arial"/>
                <w:sz w:val="21"/>
                <w:szCs w:val="21"/>
              </w:rPr>
            </w:pPr>
            <w:r w:rsidRPr="00E94E01">
              <w:rPr>
                <w:rFonts w:eastAsia="Arial" w:cs="Arial"/>
                <w:sz w:val="21"/>
                <w:szCs w:val="21"/>
                <w:lang w:val="en-US"/>
              </w:rPr>
              <w:t>2017-2020</w:t>
            </w:r>
          </w:p>
        </w:tc>
        <w:tc>
          <w:tcPr>
            <w:tcW w:w="2126" w:type="dxa"/>
          </w:tcPr>
          <w:p w:rsidR="001E4223" w:rsidRPr="00E94E01" w:rsidRDefault="001E4223" w:rsidP="00AD372F">
            <w:pPr>
              <w:jc w:val="center"/>
              <w:rPr>
                <w:rFonts w:cs="Arial"/>
                <w:sz w:val="21"/>
                <w:szCs w:val="21"/>
              </w:rPr>
            </w:pPr>
            <w:r w:rsidRPr="00E94E01">
              <w:rPr>
                <w:rFonts w:eastAsia="Arial" w:cs="Arial"/>
                <w:sz w:val="21"/>
                <w:szCs w:val="21"/>
                <w:lang w:val="en-US"/>
              </w:rPr>
              <w:t>National level; 25 UNDAF districts</w:t>
            </w:r>
          </w:p>
        </w:tc>
        <w:tc>
          <w:tcPr>
            <w:tcW w:w="1800" w:type="dxa"/>
          </w:tcPr>
          <w:p w:rsidR="001E4223" w:rsidRPr="00E94E01" w:rsidRDefault="001E4223" w:rsidP="00AD372F">
            <w:pPr>
              <w:jc w:val="center"/>
              <w:rPr>
                <w:rFonts w:cs="Arial"/>
                <w:sz w:val="21"/>
                <w:szCs w:val="21"/>
              </w:rPr>
            </w:pPr>
            <w:r w:rsidRPr="00E94E01">
              <w:rPr>
                <w:rFonts w:eastAsia="Arial" w:cs="Arial"/>
                <w:sz w:val="21"/>
                <w:szCs w:val="21"/>
                <w:lang w:val="en-US"/>
              </w:rPr>
              <w:t>USD 4.6 million</w:t>
            </w:r>
          </w:p>
        </w:tc>
        <w:tc>
          <w:tcPr>
            <w:tcW w:w="2880" w:type="dxa"/>
          </w:tcPr>
          <w:p w:rsidR="001E4223" w:rsidRPr="00E94E01" w:rsidRDefault="001E4223" w:rsidP="00AD372F">
            <w:pPr>
              <w:pStyle w:val="Default"/>
              <w:rPr>
                <w:rFonts w:ascii="Arial" w:hAnsi="Arial" w:cs="Arial"/>
                <w:sz w:val="21"/>
                <w:szCs w:val="21"/>
              </w:rPr>
            </w:pPr>
            <w:r w:rsidRPr="00E94E01">
              <w:rPr>
                <w:rFonts w:ascii="Arial" w:eastAsia="Arial" w:hAnsi="Arial" w:cs="Arial"/>
                <w:sz w:val="21"/>
                <w:szCs w:val="21"/>
                <w:lang w:val="en-US"/>
              </w:rPr>
              <w:t>UNICEF Core resources (RR)</w:t>
            </w:r>
          </w:p>
        </w:tc>
      </w:tr>
      <w:tr w:rsidR="001E4223" w:rsidRPr="00E94E01" w:rsidTr="00AD372F">
        <w:trPr>
          <w:gridAfter w:val="1"/>
          <w:wAfter w:w="22" w:type="dxa"/>
          <w:trHeight w:val="566"/>
        </w:trPr>
        <w:tc>
          <w:tcPr>
            <w:tcW w:w="540" w:type="dxa"/>
          </w:tcPr>
          <w:p w:rsidR="001E4223" w:rsidRPr="00E94E01" w:rsidRDefault="001E4223" w:rsidP="00AD372F">
            <w:pPr>
              <w:rPr>
                <w:rFonts w:cs="Arial"/>
                <w:sz w:val="21"/>
                <w:szCs w:val="21"/>
              </w:rPr>
            </w:pPr>
            <w:r w:rsidRPr="00E94E01">
              <w:rPr>
                <w:rFonts w:cs="Arial"/>
                <w:sz w:val="21"/>
                <w:szCs w:val="21"/>
              </w:rPr>
              <w:t>37</w:t>
            </w:r>
          </w:p>
        </w:tc>
        <w:tc>
          <w:tcPr>
            <w:tcW w:w="4770" w:type="dxa"/>
            <w:gridSpan w:val="2"/>
          </w:tcPr>
          <w:p w:rsidR="001E4223" w:rsidRPr="00E94E01" w:rsidRDefault="001E4223" w:rsidP="00AD372F">
            <w:pPr>
              <w:pStyle w:val="Default"/>
              <w:rPr>
                <w:rFonts w:ascii="Arial" w:hAnsi="Arial" w:cs="Arial"/>
                <w:bCs/>
                <w:sz w:val="21"/>
                <w:szCs w:val="21"/>
              </w:rPr>
            </w:pPr>
            <w:r w:rsidRPr="00E94E01">
              <w:rPr>
                <w:rFonts w:ascii="Arial" w:eastAsia="Arial" w:hAnsi="Arial" w:cs="Arial"/>
                <w:sz w:val="21"/>
                <w:szCs w:val="21"/>
                <w:lang w:val="en-US"/>
              </w:rPr>
              <w:t>GAVI Health Systems Strengthening II</w:t>
            </w:r>
          </w:p>
        </w:tc>
        <w:tc>
          <w:tcPr>
            <w:tcW w:w="1807" w:type="dxa"/>
          </w:tcPr>
          <w:p w:rsidR="001E4223" w:rsidRPr="00E94E01" w:rsidRDefault="001E4223" w:rsidP="00AD372F">
            <w:pPr>
              <w:jc w:val="center"/>
              <w:rPr>
                <w:rFonts w:cs="Arial"/>
                <w:sz w:val="21"/>
                <w:szCs w:val="21"/>
              </w:rPr>
            </w:pPr>
            <w:r w:rsidRPr="00E94E01">
              <w:rPr>
                <w:rFonts w:eastAsia="Arial" w:cs="Arial"/>
                <w:sz w:val="21"/>
                <w:szCs w:val="21"/>
                <w:lang w:val="en-US"/>
              </w:rPr>
              <w:t>2016-2019</w:t>
            </w:r>
          </w:p>
        </w:tc>
        <w:tc>
          <w:tcPr>
            <w:tcW w:w="2126" w:type="dxa"/>
          </w:tcPr>
          <w:p w:rsidR="001E4223" w:rsidRPr="00E94E01" w:rsidRDefault="001E4223" w:rsidP="00AD372F">
            <w:pPr>
              <w:jc w:val="center"/>
              <w:rPr>
                <w:rFonts w:cs="Arial"/>
                <w:sz w:val="21"/>
                <w:szCs w:val="21"/>
              </w:rPr>
            </w:pPr>
            <w:r w:rsidRPr="00E94E01">
              <w:rPr>
                <w:rFonts w:cs="Arial"/>
                <w:sz w:val="21"/>
                <w:szCs w:val="21"/>
              </w:rPr>
              <w:t>40 districts</w:t>
            </w:r>
          </w:p>
        </w:tc>
        <w:tc>
          <w:tcPr>
            <w:tcW w:w="1800" w:type="dxa"/>
          </w:tcPr>
          <w:p w:rsidR="001E4223" w:rsidRPr="00E94E01" w:rsidRDefault="001E4223" w:rsidP="00AD372F">
            <w:pPr>
              <w:jc w:val="center"/>
              <w:rPr>
                <w:rFonts w:cs="Arial"/>
                <w:sz w:val="21"/>
                <w:szCs w:val="21"/>
              </w:rPr>
            </w:pPr>
            <w:r w:rsidRPr="00E94E01">
              <w:rPr>
                <w:rFonts w:cs="Arial"/>
                <w:sz w:val="21"/>
                <w:szCs w:val="21"/>
              </w:rPr>
              <w:t xml:space="preserve">USD </w:t>
            </w:r>
            <w:r w:rsidRPr="00E94E01">
              <w:rPr>
                <w:rFonts w:eastAsia="Arial" w:cs="Arial"/>
                <w:sz w:val="21"/>
                <w:szCs w:val="21"/>
                <w:lang w:val="en-US"/>
              </w:rPr>
              <w:t>20,395,457</w:t>
            </w:r>
          </w:p>
        </w:tc>
        <w:tc>
          <w:tcPr>
            <w:tcW w:w="2880" w:type="dxa"/>
          </w:tcPr>
          <w:p w:rsidR="001E4223" w:rsidRPr="00E94E01" w:rsidRDefault="001E4223" w:rsidP="00AD372F">
            <w:pPr>
              <w:pStyle w:val="Default"/>
              <w:rPr>
                <w:rFonts w:ascii="Arial" w:hAnsi="Arial" w:cs="Arial"/>
                <w:sz w:val="21"/>
                <w:szCs w:val="21"/>
              </w:rPr>
            </w:pPr>
            <w:proofErr w:type="spellStart"/>
            <w:r w:rsidRPr="00E94E01">
              <w:rPr>
                <w:rFonts w:ascii="Arial" w:eastAsia="Arial" w:hAnsi="Arial" w:cs="Arial"/>
                <w:sz w:val="21"/>
                <w:szCs w:val="21"/>
                <w:lang w:val="en-US"/>
              </w:rPr>
              <w:t>Gavi</w:t>
            </w:r>
            <w:proofErr w:type="spellEnd"/>
            <w:r w:rsidRPr="00E94E01">
              <w:rPr>
                <w:rFonts w:ascii="Arial" w:eastAsia="Arial" w:hAnsi="Arial" w:cs="Arial"/>
                <w:sz w:val="21"/>
                <w:szCs w:val="21"/>
                <w:lang w:val="en-US"/>
              </w:rPr>
              <w:t xml:space="preserve"> HSS2/ UNICEF</w:t>
            </w:r>
          </w:p>
        </w:tc>
      </w:tr>
      <w:tr w:rsidR="001E4223" w:rsidRPr="00E94E01" w:rsidTr="00AD372F">
        <w:trPr>
          <w:gridAfter w:val="1"/>
          <w:wAfter w:w="22" w:type="dxa"/>
          <w:trHeight w:val="566"/>
        </w:trPr>
        <w:tc>
          <w:tcPr>
            <w:tcW w:w="540" w:type="dxa"/>
          </w:tcPr>
          <w:p w:rsidR="001E4223" w:rsidRPr="00E94E01" w:rsidRDefault="001E4223" w:rsidP="00AD372F">
            <w:pPr>
              <w:rPr>
                <w:rFonts w:cs="Arial"/>
                <w:sz w:val="21"/>
                <w:szCs w:val="21"/>
              </w:rPr>
            </w:pPr>
            <w:r w:rsidRPr="00E94E01">
              <w:rPr>
                <w:rFonts w:cs="Arial"/>
                <w:sz w:val="21"/>
                <w:szCs w:val="21"/>
              </w:rPr>
              <w:lastRenderedPageBreak/>
              <w:t>39</w:t>
            </w:r>
          </w:p>
        </w:tc>
        <w:tc>
          <w:tcPr>
            <w:tcW w:w="4770" w:type="dxa"/>
            <w:gridSpan w:val="2"/>
          </w:tcPr>
          <w:p w:rsidR="001E4223" w:rsidRPr="00E94E01" w:rsidRDefault="001E4223" w:rsidP="00AD372F">
            <w:pPr>
              <w:pStyle w:val="Default"/>
              <w:rPr>
                <w:rFonts w:ascii="Arial" w:hAnsi="Arial" w:cs="Arial"/>
                <w:bCs/>
                <w:sz w:val="21"/>
                <w:szCs w:val="21"/>
              </w:rPr>
            </w:pPr>
            <w:r w:rsidRPr="00E94E01">
              <w:rPr>
                <w:rFonts w:ascii="Arial" w:eastAsia="Arial" w:hAnsi="Arial" w:cs="Arial"/>
                <w:sz w:val="21"/>
                <w:szCs w:val="21"/>
                <w:lang w:val="en-US"/>
              </w:rPr>
              <w:t>Improving Effective Coverage of Maternal, Newborn, Child Health</w:t>
            </w:r>
          </w:p>
        </w:tc>
        <w:tc>
          <w:tcPr>
            <w:tcW w:w="1807" w:type="dxa"/>
          </w:tcPr>
          <w:p w:rsidR="001E4223" w:rsidRPr="00E94E01" w:rsidRDefault="001E4223" w:rsidP="00AD372F">
            <w:pPr>
              <w:jc w:val="center"/>
              <w:rPr>
                <w:rFonts w:cs="Arial"/>
                <w:sz w:val="21"/>
                <w:szCs w:val="21"/>
              </w:rPr>
            </w:pPr>
            <w:r w:rsidRPr="00E94E01">
              <w:rPr>
                <w:rFonts w:eastAsia="Arial" w:cs="Arial"/>
                <w:sz w:val="21"/>
                <w:szCs w:val="21"/>
                <w:lang w:val="en-US"/>
              </w:rPr>
              <w:t>2015-2019</w:t>
            </w:r>
          </w:p>
        </w:tc>
        <w:tc>
          <w:tcPr>
            <w:tcW w:w="2126" w:type="dxa"/>
          </w:tcPr>
          <w:p w:rsidR="001E4223" w:rsidRPr="00E94E01" w:rsidRDefault="001E4223" w:rsidP="00AD372F">
            <w:pPr>
              <w:jc w:val="center"/>
              <w:rPr>
                <w:rFonts w:cs="Arial"/>
                <w:sz w:val="21"/>
                <w:szCs w:val="21"/>
              </w:rPr>
            </w:pPr>
            <w:r w:rsidRPr="00E94E01">
              <w:rPr>
                <w:rFonts w:eastAsia="Arial" w:cs="Arial"/>
                <w:sz w:val="21"/>
                <w:szCs w:val="21"/>
                <w:lang w:val="en-US"/>
              </w:rPr>
              <w:t xml:space="preserve">Dhaka Urban, </w:t>
            </w:r>
            <w:proofErr w:type="spellStart"/>
            <w:r w:rsidRPr="00E94E01">
              <w:rPr>
                <w:rFonts w:eastAsia="Arial" w:cs="Arial"/>
                <w:sz w:val="21"/>
                <w:szCs w:val="21"/>
              </w:rPr>
              <w:t>Dhamrai</w:t>
            </w:r>
            <w:proofErr w:type="spellEnd"/>
            <w:r w:rsidRPr="00E94E01">
              <w:rPr>
                <w:rFonts w:eastAsia="Arial" w:cs="Arial"/>
                <w:sz w:val="21"/>
                <w:szCs w:val="21"/>
              </w:rPr>
              <w:t xml:space="preserve">, </w:t>
            </w:r>
            <w:proofErr w:type="spellStart"/>
            <w:r w:rsidRPr="00E94E01">
              <w:rPr>
                <w:rFonts w:eastAsia="Arial" w:cs="Arial"/>
                <w:sz w:val="21"/>
                <w:szCs w:val="21"/>
              </w:rPr>
              <w:t>Savar</w:t>
            </w:r>
            <w:proofErr w:type="spellEnd"/>
            <w:r w:rsidRPr="00E94E01">
              <w:rPr>
                <w:rFonts w:eastAsia="Arial" w:cs="Arial"/>
                <w:sz w:val="21"/>
                <w:szCs w:val="21"/>
              </w:rPr>
              <w:t xml:space="preserve">, </w:t>
            </w:r>
            <w:proofErr w:type="spellStart"/>
            <w:r w:rsidRPr="00E94E01">
              <w:rPr>
                <w:rFonts w:eastAsia="Arial" w:cs="Arial"/>
                <w:sz w:val="21"/>
                <w:szCs w:val="21"/>
              </w:rPr>
              <w:t>Kishoreganj</w:t>
            </w:r>
            <w:proofErr w:type="spellEnd"/>
            <w:r w:rsidRPr="00E94E01">
              <w:rPr>
                <w:rFonts w:eastAsia="Arial" w:cs="Arial"/>
                <w:sz w:val="21"/>
                <w:szCs w:val="21"/>
              </w:rPr>
              <w:t xml:space="preserve"> district</w:t>
            </w:r>
          </w:p>
        </w:tc>
        <w:tc>
          <w:tcPr>
            <w:tcW w:w="1800" w:type="dxa"/>
          </w:tcPr>
          <w:p w:rsidR="001E4223" w:rsidRPr="00E94E01" w:rsidRDefault="001E4223" w:rsidP="00AD372F">
            <w:pPr>
              <w:jc w:val="center"/>
              <w:rPr>
                <w:rFonts w:cs="Arial"/>
                <w:sz w:val="21"/>
                <w:szCs w:val="21"/>
              </w:rPr>
            </w:pPr>
            <w:r w:rsidRPr="00E94E01">
              <w:rPr>
                <w:rFonts w:eastAsia="Arial" w:cs="Arial"/>
                <w:sz w:val="21"/>
                <w:szCs w:val="21"/>
                <w:lang w:val="en-US"/>
              </w:rPr>
              <w:t>3.4 million USD</w:t>
            </w:r>
          </w:p>
        </w:tc>
        <w:tc>
          <w:tcPr>
            <w:tcW w:w="2880" w:type="dxa"/>
          </w:tcPr>
          <w:p w:rsidR="001E4223" w:rsidRPr="00E94E01" w:rsidRDefault="001E4223" w:rsidP="00AD372F">
            <w:pPr>
              <w:jc w:val="center"/>
              <w:rPr>
                <w:rFonts w:eastAsia="Arial" w:cs="Arial"/>
                <w:sz w:val="21"/>
                <w:szCs w:val="21"/>
                <w:lang w:val="en-US"/>
              </w:rPr>
            </w:pPr>
            <w:r w:rsidRPr="00E94E01">
              <w:rPr>
                <w:rFonts w:eastAsia="Arial" w:cs="Arial"/>
                <w:sz w:val="21"/>
                <w:szCs w:val="21"/>
                <w:lang w:val="en-US"/>
              </w:rPr>
              <w:t xml:space="preserve">Swiss </w:t>
            </w:r>
            <w:proofErr w:type="spellStart"/>
            <w:r w:rsidRPr="00E94E01">
              <w:rPr>
                <w:rFonts w:eastAsia="Arial" w:cs="Arial"/>
                <w:sz w:val="21"/>
                <w:szCs w:val="21"/>
                <w:lang w:val="en-US"/>
              </w:rPr>
              <w:t>natcom</w:t>
            </w:r>
            <w:proofErr w:type="spellEnd"/>
            <w:r w:rsidRPr="00E94E01">
              <w:rPr>
                <w:rFonts w:eastAsia="Arial" w:cs="Arial"/>
                <w:sz w:val="21"/>
                <w:szCs w:val="21"/>
                <w:lang w:val="en-US"/>
              </w:rPr>
              <w:t xml:space="preserve">/ UNICEF </w:t>
            </w:r>
          </w:p>
          <w:p w:rsidR="001E4223" w:rsidRPr="00E94E01" w:rsidRDefault="001E4223" w:rsidP="00AD372F">
            <w:pPr>
              <w:pStyle w:val="Default"/>
              <w:rPr>
                <w:rFonts w:ascii="Arial" w:hAnsi="Arial" w:cs="Arial"/>
                <w:sz w:val="21"/>
                <w:szCs w:val="21"/>
              </w:rPr>
            </w:pPr>
          </w:p>
        </w:tc>
      </w:tr>
      <w:tr w:rsidR="001E4223" w:rsidRPr="00E94E01" w:rsidTr="00AD372F">
        <w:trPr>
          <w:gridAfter w:val="1"/>
          <w:wAfter w:w="22" w:type="dxa"/>
          <w:trHeight w:val="566"/>
        </w:trPr>
        <w:tc>
          <w:tcPr>
            <w:tcW w:w="540" w:type="dxa"/>
          </w:tcPr>
          <w:p w:rsidR="001E4223" w:rsidRPr="00E94E01" w:rsidRDefault="001E4223" w:rsidP="00AD372F">
            <w:pPr>
              <w:rPr>
                <w:rFonts w:cs="Arial"/>
                <w:sz w:val="21"/>
                <w:szCs w:val="21"/>
              </w:rPr>
            </w:pPr>
            <w:r w:rsidRPr="00E94E01">
              <w:rPr>
                <w:rFonts w:cs="Arial"/>
                <w:sz w:val="21"/>
                <w:szCs w:val="21"/>
              </w:rPr>
              <w:t>40</w:t>
            </w:r>
          </w:p>
        </w:tc>
        <w:tc>
          <w:tcPr>
            <w:tcW w:w="4770" w:type="dxa"/>
            <w:gridSpan w:val="2"/>
          </w:tcPr>
          <w:p w:rsidR="001E4223" w:rsidRPr="00E94E01" w:rsidRDefault="001E4223" w:rsidP="00AD372F">
            <w:pPr>
              <w:rPr>
                <w:rFonts w:eastAsia="Arial" w:cs="Arial"/>
                <w:sz w:val="21"/>
                <w:szCs w:val="21"/>
                <w:lang w:val="en-US"/>
              </w:rPr>
            </w:pPr>
            <w:r w:rsidRPr="00E94E01">
              <w:rPr>
                <w:rFonts w:eastAsia="Arial" w:cs="Arial"/>
                <w:sz w:val="21"/>
                <w:szCs w:val="21"/>
                <w:lang w:val="en-US"/>
              </w:rPr>
              <w:t>City Corporations (LGIs)</w:t>
            </w:r>
          </w:p>
          <w:p w:rsidR="001E4223" w:rsidRPr="00E94E01" w:rsidRDefault="001E4223" w:rsidP="00AD372F">
            <w:pPr>
              <w:pStyle w:val="Default"/>
              <w:rPr>
                <w:rFonts w:ascii="Arial" w:hAnsi="Arial" w:cs="Arial"/>
                <w:bCs/>
                <w:sz w:val="21"/>
                <w:szCs w:val="21"/>
              </w:rPr>
            </w:pPr>
            <w:r w:rsidRPr="00E94E01">
              <w:rPr>
                <w:rFonts w:ascii="Arial" w:eastAsia="Arial" w:hAnsi="Arial" w:cs="Arial"/>
                <w:sz w:val="21"/>
                <w:szCs w:val="21"/>
                <w:lang w:val="en-US"/>
              </w:rPr>
              <w:t>MNCAH</w:t>
            </w:r>
          </w:p>
        </w:tc>
        <w:tc>
          <w:tcPr>
            <w:tcW w:w="1807" w:type="dxa"/>
          </w:tcPr>
          <w:p w:rsidR="001E4223" w:rsidRPr="00E94E01" w:rsidRDefault="001E4223" w:rsidP="00AD372F">
            <w:pPr>
              <w:jc w:val="center"/>
              <w:rPr>
                <w:rFonts w:cs="Arial"/>
                <w:sz w:val="21"/>
                <w:szCs w:val="21"/>
              </w:rPr>
            </w:pPr>
            <w:r w:rsidRPr="00E94E01">
              <w:rPr>
                <w:rFonts w:eastAsia="Arial" w:cs="Arial"/>
                <w:sz w:val="21"/>
                <w:szCs w:val="21"/>
                <w:lang w:val="en-US"/>
              </w:rPr>
              <w:t>2018 - 2020</w:t>
            </w:r>
          </w:p>
        </w:tc>
        <w:tc>
          <w:tcPr>
            <w:tcW w:w="2126" w:type="dxa"/>
          </w:tcPr>
          <w:p w:rsidR="001E4223" w:rsidRPr="00E94E01" w:rsidRDefault="001E4223" w:rsidP="00AD372F">
            <w:pPr>
              <w:jc w:val="center"/>
              <w:rPr>
                <w:rFonts w:cs="Arial"/>
                <w:sz w:val="21"/>
                <w:szCs w:val="21"/>
              </w:rPr>
            </w:pPr>
            <w:r w:rsidRPr="00E94E01">
              <w:rPr>
                <w:rFonts w:eastAsia="Arial" w:cs="Arial"/>
                <w:sz w:val="21"/>
                <w:szCs w:val="21"/>
                <w:lang w:val="en-US"/>
              </w:rPr>
              <w:t xml:space="preserve">8 City Corporations and LGD, </w:t>
            </w:r>
            <w:proofErr w:type="spellStart"/>
            <w:r w:rsidRPr="00E94E01">
              <w:rPr>
                <w:rFonts w:eastAsia="Arial" w:cs="Arial"/>
                <w:sz w:val="21"/>
                <w:szCs w:val="21"/>
                <w:lang w:val="en-US"/>
              </w:rPr>
              <w:t>MoLDRD&amp;C</w:t>
            </w:r>
            <w:proofErr w:type="spellEnd"/>
          </w:p>
        </w:tc>
        <w:tc>
          <w:tcPr>
            <w:tcW w:w="1800" w:type="dxa"/>
          </w:tcPr>
          <w:p w:rsidR="001E4223" w:rsidRPr="00E94E01" w:rsidRDefault="001E4223" w:rsidP="00AD372F">
            <w:pPr>
              <w:jc w:val="center"/>
              <w:rPr>
                <w:rFonts w:cs="Arial"/>
                <w:sz w:val="21"/>
                <w:szCs w:val="21"/>
              </w:rPr>
            </w:pPr>
            <w:r w:rsidRPr="00E94E01">
              <w:rPr>
                <w:rFonts w:eastAsia="Arial" w:cs="Arial"/>
                <w:sz w:val="21"/>
                <w:szCs w:val="21"/>
                <w:lang w:val="en-US"/>
              </w:rPr>
              <w:t>USD 8 million</w:t>
            </w:r>
          </w:p>
        </w:tc>
        <w:tc>
          <w:tcPr>
            <w:tcW w:w="2880" w:type="dxa"/>
          </w:tcPr>
          <w:p w:rsidR="001E4223" w:rsidRPr="00E94E01" w:rsidRDefault="001E4223" w:rsidP="00AD372F">
            <w:pPr>
              <w:pStyle w:val="Default"/>
              <w:rPr>
                <w:rFonts w:ascii="Arial" w:hAnsi="Arial" w:cs="Arial"/>
                <w:sz w:val="21"/>
                <w:szCs w:val="21"/>
              </w:rPr>
            </w:pPr>
            <w:r w:rsidRPr="00E94E01">
              <w:rPr>
                <w:rFonts w:ascii="Arial" w:eastAsia="Arial" w:hAnsi="Arial" w:cs="Arial"/>
                <w:sz w:val="21"/>
                <w:szCs w:val="21"/>
                <w:lang w:val="en-US"/>
              </w:rPr>
              <w:t xml:space="preserve">UNICEF support to Urban (various grants, </w:t>
            </w:r>
            <w:proofErr w:type="spellStart"/>
            <w:r w:rsidRPr="00E94E01">
              <w:rPr>
                <w:rFonts w:ascii="Arial" w:eastAsia="Arial" w:hAnsi="Arial" w:cs="Arial"/>
                <w:sz w:val="21"/>
                <w:szCs w:val="21"/>
                <w:lang w:val="en-US"/>
              </w:rPr>
              <w:t>incl</w:t>
            </w:r>
            <w:proofErr w:type="spellEnd"/>
            <w:r w:rsidRPr="00E94E01">
              <w:rPr>
                <w:rFonts w:ascii="Arial" w:eastAsia="Arial" w:hAnsi="Arial" w:cs="Arial"/>
                <w:sz w:val="21"/>
                <w:szCs w:val="21"/>
                <w:lang w:val="en-US"/>
              </w:rPr>
              <w:t xml:space="preserve"> RR)</w:t>
            </w:r>
          </w:p>
        </w:tc>
      </w:tr>
      <w:tr w:rsidR="001E4223" w:rsidRPr="00E94E01" w:rsidTr="00AD372F">
        <w:trPr>
          <w:gridAfter w:val="1"/>
          <w:wAfter w:w="22" w:type="dxa"/>
        </w:trPr>
        <w:tc>
          <w:tcPr>
            <w:tcW w:w="540" w:type="dxa"/>
            <w:shd w:val="clear" w:color="auto" w:fill="D9D9D9" w:themeFill="background1" w:themeFillShade="D9"/>
          </w:tcPr>
          <w:p w:rsidR="001E4223" w:rsidRPr="00E94E01" w:rsidRDefault="001E4223" w:rsidP="00AD372F">
            <w:pPr>
              <w:jc w:val="center"/>
              <w:rPr>
                <w:rFonts w:cs="Arial"/>
                <w:sz w:val="21"/>
                <w:szCs w:val="21"/>
              </w:rPr>
            </w:pPr>
          </w:p>
        </w:tc>
        <w:tc>
          <w:tcPr>
            <w:tcW w:w="4734" w:type="dxa"/>
            <w:shd w:val="clear" w:color="auto" w:fill="D9D9D9" w:themeFill="background1" w:themeFillShade="D9"/>
          </w:tcPr>
          <w:p w:rsidR="001E4223" w:rsidRPr="00E94E01" w:rsidRDefault="001E4223" w:rsidP="00AD372F">
            <w:pPr>
              <w:jc w:val="center"/>
              <w:rPr>
                <w:rFonts w:cs="Arial"/>
                <w:sz w:val="21"/>
                <w:szCs w:val="21"/>
              </w:rPr>
            </w:pPr>
            <w:r w:rsidRPr="00E94E01">
              <w:rPr>
                <w:rFonts w:cs="Arial"/>
                <w:sz w:val="21"/>
                <w:szCs w:val="21"/>
              </w:rPr>
              <w:t>PROJECT TITLE</w:t>
            </w:r>
          </w:p>
        </w:tc>
        <w:tc>
          <w:tcPr>
            <w:tcW w:w="1843" w:type="dxa"/>
            <w:gridSpan w:val="2"/>
            <w:shd w:val="clear" w:color="auto" w:fill="D9D9D9" w:themeFill="background1" w:themeFillShade="D9"/>
          </w:tcPr>
          <w:p w:rsidR="001E4223" w:rsidRPr="00E94E01" w:rsidRDefault="001E4223" w:rsidP="00AD372F">
            <w:pPr>
              <w:jc w:val="center"/>
              <w:rPr>
                <w:rFonts w:cs="Arial"/>
                <w:sz w:val="21"/>
                <w:szCs w:val="21"/>
              </w:rPr>
            </w:pPr>
            <w:r w:rsidRPr="00E94E01">
              <w:rPr>
                <w:rFonts w:cs="Arial"/>
                <w:sz w:val="21"/>
                <w:szCs w:val="21"/>
              </w:rPr>
              <w:t>DURATION</w:t>
            </w:r>
          </w:p>
        </w:tc>
        <w:tc>
          <w:tcPr>
            <w:tcW w:w="2126" w:type="dxa"/>
            <w:shd w:val="clear" w:color="auto" w:fill="D9D9D9" w:themeFill="background1" w:themeFillShade="D9"/>
          </w:tcPr>
          <w:p w:rsidR="001E4223" w:rsidRPr="00E94E01" w:rsidRDefault="001E4223" w:rsidP="00AD372F">
            <w:pPr>
              <w:jc w:val="center"/>
              <w:rPr>
                <w:rFonts w:cs="Arial"/>
                <w:sz w:val="21"/>
                <w:szCs w:val="21"/>
              </w:rPr>
            </w:pPr>
            <w:r w:rsidRPr="00E94E01">
              <w:rPr>
                <w:rFonts w:cs="Arial"/>
                <w:sz w:val="21"/>
                <w:szCs w:val="21"/>
              </w:rPr>
              <w:t>LOCATION</w:t>
            </w:r>
          </w:p>
        </w:tc>
        <w:tc>
          <w:tcPr>
            <w:tcW w:w="1800" w:type="dxa"/>
            <w:shd w:val="clear" w:color="auto" w:fill="D9D9D9" w:themeFill="background1" w:themeFillShade="D9"/>
          </w:tcPr>
          <w:p w:rsidR="001E4223" w:rsidRPr="00E94E01" w:rsidRDefault="001E4223" w:rsidP="00AD372F">
            <w:pPr>
              <w:jc w:val="center"/>
              <w:rPr>
                <w:rFonts w:cs="Arial"/>
                <w:sz w:val="21"/>
                <w:szCs w:val="21"/>
              </w:rPr>
            </w:pPr>
            <w:r w:rsidRPr="00E94E01">
              <w:rPr>
                <w:rFonts w:cs="Arial"/>
                <w:sz w:val="21"/>
                <w:szCs w:val="21"/>
              </w:rPr>
              <w:t>PROJECT VALUE</w:t>
            </w:r>
          </w:p>
        </w:tc>
        <w:tc>
          <w:tcPr>
            <w:tcW w:w="2880" w:type="dxa"/>
            <w:shd w:val="clear" w:color="auto" w:fill="D9D9D9" w:themeFill="background1" w:themeFillShade="D9"/>
          </w:tcPr>
          <w:p w:rsidR="001E4223" w:rsidRPr="00E94E01" w:rsidRDefault="001E4223" w:rsidP="00AD372F">
            <w:pPr>
              <w:jc w:val="center"/>
              <w:rPr>
                <w:rFonts w:cs="Arial"/>
                <w:sz w:val="21"/>
                <w:szCs w:val="21"/>
              </w:rPr>
            </w:pPr>
            <w:r w:rsidRPr="00E94E01">
              <w:rPr>
                <w:rFonts w:cs="Arial"/>
                <w:sz w:val="21"/>
                <w:szCs w:val="21"/>
              </w:rPr>
              <w:t>IMPLEMENTING PARTNER</w:t>
            </w:r>
          </w:p>
        </w:tc>
      </w:tr>
      <w:tr w:rsidR="001E4223" w:rsidRPr="00E94E01" w:rsidTr="00AD372F">
        <w:tc>
          <w:tcPr>
            <w:tcW w:w="13945" w:type="dxa"/>
            <w:gridSpan w:val="8"/>
            <w:shd w:val="clear" w:color="auto" w:fill="auto"/>
          </w:tcPr>
          <w:p w:rsidR="001E4223" w:rsidRDefault="001E4223" w:rsidP="00AD372F">
            <w:pPr>
              <w:jc w:val="center"/>
              <w:rPr>
                <w:rFonts w:cs="Arial"/>
                <w:b/>
                <w:sz w:val="21"/>
                <w:szCs w:val="21"/>
              </w:rPr>
            </w:pPr>
            <w:r w:rsidRPr="00E94E01">
              <w:rPr>
                <w:rFonts w:cs="Arial"/>
                <w:b/>
                <w:sz w:val="21"/>
                <w:szCs w:val="21"/>
              </w:rPr>
              <w:t xml:space="preserve">RMNCAH support for </w:t>
            </w:r>
            <w:proofErr w:type="spellStart"/>
            <w:r w:rsidRPr="00E94E01">
              <w:rPr>
                <w:rFonts w:cs="Arial"/>
                <w:b/>
                <w:sz w:val="21"/>
                <w:szCs w:val="21"/>
              </w:rPr>
              <w:t>Rohingyas</w:t>
            </w:r>
            <w:proofErr w:type="spellEnd"/>
          </w:p>
          <w:p w:rsidR="001E4223" w:rsidRPr="00E94E01" w:rsidRDefault="001E4223" w:rsidP="00AD372F">
            <w:pPr>
              <w:jc w:val="center"/>
              <w:rPr>
                <w:rFonts w:cs="Arial"/>
                <w:b/>
                <w:sz w:val="21"/>
                <w:szCs w:val="21"/>
              </w:rPr>
            </w:pP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41</w:t>
            </w:r>
          </w:p>
        </w:tc>
        <w:tc>
          <w:tcPr>
            <w:tcW w:w="4770" w:type="dxa"/>
            <w:gridSpan w:val="2"/>
          </w:tcPr>
          <w:p w:rsidR="001E4223" w:rsidRPr="00E94E01" w:rsidRDefault="001E4223" w:rsidP="00AD372F">
            <w:pPr>
              <w:rPr>
                <w:rFonts w:cs="Arial"/>
                <w:sz w:val="21"/>
                <w:szCs w:val="21"/>
              </w:rPr>
            </w:pPr>
            <w:proofErr w:type="spellStart"/>
            <w:r w:rsidRPr="00E94E01">
              <w:rPr>
                <w:rFonts w:cs="Arial"/>
                <w:sz w:val="21"/>
                <w:szCs w:val="21"/>
              </w:rPr>
              <w:t>Rohingya</w:t>
            </w:r>
            <w:proofErr w:type="spellEnd"/>
            <w:r w:rsidRPr="00E94E01">
              <w:rPr>
                <w:rFonts w:cs="Arial"/>
                <w:sz w:val="21"/>
                <w:szCs w:val="21"/>
              </w:rPr>
              <w:t xml:space="preserve"> support through World Bank</w:t>
            </w:r>
          </w:p>
        </w:tc>
        <w:tc>
          <w:tcPr>
            <w:tcW w:w="1807" w:type="dxa"/>
          </w:tcPr>
          <w:p w:rsidR="001E4223" w:rsidRPr="00E94E01" w:rsidRDefault="001E4223" w:rsidP="00AD372F">
            <w:pPr>
              <w:jc w:val="center"/>
              <w:rPr>
                <w:rFonts w:cs="Arial"/>
                <w:sz w:val="21"/>
                <w:szCs w:val="21"/>
              </w:rPr>
            </w:pPr>
          </w:p>
        </w:tc>
        <w:tc>
          <w:tcPr>
            <w:tcW w:w="2126" w:type="dxa"/>
          </w:tcPr>
          <w:p w:rsidR="001E4223" w:rsidRPr="00E94E01" w:rsidRDefault="001E4223" w:rsidP="00AD372F">
            <w:pPr>
              <w:jc w:val="center"/>
              <w:rPr>
                <w:rFonts w:cs="Arial"/>
                <w:sz w:val="21"/>
                <w:szCs w:val="21"/>
              </w:rPr>
            </w:pPr>
            <w:r w:rsidRPr="00E94E01">
              <w:rPr>
                <w:rFonts w:cs="Arial"/>
                <w:sz w:val="21"/>
                <w:szCs w:val="21"/>
              </w:rPr>
              <w:t>Camps</w:t>
            </w:r>
          </w:p>
        </w:tc>
        <w:tc>
          <w:tcPr>
            <w:tcW w:w="1800" w:type="dxa"/>
          </w:tcPr>
          <w:p w:rsidR="001E4223" w:rsidRPr="00E94E01" w:rsidRDefault="001E4223" w:rsidP="00AD372F">
            <w:pPr>
              <w:jc w:val="center"/>
              <w:rPr>
                <w:rFonts w:cs="Arial"/>
                <w:sz w:val="21"/>
                <w:szCs w:val="21"/>
              </w:rPr>
            </w:pPr>
            <w:r w:rsidRPr="00E94E01">
              <w:rPr>
                <w:rFonts w:cs="Arial"/>
                <w:sz w:val="21"/>
                <w:szCs w:val="21"/>
              </w:rPr>
              <w:t>CAD 50m</w:t>
            </w:r>
          </w:p>
        </w:tc>
        <w:tc>
          <w:tcPr>
            <w:tcW w:w="2880" w:type="dxa"/>
          </w:tcPr>
          <w:p w:rsidR="001E4223" w:rsidRPr="00E94E01" w:rsidRDefault="001E4223" w:rsidP="00AD372F">
            <w:pPr>
              <w:rPr>
                <w:rFonts w:cs="Arial"/>
                <w:sz w:val="21"/>
                <w:szCs w:val="21"/>
              </w:rPr>
            </w:pPr>
            <w:r w:rsidRPr="00E94E01">
              <w:rPr>
                <w:rFonts w:cs="Arial"/>
                <w:sz w:val="21"/>
                <w:szCs w:val="21"/>
              </w:rPr>
              <w:t>GAC</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42</w:t>
            </w:r>
          </w:p>
        </w:tc>
        <w:tc>
          <w:tcPr>
            <w:tcW w:w="4770" w:type="dxa"/>
            <w:gridSpan w:val="2"/>
          </w:tcPr>
          <w:p w:rsidR="001E4223" w:rsidRPr="00E94E01" w:rsidRDefault="001E4223" w:rsidP="00AD372F">
            <w:pPr>
              <w:rPr>
                <w:rFonts w:cs="Arial"/>
                <w:sz w:val="21"/>
                <w:szCs w:val="21"/>
                <w:lang w:val="en-US"/>
              </w:rPr>
            </w:pPr>
            <w:r w:rsidRPr="00E94E01">
              <w:rPr>
                <w:rFonts w:cs="Arial"/>
                <w:sz w:val="21"/>
                <w:szCs w:val="21"/>
                <w:lang w:val="en-US"/>
              </w:rPr>
              <w:t xml:space="preserve">Emergency Response for Availability and Accessibility of Quality MR, PAC and FP Services for </w:t>
            </w:r>
            <w:proofErr w:type="spellStart"/>
            <w:r w:rsidRPr="00E94E01">
              <w:rPr>
                <w:rFonts w:cs="Arial"/>
                <w:sz w:val="21"/>
                <w:szCs w:val="21"/>
                <w:lang w:val="en-US"/>
              </w:rPr>
              <w:t>Rohingya</w:t>
            </w:r>
            <w:proofErr w:type="spellEnd"/>
            <w:r w:rsidRPr="00E94E01">
              <w:rPr>
                <w:rFonts w:cs="Arial"/>
                <w:sz w:val="21"/>
                <w:szCs w:val="21"/>
                <w:lang w:val="en-US"/>
              </w:rPr>
              <w:t xml:space="preserve"> Refugees in Bangladesh</w:t>
            </w:r>
          </w:p>
        </w:tc>
        <w:tc>
          <w:tcPr>
            <w:tcW w:w="1807" w:type="dxa"/>
          </w:tcPr>
          <w:p w:rsidR="001E4223" w:rsidRPr="00E94E01" w:rsidRDefault="001E4223" w:rsidP="00AD372F">
            <w:pPr>
              <w:jc w:val="center"/>
              <w:rPr>
                <w:rFonts w:cs="Arial"/>
                <w:sz w:val="21"/>
                <w:szCs w:val="21"/>
                <w:lang w:val="en-US"/>
              </w:rPr>
            </w:pPr>
            <w:r w:rsidRPr="00E94E01">
              <w:rPr>
                <w:rFonts w:cs="Arial"/>
                <w:sz w:val="21"/>
                <w:szCs w:val="21"/>
                <w:lang w:val="en-US"/>
              </w:rPr>
              <w:t>Sep 2017-Jun 2019</w:t>
            </w:r>
          </w:p>
        </w:tc>
        <w:tc>
          <w:tcPr>
            <w:tcW w:w="2126" w:type="dxa"/>
          </w:tcPr>
          <w:p w:rsidR="001E4223" w:rsidRPr="00E94E01" w:rsidRDefault="001E4223" w:rsidP="00AD372F">
            <w:pPr>
              <w:jc w:val="center"/>
              <w:rPr>
                <w:rFonts w:cs="Arial"/>
                <w:sz w:val="21"/>
                <w:szCs w:val="21"/>
                <w:lang w:val="en-US"/>
              </w:rPr>
            </w:pPr>
            <w:r w:rsidRPr="00E94E01">
              <w:rPr>
                <w:rFonts w:cs="Arial"/>
                <w:sz w:val="21"/>
                <w:szCs w:val="21"/>
              </w:rPr>
              <w:t>Cox’s bazar district</w:t>
            </w:r>
          </w:p>
        </w:tc>
        <w:tc>
          <w:tcPr>
            <w:tcW w:w="1800" w:type="dxa"/>
          </w:tcPr>
          <w:p w:rsidR="001E4223" w:rsidRPr="00E94E01" w:rsidRDefault="001E4223" w:rsidP="00AD372F">
            <w:pPr>
              <w:jc w:val="center"/>
              <w:rPr>
                <w:rFonts w:cs="Arial"/>
                <w:sz w:val="21"/>
                <w:szCs w:val="21"/>
                <w:lang w:val="en-US"/>
              </w:rPr>
            </w:pPr>
          </w:p>
          <w:p w:rsidR="001E4223" w:rsidRPr="00E94E01" w:rsidRDefault="001E4223" w:rsidP="00AD372F">
            <w:pPr>
              <w:jc w:val="center"/>
              <w:rPr>
                <w:rFonts w:cs="Arial"/>
                <w:sz w:val="21"/>
                <w:szCs w:val="21"/>
              </w:rPr>
            </w:pPr>
            <w:r w:rsidRPr="00E94E01">
              <w:rPr>
                <w:rFonts w:cs="Arial"/>
                <w:sz w:val="21"/>
                <w:szCs w:val="21"/>
                <w:lang w:val="en-US"/>
              </w:rPr>
              <w:t>USD 1,12m</w:t>
            </w:r>
          </w:p>
        </w:tc>
        <w:tc>
          <w:tcPr>
            <w:tcW w:w="2880" w:type="dxa"/>
          </w:tcPr>
          <w:p w:rsidR="001E4223" w:rsidRPr="00E94E01" w:rsidRDefault="001E4223" w:rsidP="00AD372F">
            <w:pPr>
              <w:rPr>
                <w:rFonts w:cs="Arial"/>
                <w:sz w:val="21"/>
                <w:szCs w:val="21"/>
              </w:rPr>
            </w:pPr>
            <w:r w:rsidRPr="00E94E01">
              <w:rPr>
                <w:rFonts w:cs="Arial"/>
                <w:sz w:val="21"/>
                <w:szCs w:val="21"/>
              </w:rPr>
              <w:t>Funder: DFID</w:t>
            </w:r>
          </w:p>
          <w:p w:rsidR="001E4223" w:rsidRPr="00E94E01" w:rsidRDefault="001E4223" w:rsidP="00AD372F">
            <w:pPr>
              <w:rPr>
                <w:rFonts w:cs="Arial"/>
                <w:sz w:val="21"/>
                <w:szCs w:val="21"/>
              </w:rPr>
            </w:pPr>
            <w:r w:rsidRPr="00E94E01">
              <w:rPr>
                <w:rFonts w:cs="Arial"/>
                <w:sz w:val="21"/>
                <w:szCs w:val="21"/>
              </w:rPr>
              <w:t>Implementer: UNFPA</w:t>
            </w:r>
          </w:p>
        </w:tc>
      </w:tr>
      <w:tr w:rsidR="001E4223" w:rsidRPr="00E94E01" w:rsidTr="00AD372F">
        <w:trPr>
          <w:gridAfter w:val="1"/>
          <w:wAfter w:w="22" w:type="dxa"/>
        </w:trPr>
        <w:tc>
          <w:tcPr>
            <w:tcW w:w="540" w:type="dxa"/>
          </w:tcPr>
          <w:p w:rsidR="001E4223" w:rsidRPr="00E94E01" w:rsidRDefault="001E4223" w:rsidP="00AD372F">
            <w:pPr>
              <w:rPr>
                <w:rFonts w:cs="Arial"/>
                <w:sz w:val="21"/>
                <w:szCs w:val="21"/>
              </w:rPr>
            </w:pPr>
            <w:r w:rsidRPr="00E94E01">
              <w:rPr>
                <w:rFonts w:cs="Arial"/>
                <w:sz w:val="21"/>
                <w:szCs w:val="21"/>
              </w:rPr>
              <w:t>43</w:t>
            </w:r>
          </w:p>
        </w:tc>
        <w:tc>
          <w:tcPr>
            <w:tcW w:w="4770" w:type="dxa"/>
            <w:gridSpan w:val="2"/>
          </w:tcPr>
          <w:p w:rsidR="001E4223" w:rsidRPr="00E94E01" w:rsidRDefault="001E4223" w:rsidP="00AD372F">
            <w:pPr>
              <w:rPr>
                <w:rFonts w:eastAsia="Calibri" w:cs="Arial"/>
                <w:kern w:val="36"/>
                <w:sz w:val="21"/>
                <w:szCs w:val="21"/>
              </w:rPr>
            </w:pPr>
            <w:r w:rsidRPr="00E94E01">
              <w:rPr>
                <w:rFonts w:eastAsia="Calibri" w:cs="Arial"/>
                <w:kern w:val="36"/>
                <w:sz w:val="21"/>
                <w:szCs w:val="21"/>
              </w:rPr>
              <w:t xml:space="preserve">Sexual and Reproductive Health Program for </w:t>
            </w:r>
            <w:proofErr w:type="spellStart"/>
            <w:r w:rsidRPr="00E94E01">
              <w:rPr>
                <w:rFonts w:eastAsia="Calibri" w:cs="Arial"/>
                <w:kern w:val="36"/>
                <w:sz w:val="21"/>
                <w:szCs w:val="21"/>
              </w:rPr>
              <w:t>Rohingya</w:t>
            </w:r>
            <w:proofErr w:type="spellEnd"/>
            <w:r w:rsidRPr="00E94E01">
              <w:rPr>
                <w:rFonts w:eastAsia="Calibri" w:cs="Arial"/>
                <w:kern w:val="36"/>
                <w:sz w:val="21"/>
                <w:szCs w:val="21"/>
              </w:rPr>
              <w:t xml:space="preserve"> Refugees</w:t>
            </w:r>
          </w:p>
          <w:p w:rsidR="001E4223" w:rsidRPr="00E94E01" w:rsidRDefault="001E4223" w:rsidP="00AD372F">
            <w:pPr>
              <w:rPr>
                <w:rFonts w:cs="Arial"/>
                <w:sz w:val="21"/>
                <w:szCs w:val="21"/>
              </w:rPr>
            </w:pPr>
            <w:r w:rsidRPr="00E94E01">
              <w:rPr>
                <w:rFonts w:eastAsia="Calibri" w:cs="Arial"/>
                <w:kern w:val="36"/>
                <w:sz w:val="21"/>
                <w:szCs w:val="21"/>
              </w:rPr>
              <w:t>in Bangladesh</w:t>
            </w:r>
          </w:p>
        </w:tc>
        <w:tc>
          <w:tcPr>
            <w:tcW w:w="1807" w:type="dxa"/>
          </w:tcPr>
          <w:p w:rsidR="001E4223" w:rsidRPr="00E94E01" w:rsidRDefault="001E4223" w:rsidP="00AD372F">
            <w:pPr>
              <w:jc w:val="center"/>
              <w:rPr>
                <w:rFonts w:cs="Arial"/>
                <w:sz w:val="21"/>
                <w:szCs w:val="21"/>
              </w:rPr>
            </w:pPr>
            <w:r w:rsidRPr="00E94E01">
              <w:rPr>
                <w:rFonts w:cs="Arial"/>
                <w:sz w:val="21"/>
                <w:szCs w:val="21"/>
                <w:lang w:val="en-US"/>
              </w:rPr>
              <w:t>Feb 2018-Mar 2019</w:t>
            </w:r>
          </w:p>
        </w:tc>
        <w:tc>
          <w:tcPr>
            <w:tcW w:w="2126" w:type="dxa"/>
          </w:tcPr>
          <w:p w:rsidR="001E4223" w:rsidRPr="00E94E01" w:rsidRDefault="001E4223" w:rsidP="00AD372F">
            <w:pPr>
              <w:jc w:val="center"/>
              <w:rPr>
                <w:rFonts w:cs="Arial"/>
                <w:sz w:val="21"/>
                <w:szCs w:val="21"/>
                <w:lang w:val="en-US"/>
              </w:rPr>
            </w:pPr>
            <w:r w:rsidRPr="00E94E01">
              <w:rPr>
                <w:rFonts w:cs="Arial"/>
                <w:sz w:val="21"/>
                <w:szCs w:val="21"/>
              </w:rPr>
              <w:t>Cox’s bazar district</w:t>
            </w:r>
          </w:p>
        </w:tc>
        <w:tc>
          <w:tcPr>
            <w:tcW w:w="1800" w:type="dxa"/>
          </w:tcPr>
          <w:p w:rsidR="001E4223" w:rsidRPr="00E94E01" w:rsidRDefault="001E4223" w:rsidP="00AD372F">
            <w:pPr>
              <w:jc w:val="center"/>
              <w:rPr>
                <w:rFonts w:cs="Arial"/>
                <w:sz w:val="21"/>
                <w:szCs w:val="21"/>
                <w:lang w:val="en-US"/>
              </w:rPr>
            </w:pPr>
            <w:r w:rsidRPr="00E94E01">
              <w:rPr>
                <w:rFonts w:cs="Arial"/>
                <w:sz w:val="21"/>
                <w:szCs w:val="21"/>
                <w:lang w:val="en-US"/>
              </w:rPr>
              <w:t>USD 163,851</w:t>
            </w:r>
          </w:p>
        </w:tc>
        <w:tc>
          <w:tcPr>
            <w:tcW w:w="2880" w:type="dxa"/>
          </w:tcPr>
          <w:p w:rsidR="001E4223" w:rsidRPr="00E94E01" w:rsidRDefault="001E4223" w:rsidP="00AD372F">
            <w:pPr>
              <w:rPr>
                <w:rFonts w:cs="Arial"/>
                <w:sz w:val="21"/>
                <w:szCs w:val="21"/>
              </w:rPr>
            </w:pPr>
            <w:r w:rsidRPr="00E94E01">
              <w:rPr>
                <w:rFonts w:cs="Arial"/>
                <w:sz w:val="21"/>
                <w:szCs w:val="21"/>
              </w:rPr>
              <w:t>Packard Foundation</w:t>
            </w:r>
          </w:p>
        </w:tc>
      </w:tr>
      <w:tr w:rsidR="001E4223" w:rsidRPr="00E94E01" w:rsidTr="00AD372F">
        <w:trPr>
          <w:gridAfter w:val="1"/>
          <w:wAfter w:w="22" w:type="dxa"/>
        </w:trPr>
        <w:tc>
          <w:tcPr>
            <w:tcW w:w="540" w:type="dxa"/>
          </w:tcPr>
          <w:p w:rsidR="001E4223" w:rsidRPr="00E94E01" w:rsidRDefault="001E4223" w:rsidP="00AD372F">
            <w:pPr>
              <w:jc w:val="center"/>
              <w:rPr>
                <w:rFonts w:cs="Arial"/>
                <w:sz w:val="21"/>
                <w:szCs w:val="21"/>
                <w:lang w:val="en-US"/>
              </w:rPr>
            </w:pPr>
            <w:r w:rsidRPr="00E94E01">
              <w:rPr>
                <w:rFonts w:cs="Arial"/>
                <w:sz w:val="21"/>
                <w:szCs w:val="21"/>
                <w:lang w:val="en-US"/>
              </w:rPr>
              <w:t>44</w:t>
            </w:r>
          </w:p>
        </w:tc>
        <w:tc>
          <w:tcPr>
            <w:tcW w:w="4770" w:type="dxa"/>
            <w:gridSpan w:val="2"/>
          </w:tcPr>
          <w:p w:rsidR="001E4223" w:rsidRPr="00E94E01" w:rsidRDefault="001E4223" w:rsidP="00AD372F">
            <w:pPr>
              <w:rPr>
                <w:rFonts w:cs="Arial"/>
                <w:sz w:val="21"/>
                <w:szCs w:val="21"/>
                <w:lang w:val="en-US"/>
              </w:rPr>
            </w:pPr>
            <w:r w:rsidRPr="00E94E01">
              <w:rPr>
                <w:rFonts w:cs="Arial"/>
                <w:sz w:val="21"/>
                <w:szCs w:val="21"/>
                <w:lang w:val="en-US"/>
              </w:rPr>
              <w:t xml:space="preserve">Amplify challenge – mobile app for </w:t>
            </w:r>
            <w:proofErr w:type="spellStart"/>
            <w:r w:rsidRPr="00E94E01">
              <w:rPr>
                <w:rFonts w:cs="Arial"/>
                <w:sz w:val="21"/>
                <w:szCs w:val="21"/>
                <w:lang w:val="en-US"/>
              </w:rPr>
              <w:t>Rohingya</w:t>
            </w:r>
            <w:proofErr w:type="spellEnd"/>
            <w:r w:rsidRPr="00E94E01">
              <w:rPr>
                <w:rFonts w:cs="Arial"/>
                <w:sz w:val="21"/>
                <w:szCs w:val="21"/>
                <w:lang w:val="en-US"/>
              </w:rPr>
              <w:t xml:space="preserve"> refugees </w:t>
            </w:r>
          </w:p>
        </w:tc>
        <w:tc>
          <w:tcPr>
            <w:tcW w:w="1807" w:type="dxa"/>
          </w:tcPr>
          <w:p w:rsidR="001E4223" w:rsidRPr="00E94E01" w:rsidRDefault="001E4223" w:rsidP="00AD372F">
            <w:pPr>
              <w:jc w:val="center"/>
              <w:rPr>
                <w:rFonts w:cs="Arial"/>
                <w:sz w:val="21"/>
                <w:szCs w:val="21"/>
                <w:lang w:val="en-US"/>
              </w:rPr>
            </w:pPr>
            <w:r w:rsidRPr="00E94E01">
              <w:rPr>
                <w:rFonts w:cs="Arial"/>
                <w:sz w:val="21"/>
                <w:szCs w:val="21"/>
                <w:lang w:val="en-US"/>
              </w:rPr>
              <w:t>Nov 2018- May 2019</w:t>
            </w:r>
          </w:p>
        </w:tc>
        <w:tc>
          <w:tcPr>
            <w:tcW w:w="2126" w:type="dxa"/>
          </w:tcPr>
          <w:p w:rsidR="001E4223" w:rsidRPr="00E94E01" w:rsidRDefault="001E4223" w:rsidP="00AD372F">
            <w:pPr>
              <w:jc w:val="center"/>
              <w:rPr>
                <w:rFonts w:cs="Arial"/>
                <w:sz w:val="21"/>
                <w:szCs w:val="21"/>
                <w:lang w:val="en-US"/>
              </w:rPr>
            </w:pPr>
            <w:r w:rsidRPr="00E94E01">
              <w:rPr>
                <w:rFonts w:cs="Arial"/>
                <w:sz w:val="21"/>
                <w:szCs w:val="21"/>
              </w:rPr>
              <w:t>Cox’s bazar district</w:t>
            </w:r>
          </w:p>
        </w:tc>
        <w:tc>
          <w:tcPr>
            <w:tcW w:w="1800" w:type="dxa"/>
          </w:tcPr>
          <w:p w:rsidR="001E4223" w:rsidRPr="00E94E01" w:rsidRDefault="001E4223" w:rsidP="00AD372F">
            <w:pPr>
              <w:jc w:val="center"/>
              <w:rPr>
                <w:rFonts w:cs="Arial"/>
                <w:sz w:val="21"/>
                <w:szCs w:val="21"/>
                <w:lang w:val="en-US"/>
              </w:rPr>
            </w:pPr>
            <w:r w:rsidRPr="00E94E01">
              <w:rPr>
                <w:rFonts w:cs="Arial"/>
                <w:sz w:val="21"/>
                <w:szCs w:val="21"/>
                <w:lang w:val="en-US"/>
              </w:rPr>
              <w:t>USD 80,000</w:t>
            </w:r>
          </w:p>
        </w:tc>
        <w:tc>
          <w:tcPr>
            <w:tcW w:w="2880" w:type="dxa"/>
          </w:tcPr>
          <w:p w:rsidR="001E4223" w:rsidRPr="00E94E01" w:rsidRDefault="001E4223" w:rsidP="00AD372F">
            <w:pPr>
              <w:rPr>
                <w:rFonts w:cs="Arial"/>
                <w:sz w:val="21"/>
                <w:szCs w:val="21"/>
              </w:rPr>
            </w:pPr>
            <w:r w:rsidRPr="00E94E01">
              <w:rPr>
                <w:rFonts w:cs="Arial"/>
                <w:sz w:val="21"/>
                <w:szCs w:val="21"/>
                <w:lang w:val="en-US"/>
              </w:rPr>
              <w:t xml:space="preserve">Open IDEO/ </w:t>
            </w:r>
          </w:p>
        </w:tc>
      </w:tr>
      <w:tr w:rsidR="001E4223" w:rsidRPr="00E94E01" w:rsidTr="00AD372F">
        <w:trPr>
          <w:gridAfter w:val="1"/>
          <w:wAfter w:w="22" w:type="dxa"/>
        </w:trPr>
        <w:tc>
          <w:tcPr>
            <w:tcW w:w="540" w:type="dxa"/>
          </w:tcPr>
          <w:p w:rsidR="001E4223" w:rsidRPr="00E94E01" w:rsidRDefault="001E4223" w:rsidP="00AD372F">
            <w:pPr>
              <w:jc w:val="center"/>
              <w:rPr>
                <w:rFonts w:cs="Arial"/>
                <w:sz w:val="21"/>
                <w:szCs w:val="21"/>
                <w:lang w:val="en-US"/>
              </w:rPr>
            </w:pPr>
            <w:r w:rsidRPr="00E94E01">
              <w:rPr>
                <w:rFonts w:cs="Arial"/>
                <w:sz w:val="21"/>
                <w:szCs w:val="21"/>
                <w:lang w:val="en-US"/>
              </w:rPr>
              <w:t>45</w:t>
            </w:r>
          </w:p>
        </w:tc>
        <w:tc>
          <w:tcPr>
            <w:tcW w:w="4770" w:type="dxa"/>
            <w:gridSpan w:val="2"/>
          </w:tcPr>
          <w:p w:rsidR="001E4223" w:rsidRPr="00E94E01" w:rsidRDefault="001E4223" w:rsidP="00AD372F">
            <w:pPr>
              <w:rPr>
                <w:rFonts w:cs="Arial"/>
                <w:sz w:val="21"/>
                <w:szCs w:val="21"/>
                <w:lang w:val="en-US"/>
              </w:rPr>
            </w:pPr>
            <w:proofErr w:type="spellStart"/>
            <w:r w:rsidRPr="00E94E01">
              <w:rPr>
                <w:rFonts w:eastAsia="Arial" w:cs="Arial"/>
                <w:sz w:val="21"/>
                <w:szCs w:val="21"/>
                <w:lang w:val="en-US"/>
              </w:rPr>
              <w:t>Rohingya</w:t>
            </w:r>
            <w:proofErr w:type="spellEnd"/>
            <w:r w:rsidRPr="00E94E01">
              <w:rPr>
                <w:rFonts w:eastAsia="Arial" w:cs="Arial"/>
                <w:sz w:val="21"/>
                <w:szCs w:val="21"/>
                <w:lang w:val="en-US"/>
              </w:rPr>
              <w:t xml:space="preserve"> Response, provide support to FDMN and host communities</w:t>
            </w:r>
          </w:p>
        </w:tc>
        <w:tc>
          <w:tcPr>
            <w:tcW w:w="1807" w:type="dxa"/>
          </w:tcPr>
          <w:p w:rsidR="001E4223" w:rsidRPr="00E94E01" w:rsidRDefault="001E4223" w:rsidP="00AD372F">
            <w:pPr>
              <w:jc w:val="center"/>
              <w:rPr>
                <w:rFonts w:cs="Arial"/>
                <w:sz w:val="21"/>
                <w:szCs w:val="21"/>
                <w:lang w:val="en-US"/>
              </w:rPr>
            </w:pPr>
            <w:r w:rsidRPr="00E94E01">
              <w:rPr>
                <w:rFonts w:eastAsia="Arial" w:cs="Arial"/>
                <w:sz w:val="21"/>
                <w:szCs w:val="21"/>
                <w:lang w:val="en-US"/>
              </w:rPr>
              <w:t>2017-2018</w:t>
            </w:r>
          </w:p>
        </w:tc>
        <w:tc>
          <w:tcPr>
            <w:tcW w:w="2126" w:type="dxa"/>
          </w:tcPr>
          <w:p w:rsidR="001E4223" w:rsidRPr="00E94E01" w:rsidRDefault="001E4223" w:rsidP="001E4223">
            <w:pPr>
              <w:jc w:val="center"/>
              <w:rPr>
                <w:rFonts w:cs="Arial"/>
                <w:sz w:val="21"/>
                <w:szCs w:val="21"/>
              </w:rPr>
            </w:pPr>
            <w:proofErr w:type="spellStart"/>
            <w:r>
              <w:rPr>
                <w:rFonts w:eastAsia="Arial" w:cs="Arial"/>
                <w:sz w:val="21"/>
                <w:szCs w:val="21"/>
                <w:lang w:val="en-US"/>
              </w:rPr>
              <w:t>U</w:t>
            </w:r>
            <w:r w:rsidRPr="00E94E01">
              <w:rPr>
                <w:rFonts w:eastAsia="Arial" w:cs="Arial"/>
                <w:sz w:val="21"/>
                <w:szCs w:val="21"/>
                <w:lang w:val="en-US"/>
              </w:rPr>
              <w:t>khiya</w:t>
            </w:r>
            <w:proofErr w:type="spellEnd"/>
            <w:r w:rsidRPr="00E94E01">
              <w:rPr>
                <w:rFonts w:eastAsia="Arial" w:cs="Arial"/>
                <w:sz w:val="21"/>
                <w:szCs w:val="21"/>
                <w:lang w:val="en-US"/>
              </w:rPr>
              <w:t xml:space="preserve"> and </w:t>
            </w:r>
            <w:proofErr w:type="spellStart"/>
            <w:r w:rsidRPr="00E94E01">
              <w:rPr>
                <w:rFonts w:eastAsia="Arial" w:cs="Arial"/>
                <w:sz w:val="21"/>
                <w:szCs w:val="21"/>
                <w:lang w:val="en-US"/>
              </w:rPr>
              <w:t>Teknaf</w:t>
            </w:r>
            <w:proofErr w:type="spellEnd"/>
            <w:r w:rsidRPr="00E94E01">
              <w:rPr>
                <w:rFonts w:eastAsia="Arial" w:cs="Arial"/>
                <w:sz w:val="21"/>
                <w:szCs w:val="21"/>
                <w:lang w:val="en-US"/>
              </w:rPr>
              <w:t xml:space="preserve">  6 other </w:t>
            </w:r>
            <w:proofErr w:type="spellStart"/>
            <w:r w:rsidRPr="00E94E01">
              <w:rPr>
                <w:rFonts w:eastAsia="Arial" w:cs="Arial"/>
                <w:sz w:val="21"/>
                <w:szCs w:val="21"/>
                <w:lang w:val="en-US"/>
              </w:rPr>
              <w:t>upazilas</w:t>
            </w:r>
            <w:proofErr w:type="spellEnd"/>
            <w:r w:rsidRPr="00E94E01">
              <w:rPr>
                <w:rFonts w:eastAsia="Arial" w:cs="Arial"/>
                <w:sz w:val="21"/>
                <w:szCs w:val="21"/>
                <w:lang w:val="en-US"/>
              </w:rPr>
              <w:t xml:space="preserve"> in Cox’s Bazar</w:t>
            </w:r>
          </w:p>
        </w:tc>
        <w:tc>
          <w:tcPr>
            <w:tcW w:w="1800" w:type="dxa"/>
          </w:tcPr>
          <w:p w:rsidR="001E4223" w:rsidRPr="00E94E01" w:rsidRDefault="001E4223" w:rsidP="00AD372F">
            <w:pPr>
              <w:jc w:val="center"/>
              <w:rPr>
                <w:rFonts w:cs="Arial"/>
                <w:sz w:val="21"/>
                <w:szCs w:val="21"/>
                <w:lang w:val="en-US"/>
              </w:rPr>
            </w:pPr>
            <w:r w:rsidRPr="00E94E01">
              <w:rPr>
                <w:rFonts w:eastAsia="Arial" w:cs="Arial"/>
                <w:sz w:val="21"/>
                <w:szCs w:val="21"/>
                <w:lang w:val="en-US"/>
              </w:rPr>
              <w:t>USD 10,393.690</w:t>
            </w:r>
          </w:p>
        </w:tc>
        <w:tc>
          <w:tcPr>
            <w:tcW w:w="2880" w:type="dxa"/>
          </w:tcPr>
          <w:p w:rsidR="001E4223" w:rsidRPr="00E94E01" w:rsidRDefault="001E4223" w:rsidP="00AD372F">
            <w:pPr>
              <w:rPr>
                <w:rFonts w:cs="Arial"/>
                <w:sz w:val="21"/>
                <w:szCs w:val="21"/>
                <w:lang w:val="en-US"/>
              </w:rPr>
            </w:pPr>
            <w:r w:rsidRPr="00E94E01">
              <w:rPr>
                <w:rFonts w:cs="Arial"/>
                <w:sz w:val="21"/>
                <w:szCs w:val="21"/>
                <w:lang w:val="en-US"/>
              </w:rPr>
              <w:t>UNICEF</w:t>
            </w:r>
          </w:p>
        </w:tc>
      </w:tr>
    </w:tbl>
    <w:p w:rsidR="001E4223" w:rsidRDefault="001E4223" w:rsidP="001E4223">
      <w:pPr>
        <w:pStyle w:val="ListParagraph"/>
        <w:tabs>
          <w:tab w:val="left" w:pos="0"/>
        </w:tabs>
        <w:ind w:left="0"/>
        <w:jc w:val="both"/>
        <w:rPr>
          <w:rFonts w:asciiTheme="minorHAnsi" w:hAnsiTheme="minorHAnsi" w:cs="Arial"/>
          <w:sz w:val="20"/>
        </w:rPr>
      </w:pPr>
    </w:p>
    <w:p w:rsidR="001E4223" w:rsidRDefault="001E4223" w:rsidP="00280842">
      <w:pPr>
        <w:rPr>
          <w:rFonts w:cs="Arial"/>
          <w:b/>
          <w:sz w:val="24"/>
          <w:szCs w:val="24"/>
        </w:rPr>
      </w:pPr>
    </w:p>
    <w:p w:rsidR="001E4223" w:rsidRDefault="001E4223" w:rsidP="00280842">
      <w:pPr>
        <w:rPr>
          <w:rFonts w:cs="Arial"/>
          <w:b/>
          <w:sz w:val="24"/>
          <w:szCs w:val="24"/>
        </w:rPr>
      </w:pPr>
    </w:p>
    <w:p w:rsidR="001E4223" w:rsidRDefault="001E4223" w:rsidP="00280842">
      <w:pPr>
        <w:rPr>
          <w:rFonts w:cs="Arial"/>
          <w:b/>
          <w:sz w:val="24"/>
          <w:szCs w:val="24"/>
        </w:rPr>
      </w:pPr>
    </w:p>
    <w:p w:rsidR="001E4223" w:rsidRDefault="001E4223" w:rsidP="00280842">
      <w:pPr>
        <w:rPr>
          <w:rFonts w:cs="Arial"/>
          <w:b/>
          <w:sz w:val="24"/>
          <w:szCs w:val="24"/>
        </w:rPr>
      </w:pPr>
    </w:p>
    <w:p w:rsidR="001E4223" w:rsidRDefault="001E4223" w:rsidP="00280842">
      <w:pPr>
        <w:rPr>
          <w:rFonts w:cs="Arial"/>
          <w:b/>
          <w:sz w:val="24"/>
          <w:szCs w:val="24"/>
        </w:rPr>
      </w:pPr>
    </w:p>
    <w:p w:rsidR="001E4223" w:rsidRDefault="001E4223" w:rsidP="00280842">
      <w:pPr>
        <w:rPr>
          <w:rFonts w:cs="Arial"/>
          <w:b/>
          <w:sz w:val="24"/>
          <w:szCs w:val="24"/>
        </w:rPr>
      </w:pPr>
    </w:p>
    <w:p w:rsidR="001E4223" w:rsidRDefault="001E4223" w:rsidP="00280842">
      <w:pPr>
        <w:rPr>
          <w:rFonts w:cs="Arial"/>
          <w:b/>
          <w:sz w:val="24"/>
          <w:szCs w:val="24"/>
        </w:rPr>
      </w:pPr>
    </w:p>
    <w:p w:rsidR="001E4223" w:rsidRDefault="001E4223" w:rsidP="00280842">
      <w:pPr>
        <w:rPr>
          <w:rFonts w:cs="Arial"/>
          <w:b/>
          <w:sz w:val="24"/>
          <w:szCs w:val="24"/>
        </w:rPr>
      </w:pPr>
    </w:p>
    <w:p w:rsidR="001E4223" w:rsidRPr="00E00E16" w:rsidRDefault="001E4223" w:rsidP="00280842">
      <w:pPr>
        <w:rPr>
          <w:rFonts w:cs="Arial"/>
          <w:b/>
          <w:sz w:val="24"/>
          <w:szCs w:val="24"/>
        </w:rPr>
      </w:pPr>
    </w:p>
    <w:sectPr w:rsidR="001E4223" w:rsidRPr="00E00E16" w:rsidSect="007E77BD">
      <w:pgSz w:w="15840" w:h="12240" w:orient="landscape"/>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0F36F3" w15:done="0"/>
  <w15:commentEx w15:paraId="5BBBEBC8" w15:done="0"/>
  <w15:commentEx w15:paraId="60E70BA1" w15:done="0"/>
  <w15:commentEx w15:paraId="4F5055A0" w15:done="0"/>
  <w15:commentEx w15:paraId="736CD0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0F36F3" w16cid:durableId="200E3D7D"/>
  <w16cid:commentId w16cid:paraId="5BBBEBC8" w16cid:durableId="200E3F6D"/>
  <w16cid:commentId w16cid:paraId="60E70BA1" w16cid:durableId="200E8DFA"/>
  <w16cid:commentId w16cid:paraId="4F5055A0" w16cid:durableId="200E8E37"/>
  <w16cid:commentId w16cid:paraId="736CD05E" w16cid:durableId="200E8E7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90C" w:rsidRDefault="0012790C" w:rsidP="00FD7C73">
      <w:pPr>
        <w:spacing w:after="0" w:line="240" w:lineRule="auto"/>
      </w:pPr>
      <w:r>
        <w:separator/>
      </w:r>
    </w:p>
  </w:endnote>
  <w:endnote w:type="continuationSeparator" w:id="0">
    <w:p w:rsidR="0012790C" w:rsidRDefault="0012790C" w:rsidP="00FD7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004" w:rsidRDefault="004B00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92347"/>
      <w:docPartObj>
        <w:docPartGallery w:val="Page Numbers (Bottom of Page)"/>
        <w:docPartUnique/>
      </w:docPartObj>
    </w:sdtPr>
    <w:sdtEndPr/>
    <w:sdtContent>
      <w:p w:rsidR="00474A38" w:rsidRDefault="00474A38">
        <w:pPr>
          <w:pStyle w:val="Footer"/>
          <w:jc w:val="right"/>
        </w:pPr>
        <w:r w:rsidRPr="00F95699">
          <w:rPr>
            <w:rFonts w:asciiTheme="minorHAnsi" w:hAnsiTheme="minorHAnsi"/>
          </w:rPr>
          <w:t>Page</w:t>
        </w:r>
        <w:r>
          <w:t xml:space="preserve"> | </w:t>
        </w:r>
        <w:r w:rsidR="00CE0CE8" w:rsidRPr="00F95699">
          <w:rPr>
            <w:rFonts w:asciiTheme="minorHAnsi" w:hAnsiTheme="minorHAnsi"/>
          </w:rPr>
          <w:fldChar w:fldCharType="begin"/>
        </w:r>
        <w:r w:rsidRPr="00F95699">
          <w:rPr>
            <w:rFonts w:asciiTheme="minorHAnsi" w:hAnsiTheme="minorHAnsi"/>
          </w:rPr>
          <w:instrText xml:space="preserve"> PAGE   \* MERGEFORMAT </w:instrText>
        </w:r>
        <w:r w:rsidR="00CE0CE8" w:rsidRPr="00F95699">
          <w:rPr>
            <w:rFonts w:asciiTheme="minorHAnsi" w:hAnsiTheme="minorHAnsi"/>
          </w:rPr>
          <w:fldChar w:fldCharType="separate"/>
        </w:r>
        <w:r w:rsidR="004B0004">
          <w:rPr>
            <w:rFonts w:asciiTheme="minorHAnsi" w:hAnsiTheme="minorHAnsi"/>
            <w:noProof/>
          </w:rPr>
          <w:t>9</w:t>
        </w:r>
        <w:r w:rsidR="00CE0CE8" w:rsidRPr="00F95699">
          <w:rPr>
            <w:rFonts w:asciiTheme="minorHAnsi" w:hAnsiTheme="minorHAnsi"/>
          </w:rPr>
          <w:fldChar w:fldCharType="end"/>
        </w:r>
      </w:p>
    </w:sdtContent>
  </w:sdt>
  <w:p w:rsidR="00474A38" w:rsidRDefault="00474A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004" w:rsidRDefault="004B00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90C" w:rsidRDefault="0012790C" w:rsidP="00FD7C73">
      <w:pPr>
        <w:spacing w:after="0" w:line="240" w:lineRule="auto"/>
      </w:pPr>
      <w:r>
        <w:separator/>
      </w:r>
    </w:p>
  </w:footnote>
  <w:footnote w:type="continuationSeparator" w:id="0">
    <w:p w:rsidR="0012790C" w:rsidRDefault="0012790C" w:rsidP="00FD7C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004" w:rsidRDefault="004B00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5151685"/>
      <w:docPartObj>
        <w:docPartGallery w:val="Watermarks"/>
        <w:docPartUnique/>
      </w:docPartObj>
    </w:sdtPr>
    <w:sdtContent>
      <w:p w:rsidR="004B0004" w:rsidRDefault="004B000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004" w:rsidRDefault="004B00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F3D9A"/>
    <w:multiLevelType w:val="hybridMultilevel"/>
    <w:tmpl w:val="FAF8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80160"/>
    <w:multiLevelType w:val="hybridMultilevel"/>
    <w:tmpl w:val="A56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15F2A"/>
    <w:multiLevelType w:val="hybridMultilevel"/>
    <w:tmpl w:val="3E42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1030B"/>
    <w:multiLevelType w:val="multilevel"/>
    <w:tmpl w:val="B9E88C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9500FED"/>
    <w:multiLevelType w:val="hybridMultilevel"/>
    <w:tmpl w:val="7FBA929A"/>
    <w:lvl w:ilvl="0" w:tplc="96F015FE">
      <w:start w:val="1"/>
      <w:numFmt w:val="upperLetter"/>
      <w:lvlText w:val="%1."/>
      <w:lvlJc w:val="left"/>
      <w:pPr>
        <w:ind w:left="720" w:hanging="360"/>
      </w:pPr>
      <w:rPr>
        <w:rFonts w:asciiTheme="minorHAnsi" w:eastAsia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B65DA3"/>
    <w:multiLevelType w:val="hybridMultilevel"/>
    <w:tmpl w:val="FF6C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43857"/>
    <w:multiLevelType w:val="hybridMultilevel"/>
    <w:tmpl w:val="5004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77355E"/>
    <w:multiLevelType w:val="hybridMultilevel"/>
    <w:tmpl w:val="075817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35610FA4"/>
    <w:multiLevelType w:val="hybridMultilevel"/>
    <w:tmpl w:val="91E43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626E36"/>
    <w:multiLevelType w:val="hybridMultilevel"/>
    <w:tmpl w:val="6C1E25B8"/>
    <w:lvl w:ilvl="0" w:tplc="FEDAA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D141CE"/>
    <w:multiLevelType w:val="hybridMultilevel"/>
    <w:tmpl w:val="58866F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94965A1"/>
    <w:multiLevelType w:val="multilevel"/>
    <w:tmpl w:val="9252CC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7B7A5200"/>
    <w:multiLevelType w:val="hybridMultilevel"/>
    <w:tmpl w:val="0326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003101"/>
    <w:multiLevelType w:val="hybridMultilevel"/>
    <w:tmpl w:val="9502F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0"/>
  </w:num>
  <w:num w:numId="4">
    <w:abstractNumId w:val="8"/>
  </w:num>
  <w:num w:numId="5">
    <w:abstractNumId w:val="2"/>
  </w:num>
  <w:num w:numId="6">
    <w:abstractNumId w:val="5"/>
  </w:num>
  <w:num w:numId="7">
    <w:abstractNumId w:val="4"/>
  </w:num>
  <w:num w:numId="8">
    <w:abstractNumId w:val="9"/>
  </w:num>
  <w:num w:numId="9">
    <w:abstractNumId w:val="10"/>
  </w:num>
  <w:num w:numId="10">
    <w:abstractNumId w:val="1"/>
  </w:num>
  <w:num w:numId="11">
    <w:abstractNumId w:val="11"/>
  </w:num>
  <w:num w:numId="12">
    <w:abstractNumId w:val="12"/>
  </w:num>
  <w:num w:numId="13">
    <w:abstractNumId w:val="7"/>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hlina Ahmed">
    <w15:presenceInfo w15:providerId="AD" w15:userId="S-1-5-21-2123314590-1081484838-924725345-153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fillcolor="#ffc000" strokecolor="none [3041]">
      <v:fill color="#ffc000"/>
      <v:stroke color="none [3041]" weight="3pt"/>
      <v:shadow on="t" type="perspective" color="none [1606]" opacity=".5" offset="1pt" offset2="-1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A3B3A"/>
    <w:rsid w:val="00001F46"/>
    <w:rsid w:val="00011545"/>
    <w:rsid w:val="00013A24"/>
    <w:rsid w:val="00026F25"/>
    <w:rsid w:val="00027218"/>
    <w:rsid w:val="00030036"/>
    <w:rsid w:val="00033E0A"/>
    <w:rsid w:val="00034A90"/>
    <w:rsid w:val="00042E0A"/>
    <w:rsid w:val="00044A65"/>
    <w:rsid w:val="0005429B"/>
    <w:rsid w:val="0006172A"/>
    <w:rsid w:val="00083D6B"/>
    <w:rsid w:val="00084697"/>
    <w:rsid w:val="00092DED"/>
    <w:rsid w:val="000B01EB"/>
    <w:rsid w:val="000C0D20"/>
    <w:rsid w:val="000C6462"/>
    <w:rsid w:val="000C7E68"/>
    <w:rsid w:val="000D02BA"/>
    <w:rsid w:val="000D4E38"/>
    <w:rsid w:val="0012790C"/>
    <w:rsid w:val="00130730"/>
    <w:rsid w:val="001320CC"/>
    <w:rsid w:val="00134905"/>
    <w:rsid w:val="00137C1B"/>
    <w:rsid w:val="001517CC"/>
    <w:rsid w:val="001634CA"/>
    <w:rsid w:val="00163B7D"/>
    <w:rsid w:val="001825C8"/>
    <w:rsid w:val="001842F2"/>
    <w:rsid w:val="00197105"/>
    <w:rsid w:val="0019729C"/>
    <w:rsid w:val="001A7FCD"/>
    <w:rsid w:val="001B06E2"/>
    <w:rsid w:val="001B114F"/>
    <w:rsid w:val="001B2773"/>
    <w:rsid w:val="001B2CB7"/>
    <w:rsid w:val="001B35BD"/>
    <w:rsid w:val="001D370D"/>
    <w:rsid w:val="001D3C1C"/>
    <w:rsid w:val="001D3CB5"/>
    <w:rsid w:val="001D416C"/>
    <w:rsid w:val="001D7440"/>
    <w:rsid w:val="001E4223"/>
    <w:rsid w:val="001E67F5"/>
    <w:rsid w:val="001E6E9E"/>
    <w:rsid w:val="001F0C29"/>
    <w:rsid w:val="002149E3"/>
    <w:rsid w:val="002249D0"/>
    <w:rsid w:val="00227B2A"/>
    <w:rsid w:val="00231702"/>
    <w:rsid w:val="00233689"/>
    <w:rsid w:val="00244AB4"/>
    <w:rsid w:val="00247B21"/>
    <w:rsid w:val="0027256E"/>
    <w:rsid w:val="002740EB"/>
    <w:rsid w:val="002761FF"/>
    <w:rsid w:val="00280842"/>
    <w:rsid w:val="00286455"/>
    <w:rsid w:val="00291439"/>
    <w:rsid w:val="00291B40"/>
    <w:rsid w:val="002C07CF"/>
    <w:rsid w:val="002C4B50"/>
    <w:rsid w:val="002D2942"/>
    <w:rsid w:val="002D418F"/>
    <w:rsid w:val="002D4EA7"/>
    <w:rsid w:val="002D62C4"/>
    <w:rsid w:val="002D69CA"/>
    <w:rsid w:val="002E288A"/>
    <w:rsid w:val="002E652D"/>
    <w:rsid w:val="003039C8"/>
    <w:rsid w:val="0030620F"/>
    <w:rsid w:val="00307F63"/>
    <w:rsid w:val="0031492B"/>
    <w:rsid w:val="00324F7D"/>
    <w:rsid w:val="003326B6"/>
    <w:rsid w:val="003346E2"/>
    <w:rsid w:val="0034234F"/>
    <w:rsid w:val="003559DA"/>
    <w:rsid w:val="003575A1"/>
    <w:rsid w:val="00371460"/>
    <w:rsid w:val="00383306"/>
    <w:rsid w:val="0038633C"/>
    <w:rsid w:val="003B6B66"/>
    <w:rsid w:val="003F5491"/>
    <w:rsid w:val="003F6BE5"/>
    <w:rsid w:val="00410060"/>
    <w:rsid w:val="00413D17"/>
    <w:rsid w:val="00416CFF"/>
    <w:rsid w:val="00426542"/>
    <w:rsid w:val="00434B9C"/>
    <w:rsid w:val="0044488F"/>
    <w:rsid w:val="004461DB"/>
    <w:rsid w:val="00447C75"/>
    <w:rsid w:val="00454D34"/>
    <w:rsid w:val="00455E07"/>
    <w:rsid w:val="00456566"/>
    <w:rsid w:val="00474A38"/>
    <w:rsid w:val="00477F37"/>
    <w:rsid w:val="004801A2"/>
    <w:rsid w:val="00487CFD"/>
    <w:rsid w:val="004921A0"/>
    <w:rsid w:val="004924EB"/>
    <w:rsid w:val="004A0012"/>
    <w:rsid w:val="004B0004"/>
    <w:rsid w:val="004B0E6C"/>
    <w:rsid w:val="004B2DD0"/>
    <w:rsid w:val="004B5D08"/>
    <w:rsid w:val="004C06E1"/>
    <w:rsid w:val="004D7B3E"/>
    <w:rsid w:val="004E3C00"/>
    <w:rsid w:val="004E7437"/>
    <w:rsid w:val="004F21C9"/>
    <w:rsid w:val="004F2DED"/>
    <w:rsid w:val="00504C98"/>
    <w:rsid w:val="00510717"/>
    <w:rsid w:val="005245BC"/>
    <w:rsid w:val="00545BDF"/>
    <w:rsid w:val="00565E15"/>
    <w:rsid w:val="00572EB7"/>
    <w:rsid w:val="005967C5"/>
    <w:rsid w:val="005A1327"/>
    <w:rsid w:val="005A512C"/>
    <w:rsid w:val="005B317E"/>
    <w:rsid w:val="005B4C1F"/>
    <w:rsid w:val="005B5726"/>
    <w:rsid w:val="005C59C6"/>
    <w:rsid w:val="005C737C"/>
    <w:rsid w:val="005D2F28"/>
    <w:rsid w:val="005E47F6"/>
    <w:rsid w:val="005E5C38"/>
    <w:rsid w:val="005F0838"/>
    <w:rsid w:val="005F21DD"/>
    <w:rsid w:val="005F2C84"/>
    <w:rsid w:val="005F5DB1"/>
    <w:rsid w:val="005F6F33"/>
    <w:rsid w:val="00601DAF"/>
    <w:rsid w:val="006024BD"/>
    <w:rsid w:val="00612661"/>
    <w:rsid w:val="006166EE"/>
    <w:rsid w:val="006173BE"/>
    <w:rsid w:val="00622B02"/>
    <w:rsid w:val="00633738"/>
    <w:rsid w:val="006505C8"/>
    <w:rsid w:val="006516A2"/>
    <w:rsid w:val="0065565A"/>
    <w:rsid w:val="00676A40"/>
    <w:rsid w:val="00682A6D"/>
    <w:rsid w:val="00694896"/>
    <w:rsid w:val="0069490D"/>
    <w:rsid w:val="00695433"/>
    <w:rsid w:val="006961C8"/>
    <w:rsid w:val="006A5291"/>
    <w:rsid w:val="006B351F"/>
    <w:rsid w:val="006C4782"/>
    <w:rsid w:val="006C4C8A"/>
    <w:rsid w:val="006C5A8F"/>
    <w:rsid w:val="006D4521"/>
    <w:rsid w:val="006D501C"/>
    <w:rsid w:val="006D7C2D"/>
    <w:rsid w:val="006E0F5E"/>
    <w:rsid w:val="006E2806"/>
    <w:rsid w:val="006E33BA"/>
    <w:rsid w:val="006E5EC1"/>
    <w:rsid w:val="006E7279"/>
    <w:rsid w:val="00705DD2"/>
    <w:rsid w:val="007072D8"/>
    <w:rsid w:val="0070769E"/>
    <w:rsid w:val="00710EA3"/>
    <w:rsid w:val="00717E01"/>
    <w:rsid w:val="0072484C"/>
    <w:rsid w:val="007256F2"/>
    <w:rsid w:val="007275CA"/>
    <w:rsid w:val="00733048"/>
    <w:rsid w:val="007338B1"/>
    <w:rsid w:val="00750F8B"/>
    <w:rsid w:val="007524A3"/>
    <w:rsid w:val="00764805"/>
    <w:rsid w:val="00765BC7"/>
    <w:rsid w:val="0077487C"/>
    <w:rsid w:val="00776AC7"/>
    <w:rsid w:val="00777007"/>
    <w:rsid w:val="00786DD8"/>
    <w:rsid w:val="007A3866"/>
    <w:rsid w:val="007A3B3A"/>
    <w:rsid w:val="007A6A99"/>
    <w:rsid w:val="007B43CD"/>
    <w:rsid w:val="007C76DB"/>
    <w:rsid w:val="007D4C86"/>
    <w:rsid w:val="007E77BD"/>
    <w:rsid w:val="007F14B3"/>
    <w:rsid w:val="00814662"/>
    <w:rsid w:val="008211EF"/>
    <w:rsid w:val="0082296E"/>
    <w:rsid w:val="008229C5"/>
    <w:rsid w:val="00823226"/>
    <w:rsid w:val="008237BF"/>
    <w:rsid w:val="00833FB5"/>
    <w:rsid w:val="008371D0"/>
    <w:rsid w:val="00841490"/>
    <w:rsid w:val="00842EDC"/>
    <w:rsid w:val="008555BE"/>
    <w:rsid w:val="00862748"/>
    <w:rsid w:val="00875BB2"/>
    <w:rsid w:val="00890E67"/>
    <w:rsid w:val="0089193C"/>
    <w:rsid w:val="008963C7"/>
    <w:rsid w:val="008A154D"/>
    <w:rsid w:val="008A3F24"/>
    <w:rsid w:val="008B6573"/>
    <w:rsid w:val="008B7287"/>
    <w:rsid w:val="008C6915"/>
    <w:rsid w:val="008F3005"/>
    <w:rsid w:val="0090226B"/>
    <w:rsid w:val="00917B35"/>
    <w:rsid w:val="00931B21"/>
    <w:rsid w:val="009342D8"/>
    <w:rsid w:val="00935E15"/>
    <w:rsid w:val="00945AA7"/>
    <w:rsid w:val="009510A4"/>
    <w:rsid w:val="009777B2"/>
    <w:rsid w:val="009A7647"/>
    <w:rsid w:val="009C639B"/>
    <w:rsid w:val="009D403C"/>
    <w:rsid w:val="009D63D3"/>
    <w:rsid w:val="009E1521"/>
    <w:rsid w:val="009E6058"/>
    <w:rsid w:val="009E6A2A"/>
    <w:rsid w:val="009E7B36"/>
    <w:rsid w:val="009F6D18"/>
    <w:rsid w:val="00A02277"/>
    <w:rsid w:val="00A04BEF"/>
    <w:rsid w:val="00A259CC"/>
    <w:rsid w:val="00A26AD9"/>
    <w:rsid w:val="00A31E98"/>
    <w:rsid w:val="00A33027"/>
    <w:rsid w:val="00A35FB6"/>
    <w:rsid w:val="00A36293"/>
    <w:rsid w:val="00A40354"/>
    <w:rsid w:val="00A434B6"/>
    <w:rsid w:val="00A52331"/>
    <w:rsid w:val="00A56A95"/>
    <w:rsid w:val="00A61099"/>
    <w:rsid w:val="00A66DAA"/>
    <w:rsid w:val="00A74068"/>
    <w:rsid w:val="00A74437"/>
    <w:rsid w:val="00A770B3"/>
    <w:rsid w:val="00A82284"/>
    <w:rsid w:val="00A87864"/>
    <w:rsid w:val="00A916A2"/>
    <w:rsid w:val="00A92010"/>
    <w:rsid w:val="00A969E7"/>
    <w:rsid w:val="00A972FC"/>
    <w:rsid w:val="00AA37F4"/>
    <w:rsid w:val="00AB2AFC"/>
    <w:rsid w:val="00AB2E2E"/>
    <w:rsid w:val="00AB7442"/>
    <w:rsid w:val="00AC0FFD"/>
    <w:rsid w:val="00AC2548"/>
    <w:rsid w:val="00AC3807"/>
    <w:rsid w:val="00AC3E78"/>
    <w:rsid w:val="00AD06F5"/>
    <w:rsid w:val="00AD5A37"/>
    <w:rsid w:val="00AD71EB"/>
    <w:rsid w:val="00AE5A65"/>
    <w:rsid w:val="00B00C67"/>
    <w:rsid w:val="00B20FE3"/>
    <w:rsid w:val="00B2452C"/>
    <w:rsid w:val="00B2582C"/>
    <w:rsid w:val="00B35111"/>
    <w:rsid w:val="00B37147"/>
    <w:rsid w:val="00B4548C"/>
    <w:rsid w:val="00B478F2"/>
    <w:rsid w:val="00B519D3"/>
    <w:rsid w:val="00B572C0"/>
    <w:rsid w:val="00B7283D"/>
    <w:rsid w:val="00B752DB"/>
    <w:rsid w:val="00B76BC4"/>
    <w:rsid w:val="00B7777D"/>
    <w:rsid w:val="00B84106"/>
    <w:rsid w:val="00B848F9"/>
    <w:rsid w:val="00B91F85"/>
    <w:rsid w:val="00BA1116"/>
    <w:rsid w:val="00BA6432"/>
    <w:rsid w:val="00BE1315"/>
    <w:rsid w:val="00BE7A83"/>
    <w:rsid w:val="00BF145A"/>
    <w:rsid w:val="00BF2988"/>
    <w:rsid w:val="00BF3D40"/>
    <w:rsid w:val="00BF4287"/>
    <w:rsid w:val="00BF631C"/>
    <w:rsid w:val="00BF7107"/>
    <w:rsid w:val="00C00523"/>
    <w:rsid w:val="00C1140E"/>
    <w:rsid w:val="00C13C78"/>
    <w:rsid w:val="00C21763"/>
    <w:rsid w:val="00C26702"/>
    <w:rsid w:val="00C31915"/>
    <w:rsid w:val="00C32FA6"/>
    <w:rsid w:val="00C37282"/>
    <w:rsid w:val="00C45E25"/>
    <w:rsid w:val="00C553DC"/>
    <w:rsid w:val="00C6695F"/>
    <w:rsid w:val="00C73844"/>
    <w:rsid w:val="00C741C2"/>
    <w:rsid w:val="00C84DEB"/>
    <w:rsid w:val="00C9343F"/>
    <w:rsid w:val="00C94E88"/>
    <w:rsid w:val="00CC478D"/>
    <w:rsid w:val="00CC7201"/>
    <w:rsid w:val="00CD2434"/>
    <w:rsid w:val="00CD4619"/>
    <w:rsid w:val="00CE0CE8"/>
    <w:rsid w:val="00CE1C82"/>
    <w:rsid w:val="00CE2BDA"/>
    <w:rsid w:val="00D12519"/>
    <w:rsid w:val="00D12667"/>
    <w:rsid w:val="00D14559"/>
    <w:rsid w:val="00D43722"/>
    <w:rsid w:val="00D456E7"/>
    <w:rsid w:val="00D45A2F"/>
    <w:rsid w:val="00D46571"/>
    <w:rsid w:val="00D50807"/>
    <w:rsid w:val="00D678C5"/>
    <w:rsid w:val="00D80BDA"/>
    <w:rsid w:val="00D81A59"/>
    <w:rsid w:val="00D85061"/>
    <w:rsid w:val="00D864F2"/>
    <w:rsid w:val="00D9042A"/>
    <w:rsid w:val="00D9630D"/>
    <w:rsid w:val="00D96CA9"/>
    <w:rsid w:val="00DB0EB7"/>
    <w:rsid w:val="00DC7653"/>
    <w:rsid w:val="00DD0AD8"/>
    <w:rsid w:val="00DD2AD8"/>
    <w:rsid w:val="00DE4151"/>
    <w:rsid w:val="00DE53BB"/>
    <w:rsid w:val="00DF22B8"/>
    <w:rsid w:val="00E027A1"/>
    <w:rsid w:val="00E045C5"/>
    <w:rsid w:val="00E05E18"/>
    <w:rsid w:val="00E10E47"/>
    <w:rsid w:val="00E11FFF"/>
    <w:rsid w:val="00E128CF"/>
    <w:rsid w:val="00E13398"/>
    <w:rsid w:val="00E330CD"/>
    <w:rsid w:val="00E33836"/>
    <w:rsid w:val="00E33DEC"/>
    <w:rsid w:val="00E4032B"/>
    <w:rsid w:val="00E427FD"/>
    <w:rsid w:val="00E43C87"/>
    <w:rsid w:val="00E45C02"/>
    <w:rsid w:val="00E65597"/>
    <w:rsid w:val="00E66F4F"/>
    <w:rsid w:val="00E67B5C"/>
    <w:rsid w:val="00E77CBF"/>
    <w:rsid w:val="00E86C88"/>
    <w:rsid w:val="00E938A3"/>
    <w:rsid w:val="00E94E01"/>
    <w:rsid w:val="00EB1B7B"/>
    <w:rsid w:val="00EB74D9"/>
    <w:rsid w:val="00EC4AE8"/>
    <w:rsid w:val="00EC56B9"/>
    <w:rsid w:val="00EC7401"/>
    <w:rsid w:val="00ED09CE"/>
    <w:rsid w:val="00ED2135"/>
    <w:rsid w:val="00ED6AB0"/>
    <w:rsid w:val="00ED799D"/>
    <w:rsid w:val="00EE151A"/>
    <w:rsid w:val="00EF00E1"/>
    <w:rsid w:val="00EF1576"/>
    <w:rsid w:val="00EF5CBB"/>
    <w:rsid w:val="00F11445"/>
    <w:rsid w:val="00F11B2F"/>
    <w:rsid w:val="00F16E6A"/>
    <w:rsid w:val="00F24211"/>
    <w:rsid w:val="00F41EA1"/>
    <w:rsid w:val="00F47755"/>
    <w:rsid w:val="00F50767"/>
    <w:rsid w:val="00F5646E"/>
    <w:rsid w:val="00F618A1"/>
    <w:rsid w:val="00F63F12"/>
    <w:rsid w:val="00F6762E"/>
    <w:rsid w:val="00F73E53"/>
    <w:rsid w:val="00F75C5E"/>
    <w:rsid w:val="00F91AC4"/>
    <w:rsid w:val="00F95699"/>
    <w:rsid w:val="00FA0025"/>
    <w:rsid w:val="00FD029F"/>
    <w:rsid w:val="00FD0792"/>
    <w:rsid w:val="00FD7C73"/>
    <w:rsid w:val="00FE1DC1"/>
    <w:rsid w:val="00FE2884"/>
    <w:rsid w:val="00FF1D75"/>
    <w:rsid w:val="00FF6E07"/>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fillcolor="#ffc000" strokecolor="none [3041]">
      <v:fill color="#ffc000"/>
      <v:stroke color="none [3041]" weight="3pt"/>
      <v:shadow on="t" type="perspective" color="none [1606]" opacity=".5" offset="1pt" offset2="-1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10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52C"/>
    <w:pPr>
      <w:ind w:left="720"/>
      <w:contextualSpacing/>
    </w:pPr>
  </w:style>
  <w:style w:type="paragraph" w:styleId="FootnoteText">
    <w:name w:val="footnote text"/>
    <w:basedOn w:val="Normal"/>
    <w:link w:val="FootnoteTextChar"/>
    <w:uiPriority w:val="99"/>
    <w:semiHidden/>
    <w:unhideWhenUsed/>
    <w:rsid w:val="00FD7C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7C73"/>
    <w:rPr>
      <w:sz w:val="20"/>
      <w:szCs w:val="20"/>
      <w:lang w:val="en-GB"/>
    </w:rPr>
  </w:style>
  <w:style w:type="character" w:styleId="FootnoteReference">
    <w:name w:val="footnote reference"/>
    <w:basedOn w:val="DefaultParagraphFont"/>
    <w:uiPriority w:val="99"/>
    <w:semiHidden/>
    <w:unhideWhenUsed/>
    <w:rsid w:val="00FD7C73"/>
    <w:rPr>
      <w:vertAlign w:val="superscript"/>
    </w:rPr>
  </w:style>
  <w:style w:type="paragraph" w:styleId="NormalWeb">
    <w:name w:val="Normal (Web)"/>
    <w:basedOn w:val="Normal"/>
    <w:uiPriority w:val="99"/>
    <w:unhideWhenUsed/>
    <w:rsid w:val="005F6F33"/>
    <w:pPr>
      <w:spacing w:before="100" w:beforeAutospacing="1" w:after="100" w:afterAutospacing="1" w:line="240" w:lineRule="auto"/>
    </w:pPr>
    <w:rPr>
      <w:rFonts w:ascii="Times New Roman" w:eastAsia="Times New Roman" w:hAnsi="Times New Roman"/>
      <w:sz w:val="24"/>
      <w:szCs w:val="24"/>
      <w:lang w:val="en-US"/>
    </w:rPr>
  </w:style>
  <w:style w:type="table" w:styleId="TableGrid">
    <w:name w:val="Table Grid"/>
    <w:basedOn w:val="TableNormal"/>
    <w:uiPriority w:val="39"/>
    <w:rsid w:val="007A6A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B2AFC"/>
    <w:rPr>
      <w:sz w:val="16"/>
      <w:szCs w:val="16"/>
    </w:rPr>
  </w:style>
  <w:style w:type="paragraph" w:styleId="CommentText">
    <w:name w:val="annotation text"/>
    <w:basedOn w:val="Normal"/>
    <w:link w:val="CommentTextChar"/>
    <w:uiPriority w:val="99"/>
    <w:semiHidden/>
    <w:unhideWhenUsed/>
    <w:rsid w:val="00AB2AFC"/>
    <w:pPr>
      <w:spacing w:line="240" w:lineRule="auto"/>
    </w:pPr>
    <w:rPr>
      <w:sz w:val="20"/>
      <w:szCs w:val="20"/>
    </w:rPr>
  </w:style>
  <w:style w:type="character" w:customStyle="1" w:styleId="CommentTextChar">
    <w:name w:val="Comment Text Char"/>
    <w:basedOn w:val="DefaultParagraphFont"/>
    <w:link w:val="CommentText"/>
    <w:uiPriority w:val="99"/>
    <w:semiHidden/>
    <w:rsid w:val="00AB2AFC"/>
    <w:rPr>
      <w:sz w:val="20"/>
      <w:szCs w:val="20"/>
      <w:lang w:val="en-GB"/>
    </w:rPr>
  </w:style>
  <w:style w:type="paragraph" w:styleId="CommentSubject">
    <w:name w:val="annotation subject"/>
    <w:basedOn w:val="CommentText"/>
    <w:next w:val="CommentText"/>
    <w:link w:val="CommentSubjectChar"/>
    <w:uiPriority w:val="99"/>
    <w:semiHidden/>
    <w:unhideWhenUsed/>
    <w:rsid w:val="00AB2AFC"/>
    <w:rPr>
      <w:b/>
      <w:bCs/>
    </w:rPr>
  </w:style>
  <w:style w:type="character" w:customStyle="1" w:styleId="CommentSubjectChar">
    <w:name w:val="Comment Subject Char"/>
    <w:basedOn w:val="CommentTextChar"/>
    <w:link w:val="CommentSubject"/>
    <w:uiPriority w:val="99"/>
    <w:semiHidden/>
    <w:rsid w:val="00AB2AFC"/>
    <w:rPr>
      <w:b/>
      <w:bCs/>
      <w:sz w:val="20"/>
      <w:szCs w:val="20"/>
      <w:lang w:val="en-GB"/>
    </w:rPr>
  </w:style>
  <w:style w:type="paragraph" w:styleId="BalloonText">
    <w:name w:val="Balloon Text"/>
    <w:basedOn w:val="Normal"/>
    <w:link w:val="BalloonTextChar"/>
    <w:uiPriority w:val="99"/>
    <w:semiHidden/>
    <w:unhideWhenUsed/>
    <w:rsid w:val="00AB2A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FC"/>
    <w:rPr>
      <w:rFonts w:ascii="Segoe UI" w:hAnsi="Segoe UI" w:cs="Segoe UI"/>
      <w:sz w:val="18"/>
      <w:szCs w:val="18"/>
      <w:lang w:val="en-GB"/>
    </w:rPr>
  </w:style>
  <w:style w:type="paragraph" w:styleId="NoSpacing">
    <w:name w:val="No Spacing"/>
    <w:uiPriority w:val="1"/>
    <w:qFormat/>
    <w:rsid w:val="00A35FB6"/>
    <w:pPr>
      <w:spacing w:after="0" w:line="240" w:lineRule="auto"/>
    </w:pPr>
    <w:rPr>
      <w:lang w:val="en-GB"/>
    </w:rPr>
  </w:style>
  <w:style w:type="paragraph" w:styleId="Header">
    <w:name w:val="header"/>
    <w:basedOn w:val="Normal"/>
    <w:link w:val="HeaderChar"/>
    <w:uiPriority w:val="99"/>
    <w:unhideWhenUsed/>
    <w:rsid w:val="00F95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699"/>
    <w:rPr>
      <w:lang w:val="en-GB"/>
    </w:rPr>
  </w:style>
  <w:style w:type="paragraph" w:styleId="Footer">
    <w:name w:val="footer"/>
    <w:basedOn w:val="Normal"/>
    <w:link w:val="FooterChar"/>
    <w:uiPriority w:val="99"/>
    <w:unhideWhenUsed/>
    <w:rsid w:val="00F95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699"/>
    <w:rPr>
      <w:lang w:val="en-GB"/>
    </w:rPr>
  </w:style>
  <w:style w:type="paragraph" w:customStyle="1" w:styleId="Default">
    <w:name w:val="Default"/>
    <w:rsid w:val="00280842"/>
    <w:pPr>
      <w:autoSpaceDE w:val="0"/>
      <w:autoSpaceDN w:val="0"/>
      <w:adjustRightInd w:val="0"/>
      <w:spacing w:after="0" w:line="240" w:lineRule="auto"/>
    </w:pPr>
    <w:rPr>
      <w:rFonts w:ascii="Calibri" w:hAnsi="Calibri" w:cs="Calibri"/>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20057">
      <w:bodyDiv w:val="1"/>
      <w:marLeft w:val="0"/>
      <w:marRight w:val="0"/>
      <w:marTop w:val="0"/>
      <w:marBottom w:val="0"/>
      <w:divBdr>
        <w:top w:val="none" w:sz="0" w:space="0" w:color="auto"/>
        <w:left w:val="none" w:sz="0" w:space="0" w:color="auto"/>
        <w:bottom w:val="none" w:sz="0" w:space="0" w:color="auto"/>
        <w:right w:val="none" w:sz="0" w:space="0" w:color="auto"/>
      </w:divBdr>
    </w:div>
    <w:div w:id="121531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AF455-FAA6-478D-B061-C55A947BA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28</Pages>
  <Words>9723</Words>
  <Characters>55425</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Yasmin H Ahmed</dc:creator>
  <cp:lastModifiedBy>Saima</cp:lastModifiedBy>
  <cp:revision>3</cp:revision>
  <cp:lastPrinted>2019-02-13T12:37:00Z</cp:lastPrinted>
  <dcterms:created xsi:type="dcterms:W3CDTF">2019-02-13T13:38:00Z</dcterms:created>
  <dcterms:modified xsi:type="dcterms:W3CDTF">2019-02-16T11:00:00Z</dcterms:modified>
</cp:coreProperties>
</file>