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A7FC" w14:textId="77777777" w:rsidR="00841FD8" w:rsidRPr="00704351" w:rsidRDefault="00841FD8" w:rsidP="00704351">
      <w:pPr>
        <w:spacing w:after="0"/>
        <w:jc w:val="right"/>
        <w:rPr>
          <w:b/>
          <w:sz w:val="24"/>
        </w:rPr>
      </w:pPr>
      <w:bookmarkStart w:id="0" w:name="_Hlk7547833"/>
      <w:bookmarkEnd w:id="0"/>
      <w:r w:rsidRPr="00704351">
        <w:rPr>
          <w:b/>
          <w:sz w:val="24"/>
        </w:rPr>
        <w:t>Monika Szymańska 238359</w:t>
      </w:r>
    </w:p>
    <w:p w14:paraId="7D3B6136" w14:textId="4B996AAA" w:rsidR="00234A12" w:rsidRDefault="00841FD8" w:rsidP="005076E3">
      <w:pPr>
        <w:pStyle w:val="Tytu"/>
        <w:jc w:val="center"/>
        <w:rPr>
          <w:sz w:val="44"/>
        </w:rPr>
      </w:pPr>
      <w:r w:rsidRPr="005076E3">
        <w:rPr>
          <w:sz w:val="44"/>
        </w:rPr>
        <w:t xml:space="preserve">Zadanie </w:t>
      </w:r>
      <w:r w:rsidR="00024E51" w:rsidRPr="005076E3">
        <w:rPr>
          <w:sz w:val="44"/>
        </w:rPr>
        <w:t>2</w:t>
      </w:r>
      <w:r w:rsidRPr="005076E3">
        <w:rPr>
          <w:sz w:val="44"/>
        </w:rPr>
        <w:t>.</w:t>
      </w:r>
      <w:r w:rsidR="00723441">
        <w:rPr>
          <w:sz w:val="44"/>
        </w:rPr>
        <w:t>5</w:t>
      </w:r>
    </w:p>
    <w:p w14:paraId="02FCD019" w14:textId="40D50E37" w:rsidR="009C6CE6" w:rsidRDefault="009C6CE6" w:rsidP="00E5646D">
      <w:pPr>
        <w:pStyle w:val="Nagwek1"/>
        <w:spacing w:before="120" w:line="257" w:lineRule="auto"/>
      </w:pPr>
      <w:bookmarkStart w:id="1" w:name="_Hlk5712270"/>
      <w:r>
        <w:t xml:space="preserve">Zadanie </w:t>
      </w:r>
      <w:r w:rsidR="0020205F">
        <w:t>2</w:t>
      </w:r>
      <w:r w:rsidR="00184287">
        <w:t>5</w:t>
      </w:r>
      <w:r>
        <w:t xml:space="preserve"> </w:t>
      </w:r>
    </w:p>
    <w:p w14:paraId="488F220E" w14:textId="6D7E540B" w:rsidR="00184287" w:rsidRDefault="00184287" w:rsidP="00184287">
      <w:pPr>
        <w:pStyle w:val="Nagwek2"/>
        <w:ind w:firstLine="708"/>
      </w:pPr>
      <w:r>
        <w:t>Przykład wprowadzający</w:t>
      </w:r>
    </w:p>
    <w:p w14:paraId="226B1F1C" w14:textId="0A15436F" w:rsidR="00184287" w:rsidRDefault="00184287" w:rsidP="00184287">
      <w:pPr>
        <w:jc w:val="both"/>
      </w:pPr>
      <w:r>
        <w:t xml:space="preserve">Aplikacja WEKA KnowledgeFlow pozwala nam w graficzny sposób budować modele analityczne. Wybierając w Load a template layout opcję CrossValidation możemy zapoznać się z zastosowaniem walidacji krzyżowej na zbiorze danych o irysach. Po jego uruchomieniu widzimy, że skuteczność użytego algorytmu J48 wynosi 96%, natomiast wartość Kappa to 0,94 zatem możemy uznać klasyfikację za wysoce skuteczną. </w:t>
      </w:r>
    </w:p>
    <w:p w14:paraId="296516F6" w14:textId="520ADF83" w:rsidR="003E0AFF" w:rsidRDefault="003E0AFF" w:rsidP="00184287">
      <w:pPr>
        <w:jc w:val="both"/>
      </w:pPr>
      <w:r>
        <w:t xml:space="preserve">Takie same analizy zostały przeprowadzone dla zbioru danych </w:t>
      </w:r>
      <w:r w:rsidRPr="003E0AFF">
        <w:t xml:space="preserve">Fishers </w:t>
      </w:r>
      <w:proofErr w:type="spellStart"/>
      <w:r w:rsidRPr="003E0AFF">
        <w:t>Iris</w:t>
      </w:r>
      <w:proofErr w:type="spellEnd"/>
      <w:r w:rsidRPr="003E0AFF">
        <w:t xml:space="preserve"> </w:t>
      </w:r>
      <w:proofErr w:type="spellStart"/>
      <w:r w:rsidRPr="003E0AFF">
        <w:t>Dataset</w:t>
      </w:r>
      <w:proofErr w:type="spellEnd"/>
      <w:r>
        <w:t xml:space="preserve">. Wynik przeprowadzonej klasyfikacji był nieco gorszy ponieważ źle zaklasyfikowany został dodatkowo jeden argument co sprawiło, że procent poprawności wyniósł 95,3%, a wartość Kappa 0,93. W dalszym ciągu pozwala </w:t>
      </w:r>
      <w:r w:rsidR="006A24C3">
        <w:t xml:space="preserve">nam to </w:t>
      </w:r>
      <w:r>
        <w:t xml:space="preserve">uznać, klasyfikację za doskonałą. </w:t>
      </w:r>
    </w:p>
    <w:p w14:paraId="6CC8A6F4" w14:textId="33AE8360" w:rsidR="003E0AFF" w:rsidRDefault="003E0AFF" w:rsidP="00184287">
      <w:pPr>
        <w:jc w:val="both"/>
      </w:pPr>
      <w:r>
        <w:t>Dodatkowo zostały dodane bloki ImageSave oraz TextSave, które mają za zadanie zapisać wyniki klasyfikacji do odpowiednich plików</w:t>
      </w:r>
      <w:r w:rsidR="006A24C3">
        <w:t xml:space="preserve"> (</w:t>
      </w:r>
      <w:r w:rsidR="006A24C3" w:rsidRPr="003E0AFF">
        <w:t xml:space="preserve">Fishers </w:t>
      </w:r>
      <w:proofErr w:type="spellStart"/>
      <w:r w:rsidR="006A24C3" w:rsidRPr="003E0AFF">
        <w:t>Iris</w:t>
      </w:r>
      <w:proofErr w:type="spellEnd"/>
      <w:r w:rsidR="006A24C3" w:rsidRPr="003E0AFF">
        <w:t xml:space="preserve"> Dataset</w:t>
      </w:r>
      <w:r w:rsidR="006A24C3">
        <w:t xml:space="preserve">_1 oraz </w:t>
      </w:r>
      <w:r w:rsidR="006A24C3" w:rsidRPr="003E0AFF">
        <w:t xml:space="preserve">Fishers </w:t>
      </w:r>
      <w:proofErr w:type="spellStart"/>
      <w:r w:rsidR="006A24C3" w:rsidRPr="003E0AFF">
        <w:t>Iris</w:t>
      </w:r>
      <w:proofErr w:type="spellEnd"/>
      <w:r w:rsidR="006A24C3" w:rsidRPr="003E0AFF">
        <w:t xml:space="preserve"> Dataset</w:t>
      </w:r>
      <w:r w:rsidR="006A24C3">
        <w:t>_2)</w:t>
      </w:r>
      <w:r>
        <w:t xml:space="preserve">. </w:t>
      </w:r>
    </w:p>
    <w:p w14:paraId="48F2C567" w14:textId="6A21189F" w:rsidR="006A24C3" w:rsidRDefault="006A24C3" w:rsidP="00184287">
      <w:pPr>
        <w:jc w:val="both"/>
      </w:pPr>
    </w:p>
    <w:p w14:paraId="03D8473F" w14:textId="584D00BA" w:rsidR="00FF0AC1" w:rsidRDefault="006A24C3" w:rsidP="00FF0AC1">
      <w:pPr>
        <w:pStyle w:val="Nagwek2"/>
        <w:tabs>
          <w:tab w:val="left" w:pos="6924"/>
        </w:tabs>
        <w:ind w:firstLine="708"/>
      </w:pPr>
      <w:r>
        <w:t xml:space="preserve">Ocena klasyfikatorów dla danych z zadania 1.1. i 2.4. </w:t>
      </w:r>
      <w:r>
        <w:tab/>
      </w:r>
    </w:p>
    <w:p w14:paraId="1D21B331" w14:textId="72C59E4A" w:rsidR="00FF0AC1" w:rsidRPr="00FF0AC1" w:rsidRDefault="00FF0AC1" w:rsidP="00FF0AC1">
      <w:pPr>
        <w:jc w:val="both"/>
      </w:pPr>
      <w:r>
        <w:t>Dla danych z zadania 1.1 oraz 2.4 chcemy ustalić, który z algorytmów klasyfikacyjnych jest najbardziej skuteczny. W tym celu zostały przeprowadzone analizy a jej wyniki zostały zaprezentowane w Tabeli 1</w:t>
      </w:r>
      <w:r w:rsidR="002A7C32">
        <w:t xml:space="preserve"> i Tabeli 2</w:t>
      </w:r>
      <w:r>
        <w:t xml:space="preserve">. </w:t>
      </w:r>
    </w:p>
    <w:tbl>
      <w:tblPr>
        <w:tblStyle w:val="Tabelasiatki5ciemnaakcent6"/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695"/>
        <w:gridCol w:w="1563"/>
        <w:gridCol w:w="1303"/>
        <w:gridCol w:w="1530"/>
      </w:tblGrid>
      <w:tr w:rsidR="00FF0AC1" w14:paraId="1CE95459" w14:textId="2A24E184" w:rsidTr="00FF0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F04B020" w14:textId="537CD5FD" w:rsidR="00F82985" w:rsidRDefault="00FF0AC1" w:rsidP="006A24C3">
            <w:r>
              <w:t>Algorytm \ Plik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1E585BB" w14:textId="4A9FAFDC" w:rsidR="00F82985" w:rsidRDefault="00F82985" w:rsidP="006A2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238359_klienci6</w:t>
            </w:r>
          </w:p>
        </w:tc>
        <w:tc>
          <w:tcPr>
            <w:tcW w:w="15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D482310" w14:textId="701274B3" w:rsidR="00F82985" w:rsidRDefault="00F82985" w:rsidP="006A2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238359_bank6</w:t>
            </w:r>
          </w:p>
        </w:tc>
        <w:tc>
          <w:tcPr>
            <w:tcW w:w="13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75E545" w14:textId="28045E95" w:rsidR="00F82985" w:rsidRDefault="00F82985" w:rsidP="006A2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GlassData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3EC471D" w14:textId="3AD3E554" w:rsidR="00F82985" w:rsidRDefault="00F82985" w:rsidP="006A2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AutoMPG</w:t>
            </w:r>
          </w:p>
        </w:tc>
      </w:tr>
      <w:tr w:rsidR="00FF0AC1" w14:paraId="48B78AAA" w14:textId="7A710C48" w:rsidTr="00FF0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</w:tcBorders>
          </w:tcPr>
          <w:p w14:paraId="3E558A5D" w14:textId="19B437E2" w:rsidR="00F82985" w:rsidRDefault="00F82985" w:rsidP="006A24C3">
            <w:r>
              <w:t>J48</w:t>
            </w:r>
          </w:p>
        </w:tc>
        <w:tc>
          <w:tcPr>
            <w:tcW w:w="1695" w:type="dxa"/>
          </w:tcPr>
          <w:p w14:paraId="72A9D5D1" w14:textId="7F2BF166" w:rsidR="00F82985" w:rsidRDefault="00461562" w:rsidP="006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45,8%</w:t>
            </w:r>
          </w:p>
        </w:tc>
        <w:tc>
          <w:tcPr>
            <w:tcW w:w="1563" w:type="dxa"/>
          </w:tcPr>
          <w:p w14:paraId="787CB06D" w14:textId="73A6B767" w:rsidR="00F82985" w:rsidRDefault="00461562" w:rsidP="006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69,38%</w:t>
            </w:r>
          </w:p>
        </w:tc>
        <w:tc>
          <w:tcPr>
            <w:tcW w:w="1303" w:type="dxa"/>
          </w:tcPr>
          <w:p w14:paraId="62894F64" w14:textId="6027AA39" w:rsidR="00F82985" w:rsidRDefault="00FF683C" w:rsidP="006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97,66%</w:t>
            </w:r>
          </w:p>
        </w:tc>
        <w:tc>
          <w:tcPr>
            <w:tcW w:w="1530" w:type="dxa"/>
          </w:tcPr>
          <w:p w14:paraId="5DF123CF" w14:textId="5FF74177" w:rsidR="00F82985" w:rsidRDefault="00316912" w:rsidP="006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43,00%</w:t>
            </w:r>
          </w:p>
        </w:tc>
      </w:tr>
      <w:tr w:rsidR="00FF0AC1" w14:paraId="4638C004" w14:textId="06F7AD92" w:rsidTr="00FF0AC1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</w:tcBorders>
          </w:tcPr>
          <w:p w14:paraId="444F85B5" w14:textId="2D2B6A9C" w:rsidR="00F82985" w:rsidRDefault="00F82985" w:rsidP="006A24C3">
            <w:r>
              <w:t>Na</w:t>
            </w:r>
            <w:r w:rsidR="00344247">
              <w:t>i</w:t>
            </w:r>
            <w:r>
              <w:t>veBayes</w:t>
            </w:r>
          </w:p>
        </w:tc>
        <w:tc>
          <w:tcPr>
            <w:tcW w:w="1695" w:type="dxa"/>
          </w:tcPr>
          <w:p w14:paraId="39C94473" w14:textId="37021DA0" w:rsidR="00F82985" w:rsidRDefault="00C223C9" w:rsidP="006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45,2%</w:t>
            </w:r>
          </w:p>
        </w:tc>
        <w:tc>
          <w:tcPr>
            <w:tcW w:w="1563" w:type="dxa"/>
          </w:tcPr>
          <w:p w14:paraId="7953C57E" w14:textId="43F3310A" w:rsidR="00F82985" w:rsidRDefault="000215F3" w:rsidP="006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66,98%</w:t>
            </w:r>
          </w:p>
        </w:tc>
        <w:tc>
          <w:tcPr>
            <w:tcW w:w="1303" w:type="dxa"/>
          </w:tcPr>
          <w:p w14:paraId="1DCC6B30" w14:textId="40F51DE1" w:rsidR="00F82985" w:rsidRDefault="00FF683C" w:rsidP="006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71,03%</w:t>
            </w:r>
          </w:p>
        </w:tc>
        <w:tc>
          <w:tcPr>
            <w:tcW w:w="1530" w:type="dxa"/>
          </w:tcPr>
          <w:p w14:paraId="66CA66B2" w14:textId="7B22F725" w:rsidR="00F82985" w:rsidRDefault="00461562" w:rsidP="006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42,24%</w:t>
            </w:r>
          </w:p>
        </w:tc>
      </w:tr>
      <w:tr w:rsidR="00FF683C" w14:paraId="6E0F9580" w14:textId="7DD29E64" w:rsidTr="00FF0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</w:tcBorders>
          </w:tcPr>
          <w:p w14:paraId="0A2B4069" w14:textId="013E1281" w:rsidR="00FF683C" w:rsidRDefault="00FF683C" w:rsidP="00FF683C">
            <w:r>
              <w:t>JRip</w:t>
            </w:r>
          </w:p>
        </w:tc>
        <w:tc>
          <w:tcPr>
            <w:tcW w:w="1695" w:type="dxa"/>
          </w:tcPr>
          <w:p w14:paraId="38529F49" w14:textId="327A5740" w:rsidR="00FF683C" w:rsidRDefault="00FF683C" w:rsidP="00FF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45,9%</w:t>
            </w:r>
          </w:p>
        </w:tc>
        <w:tc>
          <w:tcPr>
            <w:tcW w:w="1563" w:type="dxa"/>
          </w:tcPr>
          <w:p w14:paraId="54B594A0" w14:textId="130E1C1F" w:rsidR="00FF683C" w:rsidRDefault="00461562" w:rsidP="00FF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70,17%</w:t>
            </w:r>
          </w:p>
        </w:tc>
        <w:tc>
          <w:tcPr>
            <w:tcW w:w="1303" w:type="dxa"/>
          </w:tcPr>
          <w:p w14:paraId="5513A78C" w14:textId="47D62AE7" w:rsidR="00FF683C" w:rsidRDefault="00FF683C" w:rsidP="00FF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94,86%</w:t>
            </w:r>
          </w:p>
        </w:tc>
        <w:tc>
          <w:tcPr>
            <w:tcW w:w="1530" w:type="dxa"/>
          </w:tcPr>
          <w:p w14:paraId="14135978" w14:textId="16829234" w:rsidR="00FF683C" w:rsidRDefault="00FF683C" w:rsidP="00FF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44,02%</w:t>
            </w:r>
          </w:p>
        </w:tc>
      </w:tr>
      <w:tr w:rsidR="00FF683C" w14:paraId="31B0FFC6" w14:textId="455BFCE0" w:rsidTr="00FF0AC1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</w:tcBorders>
          </w:tcPr>
          <w:p w14:paraId="66E74210" w14:textId="75AEB2DB" w:rsidR="00FF683C" w:rsidRDefault="00FF683C" w:rsidP="00FF683C">
            <w:r>
              <w:t>AdaBoostM1</w:t>
            </w:r>
          </w:p>
        </w:tc>
        <w:tc>
          <w:tcPr>
            <w:tcW w:w="1695" w:type="dxa"/>
          </w:tcPr>
          <w:p w14:paraId="50DE55AD" w14:textId="53B5F578" w:rsidR="00FF683C" w:rsidRDefault="00FF683C" w:rsidP="00FF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46,6%</w:t>
            </w:r>
          </w:p>
        </w:tc>
        <w:tc>
          <w:tcPr>
            <w:tcW w:w="1563" w:type="dxa"/>
          </w:tcPr>
          <w:p w14:paraId="7C899CF8" w14:textId="152909C4" w:rsidR="00FF683C" w:rsidRDefault="00461562" w:rsidP="00FF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69,42%</w:t>
            </w:r>
          </w:p>
        </w:tc>
        <w:tc>
          <w:tcPr>
            <w:tcW w:w="1303" w:type="dxa"/>
          </w:tcPr>
          <w:p w14:paraId="4657CF1A" w14:textId="383DC80F" w:rsidR="00FF683C" w:rsidRDefault="00FF683C" w:rsidP="00FF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54,21%</w:t>
            </w:r>
          </w:p>
        </w:tc>
        <w:tc>
          <w:tcPr>
            <w:tcW w:w="1530" w:type="dxa"/>
          </w:tcPr>
          <w:p w14:paraId="750104A0" w14:textId="300C169A" w:rsidR="00FF683C" w:rsidRDefault="00FF683C" w:rsidP="00FF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46,06%</w:t>
            </w:r>
          </w:p>
        </w:tc>
      </w:tr>
      <w:tr w:rsidR="00FF683C" w14:paraId="5CE553A3" w14:textId="431B5381" w:rsidTr="00FF0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</w:tcBorders>
          </w:tcPr>
          <w:p w14:paraId="6E5114E9" w14:textId="025F990C" w:rsidR="00FF683C" w:rsidRDefault="00FF683C" w:rsidP="00FF683C">
            <w:r>
              <w:t>RandomForest</w:t>
            </w:r>
          </w:p>
        </w:tc>
        <w:tc>
          <w:tcPr>
            <w:tcW w:w="1695" w:type="dxa"/>
          </w:tcPr>
          <w:p w14:paraId="379C2183" w14:textId="61283670" w:rsidR="00FF683C" w:rsidRDefault="00FF683C" w:rsidP="00FF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43,7%</w:t>
            </w:r>
          </w:p>
        </w:tc>
        <w:tc>
          <w:tcPr>
            <w:tcW w:w="1563" w:type="dxa"/>
          </w:tcPr>
          <w:p w14:paraId="7BBE6398" w14:textId="33809349" w:rsidR="00FF683C" w:rsidRDefault="00FF683C" w:rsidP="00FF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66,02%</w:t>
            </w:r>
          </w:p>
        </w:tc>
        <w:tc>
          <w:tcPr>
            <w:tcW w:w="1303" w:type="dxa"/>
          </w:tcPr>
          <w:p w14:paraId="51FFC996" w14:textId="5CD385D4" w:rsidR="00FF683C" w:rsidRDefault="00FF683C" w:rsidP="00FF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99,07%</w:t>
            </w:r>
          </w:p>
        </w:tc>
        <w:tc>
          <w:tcPr>
            <w:tcW w:w="1530" w:type="dxa"/>
          </w:tcPr>
          <w:p w14:paraId="0A5F4C91" w14:textId="3B47672A" w:rsidR="00FF683C" w:rsidRDefault="00461562" w:rsidP="00461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30,28%</w:t>
            </w:r>
          </w:p>
        </w:tc>
      </w:tr>
      <w:tr w:rsidR="00FF683C" w14:paraId="2E5616F0" w14:textId="0508FBD8" w:rsidTr="00FF0AC1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bottom w:val="none" w:sz="0" w:space="0" w:color="auto"/>
            </w:tcBorders>
          </w:tcPr>
          <w:p w14:paraId="6479D5BF" w14:textId="2357A5AC" w:rsidR="00FF683C" w:rsidRDefault="00FF683C" w:rsidP="00FF683C">
            <w:r>
              <w:t>Logistic</w:t>
            </w:r>
          </w:p>
        </w:tc>
        <w:tc>
          <w:tcPr>
            <w:tcW w:w="1695" w:type="dxa"/>
          </w:tcPr>
          <w:p w14:paraId="3109FAD2" w14:textId="3F947FC1" w:rsidR="00FF683C" w:rsidRDefault="00FF683C" w:rsidP="00FF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43,2%</w:t>
            </w:r>
          </w:p>
        </w:tc>
        <w:tc>
          <w:tcPr>
            <w:tcW w:w="1563" w:type="dxa"/>
          </w:tcPr>
          <w:p w14:paraId="66E81C7C" w14:textId="5977ED00" w:rsidR="00FF683C" w:rsidRDefault="00FF683C" w:rsidP="00FF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70,43%</w:t>
            </w:r>
          </w:p>
        </w:tc>
        <w:tc>
          <w:tcPr>
            <w:tcW w:w="1303" w:type="dxa"/>
          </w:tcPr>
          <w:p w14:paraId="7199A4D9" w14:textId="59659B29" w:rsidR="00FF683C" w:rsidRDefault="00FF683C" w:rsidP="00FF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80,37 %</w:t>
            </w:r>
          </w:p>
        </w:tc>
        <w:tc>
          <w:tcPr>
            <w:tcW w:w="1530" w:type="dxa"/>
          </w:tcPr>
          <w:p w14:paraId="44B2448B" w14:textId="006A8CBE" w:rsidR="00FF683C" w:rsidRDefault="00461562" w:rsidP="004615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45,55%</w:t>
            </w:r>
          </w:p>
        </w:tc>
      </w:tr>
    </w:tbl>
    <w:p w14:paraId="40CD85B0" w14:textId="4E4A7E02" w:rsidR="006A24C3" w:rsidRDefault="00FF0AC1" w:rsidP="00FF0AC1">
      <w:pPr>
        <w:pStyle w:val="Legenda"/>
        <w:jc w:val="center"/>
      </w:pPr>
      <w:r>
        <w:t xml:space="preserve">Tabela </w:t>
      </w:r>
      <w:r w:rsidR="00B942DD">
        <w:fldChar w:fldCharType="begin"/>
      </w:r>
      <w:r w:rsidR="00B942DD">
        <w:instrText xml:space="preserve"> SEQ Tabela \* ARABIC </w:instrText>
      </w:r>
      <w:r w:rsidR="00B942DD">
        <w:fldChar w:fldCharType="separate"/>
      </w:r>
      <w:r w:rsidR="00FD1B6A">
        <w:rPr>
          <w:noProof/>
        </w:rPr>
        <w:t>1</w:t>
      </w:r>
      <w:r w:rsidR="00B942DD">
        <w:rPr>
          <w:noProof/>
        </w:rPr>
        <w:fldChar w:fldCharType="end"/>
      </w:r>
      <w:r>
        <w:t xml:space="preserve"> - Porównanie wyników klasyfikacji dla danych z zadania 1.1 i 2.4</w:t>
      </w:r>
      <w:r w:rsidR="00461562">
        <w:t xml:space="preserve"> - % poprawność klasyfikacji</w:t>
      </w:r>
    </w:p>
    <w:p w14:paraId="6804499A" w14:textId="1DE8079E" w:rsidR="002A7C32" w:rsidRDefault="002A7C32" w:rsidP="0083436F">
      <w:pPr>
        <w:jc w:val="both"/>
      </w:pPr>
      <w:r>
        <w:t xml:space="preserve">Jak widać powyżej </w:t>
      </w:r>
      <w:r w:rsidR="0083436F">
        <w:t xml:space="preserve">najwyższa procentowa poprawność klasyfikacji jest różna dla różnych algorytmów i różnych zbiorów danych zatem nie można uznać, że któryś z zastosowanych algorytmów jest najlepszy. Dla zbioru danych o klientach najlepszy okazał się AdaBoostM1, jednak różnica między pozostałymi klasyfikatorami była bardzo niewielka. Dane bankowe zostały najlepiej sklasyfikowane algorytmem Logistic -70,43%, natomiast GlassData uzyskał niemal doskonałą klasyfikację dzięki zastosowaniu RandomForest. AdaBoostM1 okazał się również najbardziej skuteczny dla danych AutoMPG, jednak procent poprawności wyniósł zaledwie 46,06%, zatem nie możemy tutaj mówić o dobrym wyniku klasyfikacji. </w:t>
      </w:r>
    </w:p>
    <w:p w14:paraId="4F17F598" w14:textId="3B1E77EE" w:rsidR="0083436F" w:rsidRDefault="0083436F" w:rsidP="0083436F">
      <w:pPr>
        <w:jc w:val="both"/>
      </w:pPr>
      <w:r>
        <w:t>Dla tych samych zbiorów danych w następujący sposób przedstawiają się wartości wskaźnika Kappa:</w:t>
      </w:r>
    </w:p>
    <w:p w14:paraId="1AEBA707" w14:textId="77777777" w:rsidR="0083436F" w:rsidRPr="002A7C32" w:rsidRDefault="0083436F" w:rsidP="0083436F">
      <w:pPr>
        <w:jc w:val="both"/>
      </w:pPr>
    </w:p>
    <w:tbl>
      <w:tblPr>
        <w:tblStyle w:val="Tabelasiatki5ciemnaakcent2"/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695"/>
        <w:gridCol w:w="1563"/>
        <w:gridCol w:w="1303"/>
        <w:gridCol w:w="1530"/>
      </w:tblGrid>
      <w:tr w:rsidR="00461562" w14:paraId="3C8FD624" w14:textId="77777777" w:rsidTr="00461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B022CC3" w14:textId="77777777" w:rsidR="00C223C9" w:rsidRDefault="00C223C9" w:rsidP="002D1B01">
            <w:r>
              <w:lastRenderedPageBreak/>
              <w:t>Algorytm \ Plik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D7BF8A6" w14:textId="77777777" w:rsidR="00C223C9" w:rsidRDefault="00C223C9" w:rsidP="002D1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238359_klienci6</w:t>
            </w:r>
          </w:p>
        </w:tc>
        <w:tc>
          <w:tcPr>
            <w:tcW w:w="15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7FEE0E7" w14:textId="77777777" w:rsidR="00C223C9" w:rsidRDefault="00C223C9" w:rsidP="002D1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238359_bank6</w:t>
            </w:r>
          </w:p>
        </w:tc>
        <w:tc>
          <w:tcPr>
            <w:tcW w:w="13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806EDA4" w14:textId="77777777" w:rsidR="00C223C9" w:rsidRDefault="00C223C9" w:rsidP="002D1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GlassData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CD75977" w14:textId="77777777" w:rsidR="00C223C9" w:rsidRDefault="00C223C9" w:rsidP="002D1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AutoMPG</w:t>
            </w:r>
          </w:p>
        </w:tc>
      </w:tr>
      <w:tr w:rsidR="00461562" w14:paraId="55DBEF52" w14:textId="77777777" w:rsidTr="0046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</w:tcBorders>
          </w:tcPr>
          <w:p w14:paraId="7516E77C" w14:textId="77777777" w:rsidR="00C223C9" w:rsidRDefault="00C223C9" w:rsidP="002D1B01">
            <w:r>
              <w:t>J48</w:t>
            </w:r>
          </w:p>
        </w:tc>
        <w:tc>
          <w:tcPr>
            <w:tcW w:w="1695" w:type="dxa"/>
          </w:tcPr>
          <w:p w14:paraId="0ABB7A09" w14:textId="08BC7286" w:rsidR="00C223C9" w:rsidRDefault="00461562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0,0231</w:t>
            </w:r>
          </w:p>
        </w:tc>
        <w:tc>
          <w:tcPr>
            <w:tcW w:w="1563" w:type="dxa"/>
          </w:tcPr>
          <w:p w14:paraId="554553A8" w14:textId="1980BEB6" w:rsidR="00C223C9" w:rsidRDefault="000215F3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0,3151</w:t>
            </w:r>
          </w:p>
        </w:tc>
        <w:tc>
          <w:tcPr>
            <w:tcW w:w="1303" w:type="dxa"/>
          </w:tcPr>
          <w:p w14:paraId="5FA72A32" w14:textId="1C81250E" w:rsidR="00C223C9" w:rsidRDefault="00FF683C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0,9659</w:t>
            </w:r>
          </w:p>
        </w:tc>
        <w:tc>
          <w:tcPr>
            <w:tcW w:w="1530" w:type="dxa"/>
          </w:tcPr>
          <w:p w14:paraId="2B0ABC06" w14:textId="0731686F" w:rsidR="00C223C9" w:rsidRDefault="00316912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0,3359</w:t>
            </w:r>
          </w:p>
        </w:tc>
      </w:tr>
      <w:tr w:rsidR="00C223C9" w14:paraId="753A69FB" w14:textId="77777777" w:rsidTr="00461562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</w:tcBorders>
          </w:tcPr>
          <w:p w14:paraId="7178FF04" w14:textId="238217EA" w:rsidR="00C223C9" w:rsidRDefault="00C223C9" w:rsidP="002D1B01">
            <w:r>
              <w:t>Na</w:t>
            </w:r>
            <w:r w:rsidR="00344247">
              <w:t>i</w:t>
            </w:r>
            <w:r>
              <w:t>veBayes</w:t>
            </w:r>
          </w:p>
        </w:tc>
        <w:tc>
          <w:tcPr>
            <w:tcW w:w="1695" w:type="dxa"/>
          </w:tcPr>
          <w:p w14:paraId="49DC41AD" w14:textId="7361591F" w:rsidR="00C223C9" w:rsidRDefault="00C223C9" w:rsidP="002D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0,0402</w:t>
            </w:r>
          </w:p>
        </w:tc>
        <w:tc>
          <w:tcPr>
            <w:tcW w:w="1563" w:type="dxa"/>
          </w:tcPr>
          <w:p w14:paraId="21D06231" w14:textId="5368C691" w:rsidR="00C223C9" w:rsidRDefault="000215F3" w:rsidP="002D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0,2989</w:t>
            </w:r>
          </w:p>
        </w:tc>
        <w:tc>
          <w:tcPr>
            <w:tcW w:w="1303" w:type="dxa"/>
          </w:tcPr>
          <w:p w14:paraId="5253AB32" w14:textId="627D0AAA" w:rsidR="00C223C9" w:rsidRDefault="00FF683C" w:rsidP="002D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0,5661</w:t>
            </w:r>
          </w:p>
        </w:tc>
        <w:tc>
          <w:tcPr>
            <w:tcW w:w="1530" w:type="dxa"/>
          </w:tcPr>
          <w:p w14:paraId="6EDB7C3F" w14:textId="6595E344" w:rsidR="00C223C9" w:rsidRDefault="00316912" w:rsidP="002D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461562">
              <w:t>3346</w:t>
            </w:r>
          </w:p>
        </w:tc>
      </w:tr>
      <w:tr w:rsidR="00461562" w14:paraId="3EA13341" w14:textId="77777777" w:rsidTr="0083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</w:tcBorders>
          </w:tcPr>
          <w:p w14:paraId="5D00AE01" w14:textId="77777777" w:rsidR="00C223C9" w:rsidRDefault="00C223C9" w:rsidP="002D1B01">
            <w:r>
              <w:t>JRip</w:t>
            </w:r>
          </w:p>
        </w:tc>
        <w:tc>
          <w:tcPr>
            <w:tcW w:w="1695" w:type="dxa"/>
          </w:tcPr>
          <w:p w14:paraId="7E2044E3" w14:textId="6DB59733" w:rsidR="00C223C9" w:rsidRDefault="00C223C9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-0,0068</w:t>
            </w:r>
          </w:p>
        </w:tc>
        <w:tc>
          <w:tcPr>
            <w:tcW w:w="1563" w:type="dxa"/>
          </w:tcPr>
          <w:p w14:paraId="36FFA137" w14:textId="01F4D067" w:rsidR="00C223C9" w:rsidRDefault="000215F3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461562">
              <w:t>339</w:t>
            </w:r>
          </w:p>
        </w:tc>
        <w:tc>
          <w:tcPr>
            <w:tcW w:w="1303" w:type="dxa"/>
          </w:tcPr>
          <w:p w14:paraId="07D8926D" w14:textId="7E38C225" w:rsidR="00C223C9" w:rsidRDefault="00FF683C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83C">
              <w:t>0,9243</w:t>
            </w:r>
          </w:p>
        </w:tc>
        <w:tc>
          <w:tcPr>
            <w:tcW w:w="1530" w:type="dxa"/>
          </w:tcPr>
          <w:p w14:paraId="1A76121A" w14:textId="02C94B3E" w:rsidR="00C223C9" w:rsidRDefault="00316912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461562">
              <w:t>3456</w:t>
            </w:r>
          </w:p>
        </w:tc>
      </w:tr>
      <w:tr w:rsidR="00C223C9" w14:paraId="3A36D2F7" w14:textId="77777777" w:rsidTr="00461562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</w:tcBorders>
          </w:tcPr>
          <w:p w14:paraId="49382D37" w14:textId="77777777" w:rsidR="00C223C9" w:rsidRDefault="00C223C9" w:rsidP="002D1B01">
            <w:r>
              <w:t>AdaBoostM1</w:t>
            </w:r>
          </w:p>
        </w:tc>
        <w:tc>
          <w:tcPr>
            <w:tcW w:w="1695" w:type="dxa"/>
          </w:tcPr>
          <w:p w14:paraId="0B2B6057" w14:textId="3378C45C" w:rsidR="00C223C9" w:rsidRDefault="00C223C9" w:rsidP="002D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-0,0131</w:t>
            </w:r>
          </w:p>
        </w:tc>
        <w:tc>
          <w:tcPr>
            <w:tcW w:w="1563" w:type="dxa"/>
          </w:tcPr>
          <w:p w14:paraId="1A1B966A" w14:textId="70EC36D8" w:rsidR="00C223C9" w:rsidRDefault="00461562" w:rsidP="002D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0,2944</w:t>
            </w:r>
          </w:p>
        </w:tc>
        <w:tc>
          <w:tcPr>
            <w:tcW w:w="1303" w:type="dxa"/>
          </w:tcPr>
          <w:p w14:paraId="2F662BD0" w14:textId="6AF4FFD5" w:rsidR="00C223C9" w:rsidRDefault="00FF683C" w:rsidP="002D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0,3027</w:t>
            </w:r>
          </w:p>
        </w:tc>
        <w:tc>
          <w:tcPr>
            <w:tcW w:w="1530" w:type="dxa"/>
          </w:tcPr>
          <w:p w14:paraId="7DAB9317" w14:textId="4AE03AB2" w:rsidR="00C223C9" w:rsidRDefault="00316912" w:rsidP="002D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461562">
              <w:t>1694</w:t>
            </w:r>
          </w:p>
        </w:tc>
      </w:tr>
      <w:tr w:rsidR="00461562" w14:paraId="6081AC86" w14:textId="77777777" w:rsidTr="0083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</w:tcBorders>
          </w:tcPr>
          <w:p w14:paraId="64482013" w14:textId="77777777" w:rsidR="00C223C9" w:rsidRDefault="00C223C9" w:rsidP="002D1B01">
            <w:r>
              <w:t>RandomForest</w:t>
            </w:r>
          </w:p>
        </w:tc>
        <w:tc>
          <w:tcPr>
            <w:tcW w:w="1695" w:type="dxa"/>
          </w:tcPr>
          <w:p w14:paraId="3E036AA5" w14:textId="321E9294" w:rsidR="00C223C9" w:rsidRDefault="00C223C9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0,0241</w:t>
            </w:r>
          </w:p>
        </w:tc>
        <w:tc>
          <w:tcPr>
            <w:tcW w:w="1563" w:type="dxa"/>
          </w:tcPr>
          <w:p w14:paraId="241F0B71" w14:textId="4F3BEFAB" w:rsidR="00C223C9" w:rsidRDefault="000215F3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0,264</w:t>
            </w:r>
          </w:p>
        </w:tc>
        <w:tc>
          <w:tcPr>
            <w:tcW w:w="1303" w:type="dxa"/>
          </w:tcPr>
          <w:p w14:paraId="5606BD2D" w14:textId="1425294D" w:rsidR="00C223C9" w:rsidRDefault="00FF683C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0,9346</w:t>
            </w:r>
          </w:p>
        </w:tc>
        <w:tc>
          <w:tcPr>
            <w:tcW w:w="1530" w:type="dxa"/>
          </w:tcPr>
          <w:p w14:paraId="5B9439FE" w14:textId="3AC2F618" w:rsidR="00C223C9" w:rsidRDefault="00316912" w:rsidP="002D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461562">
              <w:t>373</w:t>
            </w:r>
          </w:p>
        </w:tc>
      </w:tr>
      <w:tr w:rsidR="00C223C9" w14:paraId="3F567DBA" w14:textId="77777777" w:rsidTr="00461562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bottom w:val="none" w:sz="0" w:space="0" w:color="auto"/>
            </w:tcBorders>
          </w:tcPr>
          <w:p w14:paraId="69C4760E" w14:textId="77777777" w:rsidR="00C223C9" w:rsidRDefault="00C223C9" w:rsidP="002D1B01">
            <w:r>
              <w:t>Logistic</w:t>
            </w:r>
          </w:p>
        </w:tc>
        <w:tc>
          <w:tcPr>
            <w:tcW w:w="1695" w:type="dxa"/>
          </w:tcPr>
          <w:p w14:paraId="30F1EE13" w14:textId="2F55676E" w:rsidR="00C223C9" w:rsidRDefault="00C223C9" w:rsidP="002D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-0,0174</w:t>
            </w:r>
          </w:p>
        </w:tc>
        <w:tc>
          <w:tcPr>
            <w:tcW w:w="1563" w:type="dxa"/>
          </w:tcPr>
          <w:p w14:paraId="4C471376" w14:textId="67EB76DF" w:rsidR="00C223C9" w:rsidRDefault="000215F3" w:rsidP="002D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0,3344</w:t>
            </w:r>
          </w:p>
        </w:tc>
        <w:tc>
          <w:tcPr>
            <w:tcW w:w="1303" w:type="dxa"/>
          </w:tcPr>
          <w:p w14:paraId="5DC2776C" w14:textId="664CE126" w:rsidR="00C223C9" w:rsidRDefault="00FF683C" w:rsidP="002D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0,7151</w:t>
            </w:r>
          </w:p>
        </w:tc>
        <w:tc>
          <w:tcPr>
            <w:tcW w:w="1530" w:type="dxa"/>
          </w:tcPr>
          <w:p w14:paraId="086C571C" w14:textId="1EFDA1A7" w:rsidR="00C223C9" w:rsidRDefault="00316912" w:rsidP="004615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0,3738</w:t>
            </w:r>
          </w:p>
        </w:tc>
      </w:tr>
    </w:tbl>
    <w:p w14:paraId="5A7AFB29" w14:textId="3321B847" w:rsidR="00C223C9" w:rsidRDefault="00461562" w:rsidP="00461562">
      <w:pPr>
        <w:pStyle w:val="Legenda"/>
        <w:jc w:val="center"/>
      </w:pPr>
      <w:r>
        <w:t xml:space="preserve">Tabela </w:t>
      </w:r>
      <w:r w:rsidR="00B942DD">
        <w:fldChar w:fldCharType="begin"/>
      </w:r>
      <w:r w:rsidR="00B942DD">
        <w:instrText xml:space="preserve"> SEQ Tabela \* ARABIC </w:instrText>
      </w:r>
      <w:r w:rsidR="00B942DD">
        <w:fldChar w:fldCharType="separate"/>
      </w:r>
      <w:r w:rsidR="00FD1B6A">
        <w:rPr>
          <w:noProof/>
        </w:rPr>
        <w:t>2</w:t>
      </w:r>
      <w:r w:rsidR="00B942DD">
        <w:rPr>
          <w:noProof/>
        </w:rPr>
        <w:fldChar w:fldCharType="end"/>
      </w:r>
      <w:r>
        <w:t xml:space="preserve"> -</w:t>
      </w:r>
      <w:r w:rsidRPr="00461562">
        <w:t xml:space="preserve"> Porównanie wyników klasyfikacji dla danych z zadania 1.1 i 2.4 </w:t>
      </w:r>
      <w:r>
        <w:t>–</w:t>
      </w:r>
      <w:r w:rsidRPr="00461562">
        <w:t xml:space="preserve"> </w:t>
      </w:r>
      <w:r>
        <w:t>wartość Kappa</w:t>
      </w:r>
    </w:p>
    <w:p w14:paraId="420D528A" w14:textId="77777777" w:rsidR="00BA539B" w:rsidRDefault="0083436F" w:rsidP="00BA539B">
      <w:pPr>
        <w:jc w:val="both"/>
      </w:pPr>
      <w:r>
        <w:t>Dla zbioru danych o klientach na podstawie wskaźnika Kappa nie możemy stwierdzić poprawności żadnego z zastosowanych algorytmów. Taka</w:t>
      </w:r>
      <w:r w:rsidR="00BA539B">
        <w:t xml:space="preserve"> </w:t>
      </w:r>
      <w:r>
        <w:t xml:space="preserve">sama sytuacja występuje dla zbiorów danych bankowych, a </w:t>
      </w:r>
      <w:r w:rsidR="00BA539B">
        <w:t>także</w:t>
      </w:r>
      <w:r>
        <w:t xml:space="preserve"> AutoMPG. </w:t>
      </w:r>
      <w:r w:rsidR="00BA539B">
        <w:t>Jedynie dane GlassData posiadają wartości wskaźnika Kappa dla algorytmów J48, JRip oraz RandomForest pozwalające uznać klasyfikację za doskonałą oraz średnią dla algorytmów NavieBayes i Logistic. Jedynie AdaBoostM1 posiada wartość pozwalającą określić klasyfikację jako niedostateczną.</w:t>
      </w:r>
    </w:p>
    <w:p w14:paraId="1ADD2827" w14:textId="7C7A154E" w:rsidR="00BA539B" w:rsidRDefault="00BA539B" w:rsidP="00BA539B">
      <w:pPr>
        <w:pStyle w:val="Nagwek2"/>
        <w:ind w:firstLine="708"/>
      </w:pPr>
      <w:r>
        <w:t xml:space="preserve">Ocena klasyfikatorów z wykorzystaniem krzywych ROC </w:t>
      </w:r>
    </w:p>
    <w:p w14:paraId="72904027" w14:textId="041C7781" w:rsidR="00BA539B" w:rsidRDefault="00DA20C4" w:rsidP="00E46B4C">
      <w:pPr>
        <w:jc w:val="both"/>
      </w:pPr>
      <w:r>
        <w:t xml:space="preserve">Model powstały w poprzednim etapie został rozszerzony o wizualizację krzywej ROC, a także moduł pozwalający określić klasę pozytywną </w:t>
      </w:r>
      <w:r w:rsidR="00E46B4C">
        <w:t>zmiennej wyjściowej.</w:t>
      </w:r>
    </w:p>
    <w:p w14:paraId="4C5FB83E" w14:textId="393FC629" w:rsidR="00E46B4C" w:rsidRDefault="00E46B4C" w:rsidP="00E46B4C">
      <w:pPr>
        <w:jc w:val="both"/>
      </w:pPr>
      <w:r>
        <w:t>Krzywa ROC dla danych o klientach podając jako klasę pozytywną najwyższy przedział wartości zakupów czyli 150-250 została zaprezentowana na Rysunku 1.</w:t>
      </w:r>
    </w:p>
    <w:p w14:paraId="4C6246CD" w14:textId="6B53A8AE" w:rsidR="00E46B4C" w:rsidRDefault="00E46B4C" w:rsidP="00E46B4C">
      <w:pPr>
        <w:keepNext/>
        <w:spacing w:before="24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AF4DE9" wp14:editId="75866151">
            <wp:simplePos x="0" y="0"/>
            <wp:positionH relativeFrom="column">
              <wp:posOffset>121285</wp:posOffset>
            </wp:positionH>
            <wp:positionV relativeFrom="paragraph">
              <wp:posOffset>635</wp:posOffset>
            </wp:positionV>
            <wp:extent cx="4010025" cy="3086100"/>
            <wp:effectExtent l="0" t="0" r="952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0"/>
                    <a:stretch/>
                  </pic:blipFill>
                  <pic:spPr bwMode="auto">
                    <a:xfrm>
                      <a:off x="0" y="0"/>
                      <a:ext cx="4010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6A5684" w14:textId="037B19C5" w:rsidR="00E46B4C" w:rsidRDefault="00E46B4C" w:rsidP="00E46B4C">
      <w:pPr>
        <w:pStyle w:val="Legenda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3CA01B" wp14:editId="55E4F18F">
            <wp:simplePos x="0" y="0"/>
            <wp:positionH relativeFrom="column">
              <wp:posOffset>4274185</wp:posOffset>
            </wp:positionH>
            <wp:positionV relativeFrom="paragraph">
              <wp:posOffset>192405</wp:posOffset>
            </wp:positionV>
            <wp:extent cx="2019300" cy="1419225"/>
            <wp:effectExtent l="0" t="0" r="0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F7434" w14:textId="65AB7B6A" w:rsidR="00E46B4C" w:rsidRDefault="00E46B4C" w:rsidP="00E46B4C">
      <w:pPr>
        <w:pStyle w:val="Legenda"/>
        <w:jc w:val="center"/>
      </w:pPr>
    </w:p>
    <w:p w14:paraId="4456438B" w14:textId="5572486C" w:rsidR="00E46B4C" w:rsidRDefault="00E46B4C" w:rsidP="00E46B4C">
      <w:pPr>
        <w:pStyle w:val="Legenda"/>
        <w:jc w:val="center"/>
      </w:pPr>
    </w:p>
    <w:p w14:paraId="48841B20" w14:textId="360997AF" w:rsidR="00E46B4C" w:rsidRDefault="00E46B4C" w:rsidP="00E46B4C">
      <w:pPr>
        <w:pStyle w:val="Legenda"/>
        <w:jc w:val="center"/>
      </w:pPr>
    </w:p>
    <w:p w14:paraId="29692507" w14:textId="77777777" w:rsidR="00E46B4C" w:rsidRDefault="00E46B4C" w:rsidP="00E46B4C">
      <w:pPr>
        <w:pStyle w:val="Legenda"/>
        <w:jc w:val="center"/>
      </w:pPr>
    </w:p>
    <w:p w14:paraId="00C61B61" w14:textId="77777777" w:rsidR="00E46B4C" w:rsidRDefault="00E46B4C" w:rsidP="00E46B4C">
      <w:pPr>
        <w:pStyle w:val="Legenda"/>
        <w:jc w:val="center"/>
      </w:pPr>
    </w:p>
    <w:p w14:paraId="31913A9F" w14:textId="34AE3139" w:rsidR="00E46B4C" w:rsidRDefault="00E46B4C" w:rsidP="00E46B4C">
      <w:pPr>
        <w:pStyle w:val="Legenda"/>
        <w:tabs>
          <w:tab w:val="center" w:pos="4536"/>
          <w:tab w:val="right" w:pos="9072"/>
        </w:tabs>
      </w:pPr>
      <w:r>
        <w:tab/>
        <w:t xml:space="preserve">Rysunek </w:t>
      </w:r>
      <w:r w:rsidR="00B942DD">
        <w:fldChar w:fldCharType="begin"/>
      </w:r>
      <w:r w:rsidR="00B942DD">
        <w:instrText xml:space="preserve"> SEQ Rysunek \* ARABIC </w:instrText>
      </w:r>
      <w:r w:rsidR="00B942DD">
        <w:fldChar w:fldCharType="separate"/>
      </w:r>
      <w:r w:rsidR="00FD1B6A">
        <w:rPr>
          <w:noProof/>
        </w:rPr>
        <w:t>1</w:t>
      </w:r>
      <w:r w:rsidR="00B942DD">
        <w:rPr>
          <w:noProof/>
        </w:rPr>
        <w:fldChar w:fldCharType="end"/>
      </w:r>
      <w:r>
        <w:t xml:space="preserve"> - Krzywa ROC dla danych o klientach (klasa pozytywna - przedział kwoty zakupu 150-250)</w:t>
      </w:r>
      <w:r>
        <w:tab/>
      </w:r>
    </w:p>
    <w:p w14:paraId="7393B290" w14:textId="321079CA" w:rsidR="00E46B4C" w:rsidRDefault="00E46B4C" w:rsidP="00E46B4C">
      <w:pPr>
        <w:jc w:val="both"/>
      </w:pPr>
      <w:r>
        <w:t xml:space="preserve">Z powyższego rysunku ciężko jest zadecydować, który z użytych klasyfikatorów można uznać za najlepszy. Wszystkie </w:t>
      </w:r>
      <w:r w:rsidR="00AA64F7">
        <w:t xml:space="preserve">AUC oscylują w okolicach 0,5 zatem możemy uznać, że mamy do czynienia z klasyfikatorami losowymi. </w:t>
      </w:r>
    </w:p>
    <w:p w14:paraId="3D1D16D8" w14:textId="3DB8D67F" w:rsidR="00AA64F7" w:rsidRDefault="00AA64F7" w:rsidP="00E46B4C">
      <w:pPr>
        <w:jc w:val="both"/>
      </w:pPr>
      <w:r>
        <w:lastRenderedPageBreak/>
        <w:t>Dla danych bankowych również podjęto się zastosowania klasyfikatorów z wykorzystaniem krzywej ROC. W tym celu jako klasę pozytywną wybrano kolejno „</w:t>
      </w:r>
      <w:proofErr w:type="spellStart"/>
      <w:r>
        <w:t>yes</w:t>
      </w:r>
      <w:proofErr w:type="spellEnd"/>
      <w:r>
        <w:t>” oraz „no” zmiennej wyjściowej „y”. Krzywa ROC dla „</w:t>
      </w:r>
      <w:proofErr w:type="spellStart"/>
      <w:r>
        <w:t>yes</w:t>
      </w:r>
      <w:proofErr w:type="spellEnd"/>
      <w:r>
        <w:t>” została zaprezentowana na Rysunku 2.</w:t>
      </w:r>
    </w:p>
    <w:p w14:paraId="22CEA4B2" w14:textId="228A0001" w:rsidR="00AA64F7" w:rsidRDefault="00C5687D" w:rsidP="00AA64F7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3618A3" wp14:editId="3A35D67B">
            <wp:simplePos x="0" y="0"/>
            <wp:positionH relativeFrom="margin">
              <wp:posOffset>-229235</wp:posOffset>
            </wp:positionH>
            <wp:positionV relativeFrom="paragraph">
              <wp:posOffset>7620</wp:posOffset>
            </wp:positionV>
            <wp:extent cx="3676650" cy="294132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68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22AB0" wp14:editId="4EFC7DE0">
            <wp:extent cx="1838325" cy="14287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0337" w14:textId="0C2EC03E" w:rsidR="00AA64F7" w:rsidRDefault="00AA64F7" w:rsidP="00AA64F7">
      <w:pPr>
        <w:jc w:val="center"/>
      </w:pPr>
    </w:p>
    <w:p w14:paraId="7891BB86" w14:textId="064D136A" w:rsidR="00C5687D" w:rsidRDefault="00C5687D" w:rsidP="00AA64F7">
      <w:pPr>
        <w:jc w:val="center"/>
      </w:pPr>
    </w:p>
    <w:p w14:paraId="55EE8B4B" w14:textId="3B62A885" w:rsidR="00C5687D" w:rsidRDefault="00C5687D" w:rsidP="00AA64F7">
      <w:pPr>
        <w:jc w:val="center"/>
      </w:pPr>
    </w:p>
    <w:p w14:paraId="52E7BBD9" w14:textId="1F1E6341" w:rsidR="00C5687D" w:rsidRDefault="00C5687D" w:rsidP="00AA64F7">
      <w:pPr>
        <w:jc w:val="center"/>
      </w:pPr>
    </w:p>
    <w:p w14:paraId="69115A6E" w14:textId="232EFB42" w:rsidR="00C5687D" w:rsidRDefault="00C5687D" w:rsidP="0022471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1311B" wp14:editId="6E13A8CF">
                <wp:simplePos x="0" y="0"/>
                <wp:positionH relativeFrom="page">
                  <wp:align>right</wp:align>
                </wp:positionH>
                <wp:positionV relativeFrom="paragraph">
                  <wp:posOffset>225425</wp:posOffset>
                </wp:positionV>
                <wp:extent cx="7056120" cy="635"/>
                <wp:effectExtent l="0" t="0" r="0" b="0"/>
                <wp:wrapSquare wrapText="bothSides"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9B1A8" w14:textId="4CEACD95" w:rsidR="00C5687D" w:rsidRPr="004B77F2" w:rsidRDefault="00C5687D" w:rsidP="00C5687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B942DD">
                              <w:fldChar w:fldCharType="begin"/>
                            </w:r>
                            <w:r w:rsidR="00B942DD">
                              <w:instrText xml:space="preserve"> SEQ Rysunek \* ARABIC </w:instrText>
                            </w:r>
                            <w:r w:rsidR="00B942DD">
                              <w:fldChar w:fldCharType="separate"/>
                            </w:r>
                            <w:r w:rsidR="00FD1B6A">
                              <w:rPr>
                                <w:noProof/>
                              </w:rPr>
                              <w:t>2</w:t>
                            </w:r>
                            <w:r w:rsidR="00B942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Krzywa ROC dla danych bankowych (klasa pozytywna – </w:t>
                            </w:r>
                            <w:proofErr w:type="spellStart"/>
                            <w:r>
                              <w:t>yes</w:t>
                            </w:r>
                            <w:proofErr w:type="spellEnd"/>
                            <w:r>
                              <w:t xml:space="preserve"> dla zmiennej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C1311B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504.4pt;margin-top:17.75pt;width:555.6pt;height:.05pt;z-index:2516623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" stroked="f">
                <v:textbox style="mso-fit-shape-to-text:t" inset="0,0,0,0">
                  <w:txbxContent>
                    <w:p w14:paraId="7179B1A8" w14:textId="4CEACD95" w:rsidR="00C5687D" w:rsidRPr="004B77F2" w:rsidRDefault="00C5687D" w:rsidP="00C5687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B942DD">
                        <w:fldChar w:fldCharType="begin"/>
                      </w:r>
                      <w:r w:rsidR="00B942DD">
                        <w:instrText xml:space="preserve"> SEQ Rysunek \* ARABIC </w:instrText>
                      </w:r>
                      <w:r w:rsidR="00B942DD">
                        <w:fldChar w:fldCharType="separate"/>
                      </w:r>
                      <w:r w:rsidR="00FD1B6A">
                        <w:rPr>
                          <w:noProof/>
                        </w:rPr>
                        <w:t>2</w:t>
                      </w:r>
                      <w:r w:rsidR="00B942DD">
                        <w:rPr>
                          <w:noProof/>
                        </w:rPr>
                        <w:fldChar w:fldCharType="end"/>
                      </w:r>
                      <w:r>
                        <w:t xml:space="preserve"> - Krzywa ROC dla danych bankowych (klasa pozytywna – </w:t>
                      </w:r>
                      <w:proofErr w:type="spellStart"/>
                      <w:r>
                        <w:t>yes</w:t>
                      </w:r>
                      <w:proofErr w:type="spellEnd"/>
                      <w:r>
                        <w:t xml:space="preserve"> dla zmiennej y)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3F89E63" w14:textId="3914753E" w:rsidR="00AA64F7" w:rsidRDefault="00EF2496" w:rsidP="00EF2496">
      <w:pPr>
        <w:jc w:val="both"/>
      </w:pPr>
      <w:r>
        <w:t>Jak widać na Rysunku 2 użyte przez nas algorytmy mają podobne wyniki AUC (wizualnie wyjątek stanowi RandomForest z powodu użycia mniejszej ilości drzew) oscylujące w okolicach 0,7. Taki wynik sprawia, że pole jest bardziej wypukłe, jednak w dalszym ciągu daleko mu do idealnego poziomu.</w:t>
      </w:r>
    </w:p>
    <w:p w14:paraId="60E29C98" w14:textId="433AD368" w:rsidR="00EF2496" w:rsidRDefault="0022471E" w:rsidP="00EF2496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57A016" wp14:editId="32520074">
            <wp:simplePos x="0" y="0"/>
            <wp:positionH relativeFrom="margin">
              <wp:posOffset>-183515</wp:posOffset>
            </wp:positionH>
            <wp:positionV relativeFrom="paragraph">
              <wp:posOffset>259715</wp:posOffset>
            </wp:positionV>
            <wp:extent cx="3680460" cy="2943860"/>
            <wp:effectExtent l="0" t="0" r="0" b="889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496">
        <w:t>Dla wartości „no” zmiennej „y” wykres ROC został przedstawiony na Rysunku 3.</w:t>
      </w:r>
    </w:p>
    <w:p w14:paraId="20EA0274" w14:textId="6C985A4A" w:rsidR="0022471E" w:rsidRDefault="0022471E" w:rsidP="00EF2496">
      <w:pPr>
        <w:jc w:val="both"/>
        <w:rPr>
          <w:noProof/>
        </w:rPr>
      </w:pPr>
      <w:r w:rsidRPr="0022471E">
        <w:rPr>
          <w:noProof/>
        </w:rPr>
        <w:t xml:space="preserve"> </w:t>
      </w:r>
    </w:p>
    <w:p w14:paraId="07375D20" w14:textId="77777777" w:rsidR="0022471E" w:rsidRDefault="0022471E" w:rsidP="00EF2496">
      <w:pPr>
        <w:jc w:val="both"/>
        <w:rPr>
          <w:noProof/>
        </w:rPr>
      </w:pPr>
    </w:p>
    <w:p w14:paraId="259084C1" w14:textId="40D06930" w:rsidR="0022471E" w:rsidRDefault="0022471E" w:rsidP="00EF249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6603A18" wp14:editId="04A17487">
            <wp:extent cx="1724025" cy="14382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26E9F" wp14:editId="4D52C0A7">
                <wp:simplePos x="0" y="0"/>
                <wp:positionH relativeFrom="page">
                  <wp:align>right</wp:align>
                </wp:positionH>
                <wp:positionV relativeFrom="paragraph">
                  <wp:posOffset>2411730</wp:posOffset>
                </wp:positionV>
                <wp:extent cx="6979920" cy="182880"/>
                <wp:effectExtent l="0" t="0" r="0" b="7620"/>
                <wp:wrapSquare wrapText="bothSides"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C0A74" w14:textId="258D1458" w:rsidR="0022471E" w:rsidRPr="00B754CA" w:rsidRDefault="0022471E" w:rsidP="0022471E">
                            <w:pPr>
                              <w:pStyle w:val="Legenda"/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B942DD">
                              <w:fldChar w:fldCharType="begin"/>
                            </w:r>
                            <w:r w:rsidR="00B942DD">
                              <w:instrText xml:space="preserve"> SEQ Rysunek \* ARABIC </w:instrText>
                            </w:r>
                            <w:r w:rsidR="00B942DD">
                              <w:fldChar w:fldCharType="separate"/>
                            </w:r>
                            <w:r w:rsidR="00FD1B6A">
                              <w:rPr>
                                <w:noProof/>
                              </w:rPr>
                              <w:t>3</w:t>
                            </w:r>
                            <w:r w:rsidR="00B942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</w:t>
                            </w:r>
                            <w:r w:rsidRPr="0022471E">
                              <w:t xml:space="preserve"> Krzywa ROC dla danych bankowych (klasa pozytywna – </w:t>
                            </w:r>
                            <w:r>
                              <w:t>no</w:t>
                            </w:r>
                            <w:r w:rsidRPr="0022471E">
                              <w:t xml:space="preserve"> dla zmiennej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6E9F" id="Pole tekstowe 8" o:spid="_x0000_s1027" type="#_x0000_t202" style="position:absolute;left:0;text-align:left;margin-left:498.4pt;margin-top:189.9pt;width:549.6pt;height:14.4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" stroked="f">
                <v:textbox inset="0,0,0,0">
                  <w:txbxContent>
                    <w:p w14:paraId="21FC0A74" w14:textId="258D1458" w:rsidR="0022471E" w:rsidRPr="00B754CA" w:rsidRDefault="0022471E" w:rsidP="0022471E">
                      <w:pPr>
                        <w:pStyle w:val="Legenda"/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B942DD">
                        <w:fldChar w:fldCharType="begin"/>
                      </w:r>
                      <w:r w:rsidR="00B942DD">
                        <w:instrText xml:space="preserve"> SEQ Rysunek \* ARABIC </w:instrText>
                      </w:r>
                      <w:r w:rsidR="00B942DD">
                        <w:fldChar w:fldCharType="separate"/>
                      </w:r>
                      <w:r w:rsidR="00FD1B6A">
                        <w:rPr>
                          <w:noProof/>
                        </w:rPr>
                        <w:t>3</w:t>
                      </w:r>
                      <w:r w:rsidR="00B942DD">
                        <w:rPr>
                          <w:noProof/>
                        </w:rPr>
                        <w:fldChar w:fldCharType="end"/>
                      </w:r>
                      <w:r>
                        <w:t xml:space="preserve"> -</w:t>
                      </w:r>
                      <w:r w:rsidRPr="0022471E">
                        <w:t xml:space="preserve"> Krzywa ROC dla danych bankowych (klasa pozytywna – </w:t>
                      </w:r>
                      <w:r>
                        <w:t>no</w:t>
                      </w:r>
                      <w:r w:rsidRPr="0022471E">
                        <w:t xml:space="preserve"> dla zmiennej y)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40F8AC9" w14:textId="77777777" w:rsidR="0022471E" w:rsidRDefault="0022471E" w:rsidP="00EF2496">
      <w:pPr>
        <w:jc w:val="both"/>
        <w:rPr>
          <w:noProof/>
        </w:rPr>
      </w:pPr>
    </w:p>
    <w:p w14:paraId="4833CCAA" w14:textId="41000F4C" w:rsidR="0022471E" w:rsidRDefault="0022471E" w:rsidP="00EF2496">
      <w:pPr>
        <w:jc w:val="both"/>
        <w:rPr>
          <w:noProof/>
        </w:rPr>
      </w:pPr>
    </w:p>
    <w:p w14:paraId="3A57AF8D" w14:textId="26F2C36A" w:rsidR="0022471E" w:rsidRDefault="0022471E" w:rsidP="00EF2496">
      <w:pPr>
        <w:jc w:val="both"/>
        <w:rPr>
          <w:noProof/>
        </w:rPr>
      </w:pPr>
    </w:p>
    <w:p w14:paraId="36B2CB4B" w14:textId="58C26B1D" w:rsidR="00EF2496" w:rsidRDefault="0022471E" w:rsidP="00EF2496">
      <w:pPr>
        <w:jc w:val="both"/>
        <w:rPr>
          <w:noProof/>
        </w:rPr>
      </w:pPr>
      <w:r>
        <w:rPr>
          <w:noProof/>
        </w:rPr>
        <w:t>Dla wartości „no” zmiennej „y” również możemy zaobserwować wyniki oscylujące w okolocach 0,7, zatem skuteczność wykrywaniaobiektów dla klasy pozytywnej „yes” oraz „no” jest taka sama. W zwiazku z tym możemy stwierdzić, że dokładność rozpoznania klientów, którzy założą lokatę jest taka sama jak dla klientów, którzy jej nie założą.</w:t>
      </w:r>
      <w:bookmarkEnd w:id="1"/>
    </w:p>
    <w:p w14:paraId="35940E61" w14:textId="0815F35B" w:rsidR="00173BC4" w:rsidRDefault="00173BC4" w:rsidP="00173BC4">
      <w:pPr>
        <w:pStyle w:val="Nagwek2"/>
        <w:ind w:firstLine="708"/>
      </w:pPr>
      <w:r>
        <w:lastRenderedPageBreak/>
        <w:t>Zapoznaj się z innymi przykładami funkcjonalności Knowledge Flow</w:t>
      </w:r>
    </w:p>
    <w:p w14:paraId="4D25B13D" w14:textId="05D718F1" w:rsidR="00173BC4" w:rsidRDefault="00173BC4" w:rsidP="00173BC4">
      <w:pPr>
        <w:jc w:val="both"/>
      </w:pPr>
      <w:r>
        <w:t>Dla zboru danych bankowych zostało zastosowanie przetwarzanie strumieniowe z wykorzystaniem klasyfikatora IBk. Wyniki analizy zostały zapisane do pliku 238359_bank_e3.txt. Jeżeli chodzi o procentową poprawność klasyfikacji to kształtuje się ona na poziomie 63,47% co nie jest najlepszym wynikiem. Potwierdza to również wartość wskaźnika Kappa wynosząca zaledwie 0,2126.</w:t>
      </w:r>
    </w:p>
    <w:p w14:paraId="27E49877" w14:textId="6C3B0C69" w:rsidR="00173BC4" w:rsidRPr="00173BC4" w:rsidRDefault="00B26157" w:rsidP="00173BC4">
      <w:pPr>
        <w:jc w:val="both"/>
      </w:pPr>
      <w:r>
        <w:t>Program Weka Knowledge Flow</w:t>
      </w:r>
      <w:r w:rsidR="00344247">
        <w:t xml:space="preserve"> pozwala nam na zastosowanie parametryzacji procesu. W związku z tym zastosowano ją dla danych bankowych oraz danych o klientach wybierając wcześniej już użyte algorytmy klasyfikacji (J48, JRip, NaiveBayes, RandomForest, AdaBoostM1 oraz Logistic). Wyniki zostały zapisane w pliku 238359_zadanie_e4.txt. Takie rozwiązanie pozwala nam zobaczyć jakie reguły zostały zastosowane w danym algorytmie podczas klasyfikacji czyli jaka wartość danej zmiennej pozwala nam określić do jakiej grupy zostanie zaklasyfikowany </w:t>
      </w:r>
      <w:bookmarkStart w:id="2" w:name="_GoBack"/>
      <w:bookmarkEnd w:id="2"/>
      <w:r w:rsidR="00344247">
        <w:t>dany obiekt.</w:t>
      </w:r>
    </w:p>
    <w:sectPr w:rsidR="00173BC4" w:rsidRPr="00173BC4" w:rsidSect="00184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84F97" w14:textId="77777777" w:rsidR="00B942DD" w:rsidRDefault="00B942DD" w:rsidP="00685FDF">
      <w:pPr>
        <w:spacing w:after="0" w:line="240" w:lineRule="auto"/>
      </w:pPr>
      <w:r>
        <w:separator/>
      </w:r>
    </w:p>
  </w:endnote>
  <w:endnote w:type="continuationSeparator" w:id="0">
    <w:p w14:paraId="0759CB21" w14:textId="77777777" w:rsidR="00B942DD" w:rsidRDefault="00B942DD" w:rsidP="00685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3BB5E" w14:textId="77777777" w:rsidR="00B942DD" w:rsidRDefault="00B942DD" w:rsidP="00685FDF">
      <w:pPr>
        <w:spacing w:after="0" w:line="240" w:lineRule="auto"/>
      </w:pPr>
      <w:r>
        <w:separator/>
      </w:r>
    </w:p>
  </w:footnote>
  <w:footnote w:type="continuationSeparator" w:id="0">
    <w:p w14:paraId="09B6EC81" w14:textId="77777777" w:rsidR="00B942DD" w:rsidRDefault="00B942DD" w:rsidP="00685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05F1"/>
    <w:multiLevelType w:val="hybridMultilevel"/>
    <w:tmpl w:val="0D0005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D8"/>
    <w:rsid w:val="00014D13"/>
    <w:rsid w:val="000215F3"/>
    <w:rsid w:val="00024E51"/>
    <w:rsid w:val="00035B2B"/>
    <w:rsid w:val="00047876"/>
    <w:rsid w:val="0008173E"/>
    <w:rsid w:val="000B3FB1"/>
    <w:rsid w:val="000D1752"/>
    <w:rsid w:val="000E23A6"/>
    <w:rsid w:val="000E6F56"/>
    <w:rsid w:val="00135DDC"/>
    <w:rsid w:val="00173BC4"/>
    <w:rsid w:val="00184287"/>
    <w:rsid w:val="00193012"/>
    <w:rsid w:val="001A69C2"/>
    <w:rsid w:val="001B513A"/>
    <w:rsid w:val="001D6956"/>
    <w:rsid w:val="002002FB"/>
    <w:rsid w:val="0020205F"/>
    <w:rsid w:val="002129CF"/>
    <w:rsid w:val="0022471E"/>
    <w:rsid w:val="00224DA4"/>
    <w:rsid w:val="00234A12"/>
    <w:rsid w:val="00286F59"/>
    <w:rsid w:val="002A4274"/>
    <w:rsid w:val="002A59F8"/>
    <w:rsid w:val="002A7C32"/>
    <w:rsid w:val="002B617B"/>
    <w:rsid w:val="002C2E66"/>
    <w:rsid w:val="002D13C1"/>
    <w:rsid w:val="002F6C40"/>
    <w:rsid w:val="00316912"/>
    <w:rsid w:val="003354B8"/>
    <w:rsid w:val="00344247"/>
    <w:rsid w:val="00352707"/>
    <w:rsid w:val="0036102A"/>
    <w:rsid w:val="0038136F"/>
    <w:rsid w:val="003875C6"/>
    <w:rsid w:val="003A5381"/>
    <w:rsid w:val="003C0194"/>
    <w:rsid w:val="003E0AFF"/>
    <w:rsid w:val="004144C3"/>
    <w:rsid w:val="00461562"/>
    <w:rsid w:val="004A5129"/>
    <w:rsid w:val="004D3A72"/>
    <w:rsid w:val="005076E3"/>
    <w:rsid w:val="00545ECF"/>
    <w:rsid w:val="00577B0A"/>
    <w:rsid w:val="005A744A"/>
    <w:rsid w:val="005D6F14"/>
    <w:rsid w:val="005E0556"/>
    <w:rsid w:val="005F6297"/>
    <w:rsid w:val="00614FD3"/>
    <w:rsid w:val="00616D99"/>
    <w:rsid w:val="00627AAA"/>
    <w:rsid w:val="00634029"/>
    <w:rsid w:val="00666150"/>
    <w:rsid w:val="00685FDF"/>
    <w:rsid w:val="00692300"/>
    <w:rsid w:val="006A24C3"/>
    <w:rsid w:val="006A5B76"/>
    <w:rsid w:val="006B27E0"/>
    <w:rsid w:val="006B6415"/>
    <w:rsid w:val="006F5984"/>
    <w:rsid w:val="00704351"/>
    <w:rsid w:val="00711487"/>
    <w:rsid w:val="0071604E"/>
    <w:rsid w:val="00723441"/>
    <w:rsid w:val="00726A64"/>
    <w:rsid w:val="0077673E"/>
    <w:rsid w:val="00786B34"/>
    <w:rsid w:val="007948F0"/>
    <w:rsid w:val="007A18F3"/>
    <w:rsid w:val="007A7BCB"/>
    <w:rsid w:val="007B7852"/>
    <w:rsid w:val="007F27AF"/>
    <w:rsid w:val="0080488C"/>
    <w:rsid w:val="0081675E"/>
    <w:rsid w:val="0082337C"/>
    <w:rsid w:val="0082558E"/>
    <w:rsid w:val="0083436F"/>
    <w:rsid w:val="00841FD8"/>
    <w:rsid w:val="00867C01"/>
    <w:rsid w:val="0087708C"/>
    <w:rsid w:val="00890E3D"/>
    <w:rsid w:val="008C1968"/>
    <w:rsid w:val="008C1AF2"/>
    <w:rsid w:val="00930F7B"/>
    <w:rsid w:val="00934E86"/>
    <w:rsid w:val="0094444D"/>
    <w:rsid w:val="00947474"/>
    <w:rsid w:val="00976385"/>
    <w:rsid w:val="009A7433"/>
    <w:rsid w:val="009B44CB"/>
    <w:rsid w:val="009C6CE6"/>
    <w:rsid w:val="00A231D7"/>
    <w:rsid w:val="00A33CC0"/>
    <w:rsid w:val="00A37D82"/>
    <w:rsid w:val="00A7109D"/>
    <w:rsid w:val="00A81109"/>
    <w:rsid w:val="00AA32C4"/>
    <w:rsid w:val="00AA64F7"/>
    <w:rsid w:val="00AC1A62"/>
    <w:rsid w:val="00B01884"/>
    <w:rsid w:val="00B2211D"/>
    <w:rsid w:val="00B25CE5"/>
    <w:rsid w:val="00B26157"/>
    <w:rsid w:val="00B4713F"/>
    <w:rsid w:val="00B501A9"/>
    <w:rsid w:val="00B50A3C"/>
    <w:rsid w:val="00B52597"/>
    <w:rsid w:val="00B5351F"/>
    <w:rsid w:val="00B547B6"/>
    <w:rsid w:val="00B6226E"/>
    <w:rsid w:val="00B643A7"/>
    <w:rsid w:val="00B65C3B"/>
    <w:rsid w:val="00B942DD"/>
    <w:rsid w:val="00BA539B"/>
    <w:rsid w:val="00BC3CA6"/>
    <w:rsid w:val="00BC7908"/>
    <w:rsid w:val="00BD2DB0"/>
    <w:rsid w:val="00C06604"/>
    <w:rsid w:val="00C21D88"/>
    <w:rsid w:val="00C223C9"/>
    <w:rsid w:val="00C46BB9"/>
    <w:rsid w:val="00C5474F"/>
    <w:rsid w:val="00C5687D"/>
    <w:rsid w:val="00C7310E"/>
    <w:rsid w:val="00C833FA"/>
    <w:rsid w:val="00C847DE"/>
    <w:rsid w:val="00C861B6"/>
    <w:rsid w:val="00C86D08"/>
    <w:rsid w:val="00C930AC"/>
    <w:rsid w:val="00CC0D8E"/>
    <w:rsid w:val="00CC42C8"/>
    <w:rsid w:val="00CD1B7C"/>
    <w:rsid w:val="00CF6FD6"/>
    <w:rsid w:val="00D15549"/>
    <w:rsid w:val="00D3519F"/>
    <w:rsid w:val="00D35E7D"/>
    <w:rsid w:val="00D41271"/>
    <w:rsid w:val="00D57B6E"/>
    <w:rsid w:val="00DA20C4"/>
    <w:rsid w:val="00DA289A"/>
    <w:rsid w:val="00DB5D39"/>
    <w:rsid w:val="00DC0834"/>
    <w:rsid w:val="00DE0DF9"/>
    <w:rsid w:val="00DF463F"/>
    <w:rsid w:val="00DF48B1"/>
    <w:rsid w:val="00E06396"/>
    <w:rsid w:val="00E11999"/>
    <w:rsid w:val="00E34B62"/>
    <w:rsid w:val="00E46B4C"/>
    <w:rsid w:val="00E510D1"/>
    <w:rsid w:val="00E5646D"/>
    <w:rsid w:val="00E9258C"/>
    <w:rsid w:val="00EF2496"/>
    <w:rsid w:val="00EF3CA7"/>
    <w:rsid w:val="00EF3EBB"/>
    <w:rsid w:val="00F2404E"/>
    <w:rsid w:val="00F334E7"/>
    <w:rsid w:val="00F41CE0"/>
    <w:rsid w:val="00F471D6"/>
    <w:rsid w:val="00F5541D"/>
    <w:rsid w:val="00F660F4"/>
    <w:rsid w:val="00F67721"/>
    <w:rsid w:val="00F82985"/>
    <w:rsid w:val="00F82E8B"/>
    <w:rsid w:val="00F92C18"/>
    <w:rsid w:val="00F92E9E"/>
    <w:rsid w:val="00FD1B6A"/>
    <w:rsid w:val="00FD7820"/>
    <w:rsid w:val="00FF0AC1"/>
    <w:rsid w:val="00FF12DB"/>
    <w:rsid w:val="00F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7771"/>
  <w15:chartTrackingRefBased/>
  <w15:docId w15:val="{6D80D7C9-D336-4D15-932C-9DA80E22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6BB9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41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5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41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4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41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614F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A8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35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5B2B"/>
    <w:rPr>
      <w:rFonts w:ascii="Segoe UI" w:hAnsi="Segoe UI" w:cs="Segoe UI"/>
      <w:sz w:val="18"/>
      <w:szCs w:val="18"/>
    </w:rPr>
  </w:style>
  <w:style w:type="table" w:styleId="Tabelasiatki4akcent2">
    <w:name w:val="Grid Table 4 Accent 2"/>
    <w:basedOn w:val="Standardowy"/>
    <w:uiPriority w:val="49"/>
    <w:rsid w:val="00A231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4akcent1">
    <w:name w:val="Grid Table 4 Accent 1"/>
    <w:basedOn w:val="Standardowy"/>
    <w:uiPriority w:val="49"/>
    <w:rsid w:val="002129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D155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siatki4akcent4">
    <w:name w:val="Grid Table 4 Accent 4"/>
    <w:basedOn w:val="Standardowy"/>
    <w:uiPriority w:val="49"/>
    <w:rsid w:val="00D57B6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4akcent6">
    <w:name w:val="Grid Table 4 Accent 6"/>
    <w:basedOn w:val="Standardowy"/>
    <w:uiPriority w:val="49"/>
    <w:rsid w:val="00B622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5F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5F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5FDF"/>
    <w:rPr>
      <w:vertAlign w:val="superscript"/>
    </w:rPr>
  </w:style>
  <w:style w:type="table" w:styleId="Tabelasiatki4akcent5">
    <w:name w:val="Grid Table 4 Accent 5"/>
    <w:basedOn w:val="Standardowy"/>
    <w:uiPriority w:val="49"/>
    <w:rsid w:val="00685F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08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173E"/>
  </w:style>
  <w:style w:type="paragraph" w:styleId="Stopka">
    <w:name w:val="footer"/>
    <w:basedOn w:val="Normalny"/>
    <w:link w:val="StopkaZnak"/>
    <w:uiPriority w:val="99"/>
    <w:unhideWhenUsed/>
    <w:rsid w:val="0008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173E"/>
  </w:style>
  <w:style w:type="table" w:styleId="Tabelasiatki4akcent3">
    <w:name w:val="Grid Table 4 Accent 3"/>
    <w:basedOn w:val="Standardowy"/>
    <w:uiPriority w:val="49"/>
    <w:rsid w:val="00DF463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2">
    <w:name w:val="Grid Table 5 Dark Accent 2"/>
    <w:basedOn w:val="Standardowy"/>
    <w:uiPriority w:val="50"/>
    <w:rsid w:val="00FF0A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siatki5ciemnaakcent6">
    <w:name w:val="Grid Table 5 Dark Accent 6"/>
    <w:basedOn w:val="Standardowy"/>
    <w:uiPriority w:val="50"/>
    <w:rsid w:val="00FF0A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DDAB-9847-4473-A35B-BB625AFD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857</Words>
  <Characters>5144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Szymańska</dc:creator>
  <cp:keywords/>
  <dc:description/>
  <cp:lastModifiedBy>Monika Szymańska</cp:lastModifiedBy>
  <cp:revision>8</cp:revision>
  <cp:lastPrinted>2019-05-01T09:06:00Z</cp:lastPrinted>
  <dcterms:created xsi:type="dcterms:W3CDTF">2019-04-29T12:11:00Z</dcterms:created>
  <dcterms:modified xsi:type="dcterms:W3CDTF">2019-05-01T09:06:00Z</dcterms:modified>
</cp:coreProperties>
</file>