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80"/>
      </w:pPr>
      <w:r>
        <w:rPr>
          <w:b/>
          <w:color w:val="1F4E79"/>
          <w:sz w:val="44"/>
        </w:rPr>
        <w:t>Semana 6: Fundamentos de Ingeniería de Datos</w:t>
      </w:r>
    </w:p>
    <w:p>
      <w:pPr>
        <w:spacing w:after="280"/>
      </w:pPr>
      <w:r>
        <w:rPr>
          <w:i/>
          <w:color w:val="595959"/>
          <w:sz w:val="26"/>
        </w:rPr>
        <w:t>Entrega Integral de Actividades · Optativa 3: Ciencia de Datos</w:t>
      </w:r>
    </w:p>
    <w:p>
      <w:pPr>
        <w:spacing w:after="360"/>
      </w:pPr>
      <w:r>
        <w:rPr>
          <w:b/>
        </w:rPr>
        <w:t xml:space="preserve">Estudiante: </w:t>
      </w:r>
      <w:r>
        <w:t>Samir Mares Benvenuto</w:t>
        <w:br/>
      </w:r>
      <w:r>
        <w:rPr>
          <w:b/>
        </w:rPr>
        <w:t xml:space="preserve">Repositorio GitHub: </w:t>
      </w:r>
      <w:r>
        <w:t>https://github.com/maresamir/optativa3-ciencia-datos</w:t>
        <w:br/>
      </w:r>
      <w:r>
        <w:rPr>
          <w:b/>
        </w:rPr>
        <w:t xml:space="preserve">Directorio del Proyecto: </w:t>
      </w:r>
      <w:r>
        <w:t>semana06_ingenieria_datos/</w:t>
      </w:r>
    </w:p>
    <w:p>
      <w:pPr>
        <w:pStyle w:val="Heading1"/>
      </w:pPr>
      <w:r>
        <w:t>1. Actividad 1: Foro de Mediación (Reflexión Crítica)</w:t>
      </w:r>
    </w:p>
    <w:p>
      <w:pPr>
        <w:spacing w:after="200"/>
        <w:ind w:left="360"/>
      </w:pPr>
      <w:r>
        <w:rPr>
          <w:i/>
          <w:sz w:val="21"/>
        </w:rPr>
        <w:t>Pregunta detonadora: "Se dice que un científico de datos dedica hasta el 80% de su tiempo a preparar y mover datos, no a construir modelos. Si la ingeniería de datos es tan determinante, ¿por qué crees que suele recibir menos reconocimiento que el modelado o la inteligencia artificial? ¿Qué consecuencias tiene para una organización descuidar su infraestructura de datos?"</w:t>
      </w:r>
    </w:p>
    <w:p>
      <w:pPr>
        <w:pStyle w:val="Heading2"/>
      </w:pPr>
      <w:r>
        <w:t>Respuesta Inicial Argumentada (224 palabras)</w:t>
      </w:r>
    </w:p>
    <w:p>
      <w:pPr>
        <w:spacing w:line="276" w:lineRule="auto" w:after="240"/>
      </w:pPr>
      <w:r>
        <w:t>Considero que la ingeniería de datos padece del "sesgo de invisibilidad": cuando las tuberías funcionan a la perfección, el flujo de datos es transparente y los directivos atribuyen el éxito comercial al algoritmo predictivo o a la interfaz del dashboard, ignorando el cimiento que lo sostiene. Tal como señalan Reis y Housley (2022) en Fundamentals of Data Engineering, la ingeniería de datos constituye la base insustituible de la jerarquía de necesidades de la IA; sin ingestión confiable, almacenamiento estructurado y gobernanza, cualquier modelo carece de validez. El modelado analítico se percibe como la "magia visible", mientras que la ingeniería es tratada erróneamente como fontanería operativa.</w:t>
        <w:br/>
        <w:br/>
        <w:t>Descuidar la infraestructura de datos acarrea consecuencias críticas para cualquier organización: silos informativos, costos descontrolados de almacenamiento en la nube, latencias inaceptables y, sobre todo, la proliferación del axioma Garbage In, Garbage Out. Un ejemplo concreto ocurre en el comercio electrónico: si un pipeline ETL no implementa resolución de identidades ni manejo de transacciones duplicadas entre la aplicación móvil y el punto de venta físico, la tabla de hechos registrará compras dobles o clientes inconsistentes. En consecuencia, un modelo de predicción de abandono (churn) o el reporte financiero diario de la gerencia proyectará métricas infladas, provocando decisiones estratégicas millonarias basadas en datos ilusorios.</w:t>
      </w:r>
    </w:p>
    <w:p>
      <w:pPr>
        <w:pStyle w:val="Heading3"/>
      </w:pPr>
      <w:r>
        <w:t>Referencias de Consulta</w:t>
      </w:r>
    </w:p>
    <w:p>
      <w:r>
        <w:t>• Reis, J., &amp; Housley, M. (2022). Fundamentals of Data Engineering: Plan and Build Robust Data Systems. O'Reilly Media.</w:t>
        <w:br/>
        <w:t>• Kimball, R., &amp; Ross, M. (2013). The Data Warehouse Toolkit: The Definitive Guide to Dimensional Modeling (3rd ed.). John Wiley &amp; Sons.</w:t>
      </w:r>
    </w:p>
    <w:p>
      <w:pPr>
        <w:pStyle w:val="Heading3"/>
      </w:pPr>
      <w:r>
        <w:t>Réplicas a Compañeros para el Foro</w:t>
      </w:r>
    </w:p>
    <w:p>
      <w:r>
        <w:rPr>
          <w:b/>
        </w:rPr>
        <w:t xml:space="preserve">Réplica 1 (Sobre deuda técnica y contratos de datos): </w:t>
      </w:r>
      <w:r>
        <w:t>Coincido plenamente con tu apreciación sobre el marketing tecnológico. Me gustaría complementar tu argumento señalando que la falta de reconocimiento también se debe a que la deuda técnica en infraestructura no se manifiesta de inmediato, sino como una erosión silenciosa. Cuando una organización prioriza contratar únicamente científicos de datos y omite a los ingenieros de datos, fuerza a los primeros a diseñar scripts ad-hoc frágiles para extraer datos. Un caso emblemático es cuando la fuente operacional cambia un tipo de dato (por ejemplo, de INT a VARCHAR) y los scripts sin validación de esquemas rompen los dashboards de toma de decisiones en plena temporada alta. La ingeniería de datos no solo mueve bytes; implementa contratos de datos (data contracts) que salvaguardan la integridad de la organización.</w:t>
      </w:r>
    </w:p>
    <w:p>
      <w:r>
        <w:rPr>
          <w:b/>
        </w:rPr>
        <w:t xml:space="preserve">Réplica 2 (Sobre la ilusión del Data Lake y costos en la nube): </w:t>
      </w:r>
      <w:r>
        <w:t>Agradezco mucho tu perspectiva, ya que toca el auge del paradigma ELT y las herramientas modernas de autoservicio. No obstante, quisiera poner sobre la mesa una objeción: adoptar la postura de 'subir todo crudo al Data Lake y resolver después' sin una ingeniería rigurosa suele derivar en un Data Swamp (pantano de datos). Sin un modelado dimensional adecuado (como los principios de Kimball) y sin pipelines que garanticen linaje y particionamiento, las consultas analíticas sobre grandes volúmenes de datos crudos se vuelven lentas y extremadamente costosas en nubes como Snowflake o BigQuery. El poder de cómputo en la nube es abundante, pero no gratuito ni infinito; una tubería descuidada convierte un lago de datos en un pasivo financiero y de cumplimiento normativo.</w:t>
      </w:r>
    </w:p>
    <w:p>
      <w:r>
        <w:br w:type="page"/>
      </w:r>
    </w:p>
    <w:p>
      <w:pPr>
        <w:pStyle w:val="Heading1"/>
      </w:pPr>
      <w:r>
        <w:t>2. Actividad 2: Práctica en Python - Pipeline ETL y Esquema Estrella</w:t>
      </w:r>
    </w:p>
    <w:p>
      <w:r>
        <w:t>Se diseñó e implementó un pipeline ETL completo en Python modularizado a través del script etl.py y el cuaderno Jupyter semana06_pipeline_etl.ipynb, empleando pandas y sqlite3.</w:t>
      </w:r>
    </w:p>
    <w:p>
      <w:pPr>
        <w:pStyle w:val="Heading2"/>
      </w:pPr>
      <w:r>
        <w:t>Fases Implementadas en el Pipeline</w:t>
      </w:r>
    </w:p>
    <w:p>
      <w:r>
        <w:t>1. EXTRACT: Lectura del archivo ventas.csv compuesto por 15 transacciones representativas con atributos: producto, categoria, precio y cantidad.</w:t>
        <w:br/>
        <w:t>2. TRANSFORM: Se calculó la feature aditiva total = precio * cantidad. Posteriormente se estructuró un esquema dimensional en estrella (Star Schema): se aisló la dimensión dim_categoria con una clave subrogada cat_id autoincremental, y se modeló la tabla de hechos fact_ventas vinculando cada venta mediante cat_id.</w:t>
        <w:br/>
        <w:t>3. LOAD: Persistencia de dim_categoria y fact_ventas en el motor relacional SQLite almacen.db.</w:t>
        <w:br/>
        <w:t>4. CONSULTA ANALÍTICA: Ejecución de una consulta SQL con JOIN y agregación por categoría ordenada descendentemente por ingresos totales.</w:t>
      </w:r>
    </w:p>
    <w:p>
      <w:pPr>
        <w:pStyle w:val="Heading2"/>
      </w:pPr>
      <w:r>
        <w:t>Resultado de la Consulta Analítica SQL (Verificación)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  <w:shd w:fill="2B5C8F"/>
          </w:tcPr>
          <w:p>
            <w:r>
              <w:rPr>
                <w:b/>
                <w:color w:val="FFFFFF"/>
              </w:rPr>
              <w:t>Categoría</w:t>
            </w:r>
          </w:p>
        </w:tc>
        <w:tc>
          <w:tcPr>
            <w:tcW w:type="dxa" w:w="1872"/>
            <w:shd w:fill="2B5C8F"/>
          </w:tcPr>
          <w:p>
            <w:r>
              <w:rPr>
                <w:b/>
                <w:color w:val="FFFFFF"/>
              </w:rPr>
              <w:t>Núm. Ventas</w:t>
            </w:r>
          </w:p>
        </w:tc>
        <w:tc>
          <w:tcPr>
            <w:tcW w:type="dxa" w:w="1872"/>
            <w:shd w:fill="2B5C8F"/>
          </w:tcPr>
          <w:p>
            <w:r>
              <w:rPr>
                <w:b/>
                <w:color w:val="FFFFFF"/>
              </w:rPr>
              <w:t>Unidades Vendidas</w:t>
            </w:r>
          </w:p>
        </w:tc>
        <w:tc>
          <w:tcPr>
            <w:tcW w:type="dxa" w:w="1872"/>
            <w:shd w:fill="2B5C8F"/>
          </w:tcPr>
          <w:p>
            <w:r>
              <w:rPr>
                <w:b/>
                <w:color w:val="FFFFFF"/>
              </w:rPr>
              <w:t>Precio Promedio ($)</w:t>
            </w:r>
          </w:p>
        </w:tc>
        <w:tc>
          <w:tcPr>
            <w:tcW w:type="dxa" w:w="1872"/>
            <w:shd w:fill="2B5C8F"/>
          </w:tcPr>
          <w:p>
            <w:r>
              <w:rPr>
                <w:b/>
                <w:color w:val="FFFFFF"/>
              </w:rPr>
              <w:t>Ingresos Totales ($)</w:t>
            </w:r>
          </w:p>
        </w:tc>
      </w:tr>
      <w:tr>
        <w:tc>
          <w:tcPr>
            <w:tcW w:type="dxa" w:w="1872"/>
          </w:tcPr>
          <w:p>
            <w:r>
              <w:t>Alimentos Preparados</w:t>
            </w:r>
          </w:p>
        </w:tc>
        <w:tc>
          <w:tcPr>
            <w:tcW w:type="dxa" w:w="1872"/>
          </w:tcPr>
          <w:p>
            <w:r>
              <w:t>3</w:t>
            </w:r>
          </w:p>
        </w:tc>
        <w:tc>
          <w:tcPr>
            <w:tcW w:type="dxa" w:w="1872"/>
          </w:tcPr>
          <w:p>
            <w:r>
              <w:t>6</w:t>
            </w:r>
          </w:p>
        </w:tc>
        <w:tc>
          <w:tcPr>
            <w:tcW w:type="dxa" w:w="1872"/>
          </w:tcPr>
          <w:p>
            <w:r>
              <w:t>78.33</w:t>
            </w:r>
          </w:p>
        </w:tc>
        <w:tc>
          <w:tcPr>
            <w:tcW w:type="dxa" w:w="1872"/>
          </w:tcPr>
          <w:p>
            <w:r>
              <w:t>466.00</w:t>
            </w:r>
          </w:p>
        </w:tc>
      </w:tr>
      <w:tr>
        <w:tc>
          <w:tcPr>
            <w:tcW w:type="dxa" w:w="1872"/>
            <w:shd w:fill="F2F4F7"/>
          </w:tcPr>
          <w:p>
            <w:r>
              <w:t>Bebidas Frías</w:t>
            </w:r>
          </w:p>
        </w:tc>
        <w:tc>
          <w:tcPr>
            <w:tcW w:type="dxa" w:w="1872"/>
            <w:shd w:fill="F2F4F7"/>
          </w:tcPr>
          <w:p>
            <w:r>
              <w:t>3</w:t>
            </w:r>
          </w:p>
        </w:tc>
        <w:tc>
          <w:tcPr>
            <w:tcW w:type="dxa" w:w="1872"/>
            <w:shd w:fill="F2F4F7"/>
          </w:tcPr>
          <w:p>
            <w:r>
              <w:t>7</w:t>
            </w:r>
          </w:p>
        </w:tc>
        <w:tc>
          <w:tcPr>
            <w:tcW w:type="dxa" w:w="1872"/>
            <w:shd w:fill="F2F4F7"/>
          </w:tcPr>
          <w:p>
            <w:r>
              <w:t>51.67</w:t>
            </w:r>
          </w:p>
        </w:tc>
        <w:tc>
          <w:tcPr>
            <w:tcW w:type="dxa" w:w="1872"/>
            <w:shd w:fill="F2F4F7"/>
          </w:tcPr>
          <w:p>
            <w:r>
              <w:t>352.00</w:t>
            </w:r>
          </w:p>
        </w:tc>
      </w:tr>
      <w:tr>
        <w:tc>
          <w:tcPr>
            <w:tcW w:type="dxa" w:w="1872"/>
          </w:tcPr>
          <w:p>
            <w:r>
              <w:t>Snacks y Dulces</w:t>
            </w:r>
          </w:p>
        </w:tc>
        <w:tc>
          <w:tcPr>
            <w:tcW w:type="dxa" w:w="1872"/>
          </w:tcPr>
          <w:p>
            <w:r>
              <w:t>3</w:t>
            </w:r>
          </w:p>
        </w:tc>
        <w:tc>
          <w:tcPr>
            <w:tcW w:type="dxa" w:w="1872"/>
          </w:tcPr>
          <w:p>
            <w:r>
              <w:t>12</w:t>
            </w:r>
          </w:p>
        </w:tc>
        <w:tc>
          <w:tcPr>
            <w:tcW w:type="dxa" w:w="1872"/>
          </w:tcPr>
          <w:p>
            <w:r>
              <w:t>26.00</w:t>
            </w:r>
          </w:p>
        </w:tc>
        <w:tc>
          <w:tcPr>
            <w:tcW w:type="dxa" w:w="1872"/>
          </w:tcPr>
          <w:p>
            <w:r>
              <w:t>304.00</w:t>
            </w:r>
          </w:p>
        </w:tc>
      </w:tr>
      <w:tr>
        <w:tc>
          <w:tcPr>
            <w:tcW w:type="dxa" w:w="1872"/>
            <w:shd w:fill="F2F4F7"/>
          </w:tcPr>
          <w:p>
            <w:r>
              <w:t>Bebidas Calientes</w:t>
            </w:r>
          </w:p>
        </w:tc>
        <w:tc>
          <w:tcPr>
            <w:tcW w:type="dxa" w:w="1872"/>
            <w:shd w:fill="F2F4F7"/>
          </w:tcPr>
          <w:p>
            <w:r>
              <w:t>3</w:t>
            </w:r>
          </w:p>
        </w:tc>
        <w:tc>
          <w:tcPr>
            <w:tcW w:type="dxa" w:w="1872"/>
            <w:shd w:fill="F2F4F7"/>
          </w:tcPr>
          <w:p>
            <w:r>
              <w:t>6</w:t>
            </w:r>
          </w:p>
        </w:tc>
        <w:tc>
          <w:tcPr>
            <w:tcW w:type="dxa" w:w="1872"/>
            <w:shd w:fill="F2F4F7"/>
          </w:tcPr>
          <w:p>
            <w:r>
              <w:t>45.00</w:t>
            </w:r>
          </w:p>
        </w:tc>
        <w:tc>
          <w:tcPr>
            <w:tcW w:type="dxa" w:w="1872"/>
            <w:shd w:fill="F2F4F7"/>
          </w:tcPr>
          <w:p>
            <w:r>
              <w:t>253.00</w:t>
            </w:r>
          </w:p>
        </w:tc>
      </w:tr>
      <w:tr>
        <w:tc>
          <w:tcPr>
            <w:tcW w:type="dxa" w:w="1872"/>
          </w:tcPr>
          <w:p>
            <w:r>
              <w:t>Panadería</w:t>
            </w:r>
          </w:p>
        </w:tc>
        <w:tc>
          <w:tcPr>
            <w:tcW w:type="dxa" w:w="1872"/>
          </w:tcPr>
          <w:p>
            <w:r>
              <w:t>3</w:t>
            </w:r>
          </w:p>
        </w:tc>
        <w:tc>
          <w:tcPr>
            <w:tcW w:type="dxa" w:w="1872"/>
          </w:tcPr>
          <w:p>
            <w:r>
              <w:t>7</w:t>
            </w:r>
          </w:p>
        </w:tc>
        <w:tc>
          <w:tcPr>
            <w:tcW w:type="dxa" w:w="1872"/>
          </w:tcPr>
          <w:p>
            <w:r>
              <w:t>35.00</w:t>
            </w:r>
          </w:p>
        </w:tc>
        <w:tc>
          <w:tcPr>
            <w:tcW w:type="dxa" w:w="1872"/>
          </w:tcPr>
          <w:p>
            <w:r>
              <w:t>221.00</w:t>
            </w:r>
          </w:p>
        </w:tc>
      </w:tr>
    </w:tbl>
    <w:p>
      <w:pPr>
        <w:spacing w:before="240"/>
      </w:pPr>
      <w:r>
        <w:rPr>
          <w:b/>
        </w:rPr>
        <w:t>Gráfico generado durante la ejecución analítica:</w:t>
      </w:r>
    </w:p>
    <w:p>
      <w:r>
        <w:drawing>
          <wp:inline xmlns:a="http://schemas.openxmlformats.org/drawingml/2006/main" xmlns:pic="http://schemas.openxmlformats.org/drawingml/2006/picture">
            <wp:extent cx="5669280" cy="283464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ngresos_por_categoria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8346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1"/>
      </w:pPr>
      <w:r>
        <w:t>3. Actividad 3: Caso Práctico - Plataforma de Streaming Musical</w:t>
      </w:r>
    </w:p>
    <w:p>
      <w:pPr>
        <w:pStyle w:val="Heading2"/>
      </w:pPr>
      <w:r>
        <w:t>a) Elección de Paradigma por Fuente (Batch vs. Streaming)</w:t>
      </w:r>
    </w:p>
    <w:p>
      <w:r>
        <w:t>• Eventos de reproducción (millones/minuto) -&gt; STREAMING (Híbrido con micro-batching): Flujo continuo masivo que alimenta tanto la detección inmediata de anomalías como el cálculo de tendencias en ventanas deslizantes con Apache Kafka y Flink.</w:t>
        <w:br/>
        <w:t>• Catálogo de canciones (varias veces al día) -&gt; BATCH (Micro-lotes periódicos): Las actualizaciones de discos y canciones ocurren en eventos discretos; un proceso batch cada pocas horas ahorra costos y garantiza consistencia sin requerir cómputo 24/7.</w:t>
        <w:br/>
        <w:t>• Suscripciones de pago (mensuales) -&gt; BATCH (Lotes mensuales): Responde a ciclos de facturación programados donde la consistencia transaccional ACID y la conciliación contable son el foco principal.</w:t>
      </w:r>
    </w:p>
    <w:p>
      <w:pPr>
        <w:pStyle w:val="Heading2"/>
      </w:pPr>
      <w:r>
        <w:t>b) Estrategia de Almacenamiento (Warehouse, Lake, Lakehouse)</w:t>
      </w:r>
    </w:p>
    <w:p>
      <w:r>
        <w:t>• Eventos de reproducción crudos -&gt; LAKEHOUSE (Data Lake con Delta Lake / Apache Iceberg sobre almacenamiento de objetos S3/ADLS): Permite absorber petabytes de telemetría semiestructurada a mínimo costo, preservando el estado crudo para re-entrenamientos de Machine Learning y ofreciendo soporte ACID y viajes en el tiempo.</w:t>
        <w:br/>
        <w:t>• Catálogo estructurado y métricas del Dashboard -&gt; DATA WAREHOUSE (Snowflake, BigQuery o capa Gold OLAP): Almacenamiento columnar indexado que proporciona tiempos de respuesta de milisegundos para consultas SQL concurrentes desde herramientas de BI.</w:t>
      </w:r>
    </w:p>
    <w:p>
      <w:pPr>
        <w:pStyle w:val="Heading2"/>
      </w:pPr>
      <w:r>
        <w:t>c) Diseño del Esquema Estrella para Tendencias Musicales</w:t>
      </w:r>
    </w:p>
    <w:p>
      <w:r>
        <w:t>1. Tabla de Hechos (fact_reproducciones):</w:t>
        <w:br/>
        <w:t xml:space="preserve">   - Claves foráneas: cancion_id, usuario_id, tiempo_id, ubicacion_id.</w:t>
        <w:br/>
        <w:t xml:space="preserve">   - Métricas: segundos_reproducidos (int), porcentaje_completado (float), fue_completada (flag 0/1), fue_saltada (flag 0/1).</w:t>
        <w:br/>
        <w:t>2. Tablas de Dimensiones:</w:t>
        <w:br/>
        <w:t xml:space="preserve">   - dim_cancion: cancion_id (PK), titulo, artista_principal, album, genero_musical, discografica, duracion_segundos.</w:t>
        <w:br/>
        <w:t xml:space="preserve">   - dim_usuario: usuario_id (PK), tier_suscripcion (Free/Premium), rango_edad, genero_usuario, fecha_registro.</w:t>
        <w:br/>
        <w:t xml:space="preserve">   - dim_tiempo: tiempo_id (PK), fecha_hora_evento, hora_del_dia, dia_semana, mes, anio, es_fin_de_semana.</w:t>
        <w:br/>
        <w:t xml:space="preserve">   - dim_ubicacion: ubicacion_id (PK), codigo_pais, nombre_pais, ciudad, continente, zona_horaria.</w:t>
      </w:r>
    </w:p>
    <w:p>
      <w:pPr>
        <w:pStyle w:val="Heading2"/>
      </w:pPr>
      <w:r>
        <w:t>d) Inadecuación del Pipeline Batch para Cuentas Compartidas</w:t>
      </w:r>
    </w:p>
    <w:p>
      <w:r>
        <w:t>La detección de cuentas compartidas en múltiples países requiere evaluar eventos de escucha concurrentes con distancias físicas imposibles. Un pipeline batch nocturno es completamente ineficaz porque:</w:t>
        <w:br/>
        <w:t>1. Ventana de acción perdida: La detección ocurriría horas después de terminada la sesión, permitiendo que la infracción se consuma impunemente.</w:t>
        <w:br/>
        <w:t>2. Falta de reactividad operativa: En streaming, una regla de Procesamiento de Eventos Complejos (CEP) calcula de inmediato la velocidad de desplazamiento (distancia / tiempo); si supera 900 km/h, suspende la sesión concurrente o detona un doble factor de autenticación (2FA) en el instante exacto del evento.</w:t>
      </w:r>
    </w:p>
    <w:p>
      <w:r>
        <w:br w:type="page"/>
      </w:r>
    </w:p>
    <w:p>
      <w:pPr>
        <w:pStyle w:val="Heading1"/>
      </w:pPr>
      <w:r>
        <w:t>4. Actividad 4: Quiz de Autoevaluación (5/5 Correctas)</w:t>
      </w:r>
    </w:p>
    <w:p>
      <w:r>
        <w:rPr>
          <w:b/>
        </w:rPr>
        <w:t>1. La diferencia clave entre ETL y ELT es:</w:t>
      </w:r>
    </w:p>
    <w:p>
      <w:r>
        <w:rPr>
          <w:b/>
          <w:color w:val="267326"/>
        </w:rPr>
        <w:t>Respuesta: b) El orden de la transformación: ETL transforma antes de cargar; ELT carga crudo y transforma después.</w:t>
      </w:r>
    </w:p>
    <w:p>
      <w:pPr>
        <w:ind w:left="288"/>
      </w:pPr>
      <w:r>
        <w:rPr>
          <w:i/>
        </w:rPr>
        <w:t>Justificación: En ETL se limpia en tránsito antes de guardar; en ELT se carga primero en bruto y se aprovecha el poder del motor de destino para transformar bajo demanda.</w:t>
      </w:r>
    </w:p>
    <w:p/>
    <w:p>
      <w:r>
        <w:rPr>
          <w:b/>
        </w:rPr>
        <w:t>2. Para detectar un fraude en el instante en que ocurre una transacción, conviene:</w:t>
      </w:r>
    </w:p>
    <w:p>
      <w:r>
        <w:rPr>
          <w:b/>
          <w:color w:val="267326"/>
        </w:rPr>
        <w:t>Respuesta: c) Procesamiento en streaming (tiempo real).</w:t>
      </w:r>
    </w:p>
    <w:p>
      <w:pPr>
        <w:ind w:left="288"/>
      </w:pPr>
      <w:r>
        <w:rPr>
          <w:i/>
        </w:rPr>
        <w:t>Justificación: La ultra-baja latencia es vital para evaluar la transacción en milisegundos y frenar el fraude antes de autorizar la operación.</w:t>
      </w:r>
    </w:p>
    <w:p/>
    <w:p>
      <w:r>
        <w:rPr>
          <w:b/>
        </w:rPr>
        <w:t>3. Un data lake se caracteriza por:</w:t>
      </w:r>
    </w:p>
    <w:p>
      <w:r>
        <w:rPr>
          <w:b/>
          <w:color w:val="267326"/>
        </w:rPr>
        <w:t>Respuesta: a) Almacenar datos crudos de cualquier tipo, de forma flexible y barata.</w:t>
      </w:r>
    </w:p>
    <w:p>
      <w:pPr>
        <w:ind w:left="288"/>
      </w:pPr>
      <w:r>
        <w:rPr>
          <w:i/>
        </w:rPr>
        <w:t>Justificación: Almacena archivos en formato nativo (estructurados, semiestructurados o no estructurados) sobre almacenamiento de objetos económico con esquema en lectura.</w:t>
      </w:r>
    </w:p>
    <w:p/>
    <w:p>
      <w:r>
        <w:rPr>
          <w:b/>
        </w:rPr>
        <w:t>4. En un esquema estrella, la tabla de hechos guarda principalmente:</w:t>
      </w:r>
    </w:p>
    <w:p>
      <w:r>
        <w:rPr>
          <w:b/>
          <w:color w:val="267326"/>
        </w:rPr>
        <w:t>Respuesta: d) Las métricas numéricas y las claves que apuntan a las dimensiones.</w:t>
      </w:r>
    </w:p>
    <w:p>
      <w:pPr>
        <w:ind w:left="288"/>
      </w:pPr>
      <w:r>
        <w:rPr>
          <w:i/>
        </w:rPr>
        <w:t>Justificación: Representa eventos numéricos del negocio y enlaza a través de claves foráneas con las dimensiones que dan contexto descriptivo.</w:t>
      </w:r>
    </w:p>
    <w:p/>
    <w:p>
      <w:r>
        <w:rPr>
          <w:b/>
        </w:rPr>
        <w:t>5. Se prefiere un esquema estrella sobre uno copo de nieve para un dashboard muy consultado porque:</w:t>
      </w:r>
    </w:p>
    <w:p>
      <w:r>
        <w:rPr>
          <w:b/>
          <w:color w:val="267326"/>
        </w:rPr>
        <w:t>Respuesta: b) Requiere menos JOINs, por lo que las consultas son más rápidas.</w:t>
      </w:r>
    </w:p>
    <w:p>
      <w:pPr>
        <w:ind w:left="288"/>
      </w:pPr>
      <w:r>
        <w:rPr>
          <w:i/>
        </w:rPr>
        <w:t>Justificación: La desnormalización de dimensiones minimiza el número de cruces relacionales en las consultas SQL, acelerando los tableros de control.</w:t>
      </w:r>
    </w:p>
    <w:p/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282828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1F4E79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