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 PENAWARAN</w:t>
      </w:r>
    </w:p>
    <w:p>
      <w:pPr>
        <w:pStyle w:val="Subtitle"/>
        <w:jc w:val="center"/>
      </w:pPr>
      <w:r>
        <w:t>Pengembangan Platform Digital Investasi Reksa Dana Victoria Sekuritas</w:t>
      </w:r>
    </w:p>
    <w:p>
      <w:pPr>
        <w:jc w:val="center"/>
      </w:pPr>
      <w:r>
        <w:rPr>
          <w:b/>
        </w:rPr>
        <w:t>Nomor proposal:</w:t>
      </w:r>
      <w:r>
        <w:t xml:space="preserve"> </w:t>
      </w:r>
      <w:r>
        <w:rPr>
          <w:rFonts w:ascii="Consolas" w:hAnsi="Consolas"/>
          <w:color w:val="4F46E5"/>
          <w:sz w:val="18"/>
        </w:rPr>
        <w:t>[VSI/PROP/____/2026]</w:t>
      </w:r>
    </w:p>
    <w:p>
      <w:pPr>
        <w:jc w:val="center"/>
      </w:pPr>
      <w:r>
        <w:rPr>
          <w:b/>
        </w:rPr>
        <w:t>Tanggal:</w:t>
      </w:r>
      <w:r>
        <w:t xml:space="preserve"> 22 Juli 2026</w:t>
      </w:r>
    </w:p>
    <w:p>
      <w:pPr>
        <w:jc w:val="center"/>
      </w:pPr>
      <w:r>
        <w:rPr>
          <w:b/>
        </w:rPr>
        <w:t>Masa berlaku:</w:t>
      </w:r>
      <w:r>
        <w:t xml:space="preserve"> 30 hari kalender sejak tanggal proposal</w:t>
      </w:r>
    </w:p>
    <w:p>
      <w:pPr>
        <w:jc w:val="center"/>
      </w:pPr>
      <w:r>
        <w:rPr>
          <w:b/>
        </w:rPr>
        <w:t>Ditujukan kepada:</w:t>
      </w:r>
      <w:r>
        <w:t xml:space="preserve"> Tim Manajemen Victoria Sekuritas</w:t>
      </w:r>
    </w:p>
    <w:p>
      <w:pPr>
        <w:jc w:val="center"/>
      </w:pPr>
      <w:r>
        <w:rPr>
          <w:b/>
        </w:rPr>
        <w:t>Disusun oleh:</w:t>
      </w:r>
      <w:r>
        <w:t xml:space="preserve"> Marfino Hamzah — Jasa Pengembangan Software</w:t>
      </w:r>
    </w:p>
    <w:p>
      <w:pPr>
        <w:pStyle w:val="Heading1"/>
      </w:pPr>
      <w:r>
        <w:t>1. Ringkasan Eksekutif</w:t>
      </w:r>
    </w:p>
    <w:p>
      <w:r>
        <w:t>Proposal ini menawarkan pengembangan dan penyempurnaan platform investasi reksa dana terintegrasi untuk Victoria Sekuritas. Solusi mencakup kanal nasabah berbasis web dan aplikasi mobile, sistem administrasi internal, backend API, serta layanan eKYC yang berada dalam satu arsitektur dan basis data terpusat.</w:t>
      </w:r>
    </w:p>
    <w:p>
      <w:r>
        <w:t>Platform dirancang untuk mendukung perjalanan nasabah dari registrasi, pembukaan rekening, verifikasi identitas, penilaian profil risiko, pemilihan produk, transaksi subscription/redemption, hingga pemantauan portofolio. Tim operasional dapat mengelola produk, NAV, nasabah, KYC, artikel, promo, event, serta laporan melalui CMS.</w:t>
      </w:r>
    </w:p>
    <w:p>
      <w:r>
        <w:t>Implementasi awal telah tersedia dalam lima codebase berikut:</w:t>
      </w:r>
    </w:p>
    <w:tbl>
      <w:tblPr>
        <w:tblW w:type="auto" w:w="0"/>
        <w:jc w:val="center"/>
        <w:tblLayout w:type="autofit"/>
        <w:tblLook w:firstColumn="1" w:firstRow="1" w:lastColumn="0" w:lastRow="0" w:noHBand="0" w:noVBand="1" w:val="04A0"/>
      </w:tblPr>
      <w:tblGrid>
        <w:gridCol w:w="3211"/>
        <w:gridCol w:w="3211"/>
        <w:gridCol w:w="3211"/>
      </w:tblGrid>
      <w:tr>
        <w:tc>
          <w:tcPr>
            <w:tcW w:type="dxa" w:w="3211"/>
            <w:vAlign w:val="center"/>
            <w:tcMar>
              <w:top w:w="90" w:type="dxa"/>
              <w:start w:w="110" w:type="dxa"/>
              <w:bottom w:w="90" w:type="dxa"/>
              <w:end w:w="110" w:type="dxa"/>
            </w:tcMar>
            <w:shd w:fill="4F46E5"/>
          </w:tcPr>
          <w:p>
            <w:r>
              <w:rPr>
                <w:b/>
                <w:color w:val="FFFFFF"/>
              </w:rPr>
              <w:t>Komponen</w:t>
            </w:r>
          </w:p>
        </w:tc>
        <w:tc>
          <w:tcPr>
            <w:tcW w:type="dxa" w:w="3211"/>
            <w:vAlign w:val="center"/>
            <w:tcMar>
              <w:top w:w="90" w:type="dxa"/>
              <w:start w:w="110" w:type="dxa"/>
              <w:bottom w:w="90" w:type="dxa"/>
              <w:end w:w="110" w:type="dxa"/>
            </w:tcMar>
            <w:shd w:fill="4F46E5"/>
          </w:tcPr>
          <w:p>
            <w:r>
              <w:rPr>
                <w:b/>
                <w:color w:val="FFFFFF"/>
              </w:rPr>
              <w:t>Codebase</w:t>
            </w:r>
          </w:p>
        </w:tc>
        <w:tc>
          <w:tcPr>
            <w:tcW w:type="dxa" w:w="3211"/>
            <w:vAlign w:val="center"/>
            <w:tcMar>
              <w:top w:w="90" w:type="dxa"/>
              <w:start w:w="110" w:type="dxa"/>
              <w:bottom w:w="90" w:type="dxa"/>
              <w:end w:w="110" w:type="dxa"/>
            </w:tcMar>
            <w:shd w:fill="4F46E5"/>
          </w:tcPr>
          <w:p>
            <w:r>
              <w:rPr>
                <w:b/>
                <w:color w:val="FFFFFF"/>
              </w:rPr>
              <w:t>Teknologi utama</w:t>
            </w:r>
          </w:p>
        </w:tc>
      </w:tr>
      <w:tr>
        <w:tc>
          <w:tcPr>
            <w:tcW w:type="dxa" w:w="3211"/>
            <w:vAlign w:val="center"/>
            <w:tcMar>
              <w:top w:w="90" w:type="dxa"/>
              <w:start w:w="110" w:type="dxa"/>
              <w:bottom w:w="90" w:type="dxa"/>
              <w:end w:w="110" w:type="dxa"/>
            </w:tcMar>
          </w:tcPr>
          <w:p>
            <w:r>
              <w:t>Layanan eKYC AI</w:t>
            </w:r>
          </w:p>
        </w:tc>
        <w:tc>
          <w:tcPr>
            <w:tcW w:type="dxa" w:w="3211"/>
            <w:vAlign w:val="center"/>
            <w:tcMar>
              <w:top w:w="90" w:type="dxa"/>
              <w:start w:w="110" w:type="dxa"/>
              <w:bottom w:w="90" w:type="dxa"/>
              <w:end w:w="110" w:type="dxa"/>
            </w:tcMar>
          </w:tcPr>
          <w:p>
            <w:r>
              <w:rPr>
                <w:rFonts w:ascii="Consolas" w:hAnsi="Consolas"/>
                <w:color w:val="4F46E5"/>
                <w:sz w:val="18"/>
              </w:rPr>
              <w:t>sekuritas-ai</w:t>
            </w:r>
          </w:p>
        </w:tc>
        <w:tc>
          <w:tcPr>
            <w:tcW w:type="dxa" w:w="3211"/>
            <w:vAlign w:val="center"/>
            <w:tcMar>
              <w:top w:w="90" w:type="dxa"/>
              <w:start w:w="110" w:type="dxa"/>
              <w:bottom w:w="90" w:type="dxa"/>
              <w:end w:w="110" w:type="dxa"/>
            </w:tcMar>
          </w:tcPr>
          <w:p>
            <w:r>
              <w:t>Python, FastAPI</w:t>
            </w:r>
          </w:p>
        </w:tc>
      </w:tr>
      <w:tr>
        <w:tc>
          <w:tcPr>
            <w:tcW w:type="dxa" w:w="3211"/>
            <w:vAlign w:val="center"/>
            <w:tcMar>
              <w:top w:w="90" w:type="dxa"/>
              <w:start w:w="110" w:type="dxa"/>
              <w:bottom w:w="90" w:type="dxa"/>
              <w:end w:w="110" w:type="dxa"/>
            </w:tcMar>
            <w:shd w:fill="EEF2FF"/>
          </w:tcPr>
          <w:p>
            <w:r>
              <w:t>Backend dan API</w:t>
            </w:r>
          </w:p>
        </w:tc>
        <w:tc>
          <w:tcPr>
            <w:tcW w:type="dxa" w:w="3211"/>
            <w:vAlign w:val="center"/>
            <w:tcMar>
              <w:top w:w="90" w:type="dxa"/>
              <w:start w:w="110" w:type="dxa"/>
              <w:bottom w:w="90" w:type="dxa"/>
              <w:end w:w="110" w:type="dxa"/>
            </w:tcMar>
            <w:shd w:fill="EEF2FF"/>
          </w:tcPr>
          <w:p>
            <w:r>
              <w:rPr>
                <w:rFonts w:ascii="Consolas" w:hAnsi="Consolas"/>
                <w:color w:val="4F46E5"/>
                <w:sz w:val="18"/>
              </w:rPr>
              <w:t>sekuritas-api</w:t>
            </w:r>
          </w:p>
        </w:tc>
        <w:tc>
          <w:tcPr>
            <w:tcW w:type="dxa" w:w="3211"/>
            <w:vAlign w:val="center"/>
            <w:tcMar>
              <w:top w:w="90" w:type="dxa"/>
              <w:start w:w="110" w:type="dxa"/>
              <w:bottom w:w="90" w:type="dxa"/>
              <w:end w:w="110" w:type="dxa"/>
            </w:tcMar>
            <w:shd w:fill="EEF2FF"/>
          </w:tcPr>
          <w:p>
            <w:r>
              <w:t>PHP 8.2, Laravel 12, PostgreSQL, JWT</w:t>
            </w:r>
          </w:p>
        </w:tc>
      </w:tr>
      <w:tr>
        <w:tc>
          <w:tcPr>
            <w:tcW w:type="dxa" w:w="3211"/>
            <w:vAlign w:val="center"/>
            <w:tcMar>
              <w:top w:w="90" w:type="dxa"/>
              <w:start w:w="110" w:type="dxa"/>
              <w:bottom w:w="90" w:type="dxa"/>
              <w:end w:w="110" w:type="dxa"/>
            </w:tcMar>
          </w:tcPr>
          <w:p>
            <w:r>
              <w:t>CMS operasional</w:t>
            </w:r>
          </w:p>
        </w:tc>
        <w:tc>
          <w:tcPr>
            <w:tcW w:type="dxa" w:w="3211"/>
            <w:vAlign w:val="center"/>
            <w:tcMar>
              <w:top w:w="90" w:type="dxa"/>
              <w:start w:w="110" w:type="dxa"/>
              <w:bottom w:w="90" w:type="dxa"/>
              <w:end w:w="110" w:type="dxa"/>
            </w:tcMar>
          </w:tcPr>
          <w:p>
            <w:r>
              <w:rPr>
                <w:rFonts w:ascii="Consolas" w:hAnsi="Consolas"/>
                <w:color w:val="4F46E5"/>
                <w:sz w:val="18"/>
              </w:rPr>
              <w:t>sekuritas-cms</w:t>
            </w:r>
          </w:p>
        </w:tc>
        <w:tc>
          <w:tcPr>
            <w:tcW w:type="dxa" w:w="3211"/>
            <w:vAlign w:val="center"/>
            <w:tcMar>
              <w:top w:w="90" w:type="dxa"/>
              <w:start w:w="110" w:type="dxa"/>
              <w:bottom w:w="90" w:type="dxa"/>
              <w:end w:w="110" w:type="dxa"/>
            </w:tcMar>
          </w:tcPr>
          <w:p>
            <w:r>
              <w:t>Nuxt 3, Vue 3, Pinia, Tailwind CSS</w:t>
            </w:r>
          </w:p>
        </w:tc>
      </w:tr>
      <w:tr>
        <w:tc>
          <w:tcPr>
            <w:tcW w:type="dxa" w:w="3211"/>
            <w:vAlign w:val="center"/>
            <w:tcMar>
              <w:top w:w="90" w:type="dxa"/>
              <w:start w:w="110" w:type="dxa"/>
              <w:bottom w:w="90" w:type="dxa"/>
              <w:end w:w="110" w:type="dxa"/>
            </w:tcMar>
            <w:shd w:fill="EEF2FF"/>
          </w:tcPr>
          <w:p>
            <w:r>
              <w:t>Website nasabah</w:t>
            </w:r>
          </w:p>
        </w:tc>
        <w:tc>
          <w:tcPr>
            <w:tcW w:type="dxa" w:w="3211"/>
            <w:vAlign w:val="center"/>
            <w:tcMar>
              <w:top w:w="90" w:type="dxa"/>
              <w:start w:w="110" w:type="dxa"/>
              <w:bottom w:w="90" w:type="dxa"/>
              <w:end w:w="110" w:type="dxa"/>
            </w:tcMar>
            <w:shd w:fill="EEF2FF"/>
          </w:tcPr>
          <w:p>
            <w:r>
              <w:rPr>
                <w:rFonts w:ascii="Consolas" w:hAnsi="Consolas"/>
                <w:color w:val="4F46E5"/>
                <w:sz w:val="18"/>
              </w:rPr>
              <w:t>sekuritas-frontend</w:t>
            </w:r>
          </w:p>
        </w:tc>
        <w:tc>
          <w:tcPr>
            <w:tcW w:type="dxa" w:w="3211"/>
            <w:vAlign w:val="center"/>
            <w:tcMar>
              <w:top w:w="90" w:type="dxa"/>
              <w:start w:w="110" w:type="dxa"/>
              <w:bottom w:w="90" w:type="dxa"/>
              <w:end w:w="110" w:type="dxa"/>
            </w:tcMar>
            <w:shd w:fill="EEF2FF"/>
          </w:tcPr>
          <w:p>
            <w:r>
              <w:t>Nuxt 3, Vue 3, Pinia, Tailwind CSS</w:t>
            </w:r>
          </w:p>
        </w:tc>
      </w:tr>
      <w:tr>
        <w:tc>
          <w:tcPr>
            <w:tcW w:type="dxa" w:w="3211"/>
            <w:vAlign w:val="center"/>
            <w:tcMar>
              <w:top w:w="90" w:type="dxa"/>
              <w:start w:w="110" w:type="dxa"/>
              <w:bottom w:w="90" w:type="dxa"/>
              <w:end w:w="110" w:type="dxa"/>
            </w:tcMar>
          </w:tcPr>
          <w:p>
            <w:r>
              <w:t>Aplikasi mobile</w:t>
            </w:r>
          </w:p>
        </w:tc>
        <w:tc>
          <w:tcPr>
            <w:tcW w:type="dxa" w:w="3211"/>
            <w:vAlign w:val="center"/>
            <w:tcMar>
              <w:top w:w="90" w:type="dxa"/>
              <w:start w:w="110" w:type="dxa"/>
              <w:bottom w:w="90" w:type="dxa"/>
              <w:end w:w="110" w:type="dxa"/>
            </w:tcMar>
          </w:tcPr>
          <w:p>
            <w:r>
              <w:rPr>
                <w:rFonts w:ascii="Consolas" w:hAnsi="Consolas"/>
                <w:color w:val="4F46E5"/>
                <w:sz w:val="18"/>
              </w:rPr>
              <w:t>sekuritas-mobile</w:t>
            </w:r>
          </w:p>
        </w:tc>
        <w:tc>
          <w:tcPr>
            <w:tcW w:type="dxa" w:w="3211"/>
            <w:vAlign w:val="center"/>
            <w:tcMar>
              <w:top w:w="90" w:type="dxa"/>
              <w:start w:w="110" w:type="dxa"/>
              <w:bottom w:w="90" w:type="dxa"/>
              <w:end w:w="110" w:type="dxa"/>
            </w:tcMar>
          </w:tcPr>
          <w:p>
            <w:r>
              <w:t>Flutter, Riverpod, GoRouter, Dio</w:t>
            </w:r>
          </w:p>
        </w:tc>
      </w:tr>
    </w:tbl>
    <w:p/>
    <w:p>
      <w:r>
        <w:t>Pekerjaan yang ditawarkan berfokus pada penyempurnaan implementasi, integrasi pihak ketiga, pengujian, UAT, hardening, dan deployment agar platform layak digunakan sesuai lingkungan serta kebutuhan operasional klien.</w:t>
      </w:r>
    </w:p>
    <w:p>
      <w:pPr>
        <w:pStyle w:val="Heading1"/>
      </w:pPr>
      <w:r>
        <w:t>2. Tujuan Pekerjaan</w:t>
      </w:r>
    </w:p>
    <w:p>
      <w:pPr>
        <w:pStyle w:val="ListNumber"/>
      </w:pPr>
      <w:r>
        <w:t>Menyediakan pengalaman investasi yang konsisten pada web dan mobile.</w:t>
      </w:r>
    </w:p>
    <w:p>
      <w:pPr>
        <w:pStyle w:val="ListNumber"/>
      </w:pPr>
      <w:r>
        <w:t>Mendigitalisasi pembukaan rekening dan proses KYC nasabah.</w:t>
      </w:r>
    </w:p>
    <w:p>
      <w:pPr>
        <w:pStyle w:val="ListNumber"/>
      </w:pPr>
      <w:r>
        <w:t>Menyatukan pengelolaan produk, transaksi, konten, promo, dan nasabah dalam CMS.</w:t>
      </w:r>
    </w:p>
    <w:p>
      <w:pPr>
        <w:pStyle w:val="ListNumber"/>
      </w:pPr>
      <w:r>
        <w:t>Menyediakan backend modular yang siap diintegrasikan dengan penyedia resmi.</w:t>
      </w:r>
    </w:p>
    <w:p>
      <w:pPr>
        <w:pStyle w:val="ListNumber"/>
      </w:pPr>
      <w:r>
        <w:t>Menyiapkan sistem untuk UAT, peluncuran, pemantauan, dan pengembangan lanjutan.</w:t>
      </w:r>
    </w:p>
    <w:p>
      <w:pPr>
        <w:pStyle w:val="Heading1"/>
      </w:pPr>
      <w:r>
        <w:t>3. Ruang Lingkup</w:t>
      </w:r>
    </w:p>
    <w:p>
      <w:pPr>
        <w:pStyle w:val="Heading2"/>
      </w:pPr>
      <w:r>
        <w:t>3.1 Website Nasabah</w:t>
      </w:r>
    </w:p>
    <w:p>
      <w:pPr>
        <w:pStyle w:val="ListBullet"/>
      </w:pPr>
      <w:r>
        <w:t xml:space="preserve">Homepage dan landing page dengan identitas visual </w:t>
      </w:r>
      <w:r>
        <w:rPr>
          <w:b/>
        </w:rPr>
        <w:t>Indigo Premium</w:t>
      </w:r>
      <w:r>
        <w:t xml:space="preserve"> Victoria Sekuritas.</w:t>
      </w:r>
    </w:p>
    <w:p>
      <w:pPr>
        <w:pStyle w:val="ListBullet"/>
      </w:pPr>
      <w:r>
        <w:t>Registrasi email, aktivasi akun, login, dan pengelolaan sesi pengguna.</w:t>
      </w:r>
    </w:p>
    <w:p>
      <w:pPr>
        <w:pStyle w:val="ListBullet"/>
      </w:pPr>
      <w:r>
        <w:t>Katalog reksa dana, filter, pencarian, detail produk, riwayat NAV, dan informasi Manajer Investasi.</w:t>
      </w:r>
    </w:p>
    <w:p>
      <w:pPr>
        <w:pStyle w:val="ListBullet"/>
      </w:pPr>
      <w:r>
        <w:t>Perbandingan produk reksa dana dan Manajer Investasi.</w:t>
      </w:r>
    </w:p>
    <w:p>
      <w:pPr>
        <w:pStyle w:val="ListBullet"/>
      </w:pPr>
      <w:r>
        <w:t>Online account opening dan eKYC: unggah KTP, OCR, selfie/liveness, face match, tanda tangan, dan status verifikasi.</w:t>
      </w:r>
    </w:p>
    <w:p>
      <w:pPr>
        <w:pStyle w:val="ListBullet"/>
      </w:pPr>
      <w:r>
        <w:t>Penilaian profil risiko dan rekomendasi tingkat risiko.</w:t>
      </w:r>
    </w:p>
    <w:p>
      <w:pPr>
        <w:pStyle w:val="ListBullet"/>
      </w:pPr>
      <w:r>
        <w:t>Transaksi subscription dan redemption, instruksi pembayaran, serta riwayat transaksi.</w:t>
      </w:r>
    </w:p>
    <w:p>
      <w:pPr>
        <w:pStyle w:val="ListBullet"/>
      </w:pPr>
      <w:r>
        <w:t>Ringkasan dan detail portofolio nasabah.</w:t>
      </w:r>
    </w:p>
    <w:p>
      <w:pPr>
        <w:pStyle w:val="ListBullet"/>
      </w:pPr>
      <w:r>
        <w:t>Artikel/edukasi investasi.</w:t>
      </w:r>
    </w:p>
    <w:p>
      <w:pPr>
        <w:pStyle w:val="ListBullet"/>
      </w:pPr>
      <w:r>
        <w:t>Promo/event, referral code, pendaftaran event, dan leaderboard.</w:t>
      </w:r>
    </w:p>
    <w:p>
      <w:pPr>
        <w:pStyle w:val="ListBullet"/>
      </w:pPr>
      <w:r>
        <w:t>Tampilan responsif untuk desktop, tablet, dan perangkat mobile.</w:t>
      </w:r>
    </w:p>
    <w:p>
      <w:pPr>
        <w:pStyle w:val="ListBullet"/>
      </w:pPr>
      <w:r>
        <w:t>Validasi formulir, loading state, empty state, dan penanganan error dasar.</w:t>
      </w:r>
    </w:p>
    <w:p>
      <w:pPr>
        <w:pStyle w:val="Heading2"/>
      </w:pPr>
      <w:r>
        <w:t>3.2 CMS Operasional</w:t>
      </w:r>
    </w:p>
    <w:p>
      <w:pPr>
        <w:pStyle w:val="ListBullet"/>
      </w:pPr>
      <w:r>
        <w:t>Login admin dan pembatasan akses berbasis role.</w:t>
      </w:r>
    </w:p>
    <w:p>
      <w:pPr>
        <w:pStyle w:val="ListBullet"/>
      </w:pPr>
      <w:r>
        <w:t>Dashboard ringkasan operasional.</w:t>
      </w:r>
    </w:p>
    <w:p>
      <w:pPr>
        <w:pStyle w:val="ListBullet"/>
      </w:pPr>
      <w:r>
        <w:t>Pengelolaan nasabah dan status akun.</w:t>
      </w:r>
    </w:p>
    <w:p>
      <w:pPr>
        <w:pStyle w:val="ListBullet"/>
      </w:pPr>
      <w:r>
        <w:t>Review KYC/eKYC, termasuk skor OCR, liveness, face match, approve, dan reject.</w:t>
      </w:r>
    </w:p>
    <w:p>
      <w:pPr>
        <w:pStyle w:val="ListBullet"/>
      </w:pPr>
      <w:r>
        <w:t>CRUD produk reksa dana serta pembaruan NAV individual dan massal.</w:t>
      </w:r>
    </w:p>
    <w:p>
      <w:pPr>
        <w:pStyle w:val="ListBullet"/>
      </w:pPr>
      <w:r>
        <w:t>Pengelolaan artikel dan status publikasi.</w:t>
      </w:r>
    </w:p>
    <w:p>
      <w:pPr>
        <w:pStyle w:val="ListBullet"/>
      </w:pPr>
      <w:r>
        <w:t>Pengelolaan promo/event, kode referral, peserta, leaderboard, dan export CSV.</w:t>
      </w:r>
    </w:p>
    <w:p>
      <w:pPr>
        <w:pStyle w:val="ListBullet"/>
      </w:pPr>
      <w:r>
        <w:t>Daftar transaksi dan laporan operasional.</w:t>
      </w:r>
    </w:p>
    <w:p>
      <w:pPr>
        <w:pStyle w:val="ListBullet"/>
      </w:pPr>
      <w:r>
        <w:t>Audit log dasar untuk aktivitas penting yang disepakati.</w:t>
      </w:r>
    </w:p>
    <w:p>
      <w:pPr>
        <w:pStyle w:val="Heading2"/>
      </w:pPr>
      <w:r>
        <w:t>3.3 Backend API</w:t>
      </w:r>
    </w:p>
    <w:p>
      <w:pPr>
        <w:pStyle w:val="ListBullet"/>
      </w:pPr>
      <w:r>
        <w:t>API autentikasi OTP/email dan JWT.</w:t>
      </w:r>
    </w:p>
    <w:p>
      <w:pPr>
        <w:pStyle w:val="ListBullet"/>
      </w:pPr>
      <w:r>
        <w:t>API profil nasabah, KYC/eKYC, profil risiko, produk, NAV, transaksi, pembayaran, portofolio, event, dan artikel.</w:t>
      </w:r>
    </w:p>
    <w:p>
      <w:pPr>
        <w:pStyle w:val="ListBullet"/>
      </w:pPr>
      <w:r>
        <w:t>API khusus CMS untuk nasabah, KYC, produk, artikel, event, serta laporan.</w:t>
      </w:r>
    </w:p>
    <w:p>
      <w:pPr>
        <w:pStyle w:val="ListBullet"/>
      </w:pPr>
      <w:r>
        <w:t>Pengelolaan PostgreSQL, migration, seeder, dan data demo untuk UAT.</w:t>
      </w:r>
    </w:p>
    <w:p>
      <w:pPr>
        <w:pStyle w:val="ListBullet"/>
      </w:pPr>
      <w:r>
        <w:t>Object storage untuk dokumen KTP, selfie, dan tanda tangan.</w:t>
      </w:r>
    </w:p>
    <w:p>
      <w:pPr>
        <w:pStyle w:val="ListBullet"/>
      </w:pPr>
      <w:r>
        <w:t>Cache dan antrean proses menggunakan Redis bila dibutuhkan.</w:t>
      </w:r>
    </w:p>
    <w:p>
      <w:pPr>
        <w:pStyle w:val="ListBullet"/>
      </w:pPr>
      <w:r>
        <w:t>Validasi request, otorisasi, logging, CORS, serta rate limiting pada endpoint sensitif.</w:t>
      </w:r>
    </w:p>
    <w:p>
      <w:pPr>
        <w:pStyle w:val="ListBullet"/>
      </w:pPr>
      <w:r>
        <w:t>Adapter untuk payment gateway, S-INVEST/KSEI, penyedia eKYC, tanda tangan digital, dan email.</w:t>
      </w:r>
    </w:p>
    <w:p>
      <w:pPr>
        <w:pStyle w:val="Heading2"/>
      </w:pPr>
      <w:r>
        <w:t>3.4 Aplikasi Mobile</w:t>
      </w:r>
    </w:p>
    <w:p>
      <w:pPr>
        <w:pStyle w:val="ListBullet"/>
      </w:pPr>
      <w:r>
        <w:t>Aplikasi Flutter untuk Android; build iOS termasuk dalam Paket C.</w:t>
      </w:r>
    </w:p>
    <w:p>
      <w:pPr>
        <w:pStyle w:val="ListBullet"/>
      </w:pPr>
      <w:r>
        <w:t>Splash screen, registrasi, OTP, pembuatan dan konfirmasi PIN.</w:t>
      </w:r>
    </w:p>
    <w:p>
      <w:pPr>
        <w:pStyle w:val="ListBullet"/>
      </w:pPr>
      <w:r>
        <w:t>Alur KYC: panduan KTP, data pribadi, data bank, profil risiko, dan tanda tangan.</w:t>
      </w:r>
    </w:p>
    <w:p>
      <w:pPr>
        <w:pStyle w:val="ListBullet"/>
      </w:pPr>
      <w:r>
        <w:t>Home, eksplorasi produk, portofolio, transaksi, notifikasi, dan profil.</w:t>
      </w:r>
    </w:p>
    <w:p>
      <w:pPr>
        <w:pStyle w:val="ListBullet"/>
      </w:pPr>
      <w:r>
        <w:t>Integrasi dengan backend API yang sama dengan website.</w:t>
      </w:r>
    </w:p>
    <w:p>
      <w:pPr>
        <w:pStyle w:val="ListBullet"/>
      </w:pPr>
      <w:r>
        <w:t>Secure storage untuk token/kredensial aplikasi dan permission perangkat yang relevan.</w:t>
      </w:r>
    </w:p>
    <w:p>
      <w:pPr>
        <w:pStyle w:val="ListBullet"/>
      </w:pPr>
      <w:r>
        <w:t>Build release untuk kebutuhan UAT; publikasi store mengikuti cakupan paket.</w:t>
      </w:r>
    </w:p>
    <w:p>
      <w:pPr>
        <w:pStyle w:val="Heading2"/>
      </w:pPr>
      <w:r>
        <w:t>3.5 Layanan eKYC AI</w:t>
      </w:r>
    </w:p>
    <w:p>
      <w:pPr>
        <w:pStyle w:val="ListBullet"/>
      </w:pPr>
      <w:r>
        <w:t>Endpoint OCR KTP, liveness detection, dan face matching yang dilindungi API key.</w:t>
      </w:r>
    </w:p>
    <w:p>
      <w:pPr>
        <w:pStyle w:val="ListBullet"/>
      </w:pPr>
      <w:r>
        <w:t>Integrasi layanan AI dengan backend melalui adapter terpisah.</w:t>
      </w:r>
    </w:p>
    <w:p>
      <w:pPr>
        <w:pStyle w:val="ListBullet"/>
      </w:pPr>
      <w:r>
        <w:t>Konfigurasi threshold dan pencatatan hasil pemeriksaan.</w:t>
      </w:r>
    </w:p>
    <w:p>
      <w:pPr>
        <w:pStyle w:val="ListBullet"/>
      </w:pPr>
      <w:r>
        <w:t>Penyempurnaan pipeline AI atau koneksi ke vendor eKYC resmi sesuai paket dan kesiapan infrastruktur.</w:t>
      </w:r>
    </w:p>
    <w:p>
      <w:pPr>
        <w:pStyle w:val="Heading2"/>
      </w:pPr>
      <w:r>
        <w:t>3.6 Infrastruktur dan Deployment</w:t>
      </w:r>
    </w:p>
    <w:p>
      <w:pPr>
        <w:pStyle w:val="ListBullet"/>
      </w:pPr>
      <w:r>
        <w:t>Container Docker untuk komponen aplikasi.</w:t>
      </w:r>
    </w:p>
    <w:p>
      <w:pPr>
        <w:pStyle w:val="ListBullet"/>
      </w:pPr>
      <w:r>
        <w:t>Orkestrasi layanan aplikasi, PostgreSQL, Redis, dan object storage.</w:t>
      </w:r>
    </w:p>
    <w:p>
      <w:pPr>
        <w:pStyle w:val="ListBullet"/>
      </w:pPr>
      <w:r>
        <w:t>Konfigurasi environment development, staging/UAT, dan production.</w:t>
      </w:r>
    </w:p>
    <w:p>
      <w:pPr>
        <w:pStyle w:val="ListBullet"/>
      </w:pPr>
      <w:r>
        <w:t>Deployment awal ke infrastruktur yang disediakan/disetujui klien.</w:t>
      </w:r>
    </w:p>
    <w:p>
      <w:pPr>
        <w:pStyle w:val="ListBullet"/>
      </w:pPr>
      <w:r>
        <w:t>Dokumentasi instalasi, environment variable, deployment, dan operasi dasar.</w:t>
      </w:r>
    </w:p>
    <w:p>
      <w:pPr>
        <w:pStyle w:val="Heading1"/>
      </w:pPr>
      <w:r>
        <w:t>4. Kondisi Implementasi dan Batas Kesiapan Saat Ini</w:t>
      </w:r>
    </w:p>
    <w:p>
      <w:r>
        <w:t xml:space="preserve">Codebase saat ini telah memiliki alur dan antarmuka utama. Namun beberapa integrasi masih berupa mode </w:t>
      </w:r>
      <w:r>
        <w:rPr>
          <w:b/>
        </w:rPr>
        <w:t>demo/stub</w:t>
      </w:r>
      <w:r>
        <w:t>, sehingga tidak boleh dianggap sebagai koneksi produksi sebelum pekerjaan integrasi, pengujian, dan persetujuan vendor selesai.</w:t>
      </w:r>
    </w:p>
    <w:tbl>
      <w:tblPr>
        <w:tblW w:type="auto" w:w="0"/>
        <w:jc w:val="center"/>
        <w:tblLayout w:type="autofit"/>
        <w:tblLook w:firstColumn="1" w:firstRow="1" w:lastColumn="0" w:lastRow="0" w:noHBand="0" w:noVBand="1" w:val="04A0"/>
      </w:tblPr>
      <w:tblGrid>
        <w:gridCol w:w="3211"/>
        <w:gridCol w:w="3211"/>
        <w:gridCol w:w="3211"/>
      </w:tblGrid>
      <w:tr>
        <w:tc>
          <w:tcPr>
            <w:tcW w:type="dxa" w:w="3211"/>
            <w:vAlign w:val="center"/>
            <w:tcMar>
              <w:top w:w="90" w:type="dxa"/>
              <w:start w:w="110" w:type="dxa"/>
              <w:bottom w:w="90" w:type="dxa"/>
              <w:end w:w="110" w:type="dxa"/>
            </w:tcMar>
            <w:shd w:fill="4F46E5"/>
          </w:tcPr>
          <w:p>
            <w:r>
              <w:rPr>
                <w:b/>
                <w:color w:val="FFFFFF"/>
              </w:rPr>
              <w:t>Area</w:t>
            </w:r>
          </w:p>
        </w:tc>
        <w:tc>
          <w:tcPr>
            <w:tcW w:type="dxa" w:w="3211"/>
            <w:vAlign w:val="center"/>
            <w:tcMar>
              <w:top w:w="90" w:type="dxa"/>
              <w:start w:w="110" w:type="dxa"/>
              <w:bottom w:w="90" w:type="dxa"/>
              <w:end w:w="110" w:type="dxa"/>
            </w:tcMar>
            <w:shd w:fill="4F46E5"/>
          </w:tcPr>
          <w:p>
            <w:r>
              <w:rPr>
                <w:b/>
                <w:color w:val="FFFFFF"/>
              </w:rPr>
              <w:t>Kondisi saat ini</w:t>
            </w:r>
          </w:p>
        </w:tc>
        <w:tc>
          <w:tcPr>
            <w:tcW w:type="dxa" w:w="3211"/>
            <w:vAlign w:val="center"/>
            <w:tcMar>
              <w:top w:w="90" w:type="dxa"/>
              <w:start w:w="110" w:type="dxa"/>
              <w:bottom w:w="90" w:type="dxa"/>
              <w:end w:w="110" w:type="dxa"/>
            </w:tcMar>
            <w:shd w:fill="4F46E5"/>
          </w:tcPr>
          <w:p>
            <w:r>
              <w:rPr>
                <w:b/>
                <w:color w:val="FFFFFF"/>
              </w:rPr>
              <w:t>Kebutuhan menuju produksi</w:t>
            </w:r>
          </w:p>
        </w:tc>
      </w:tr>
      <w:tr>
        <w:tc>
          <w:tcPr>
            <w:tcW w:type="dxa" w:w="3211"/>
            <w:vAlign w:val="center"/>
            <w:tcMar>
              <w:top w:w="90" w:type="dxa"/>
              <w:start w:w="110" w:type="dxa"/>
              <w:bottom w:w="90" w:type="dxa"/>
              <w:end w:w="110" w:type="dxa"/>
            </w:tcMar>
          </w:tcPr>
          <w:p>
            <w:r>
              <w:t>eKYC AI</w:t>
            </w:r>
          </w:p>
        </w:tc>
        <w:tc>
          <w:tcPr>
            <w:tcW w:type="dxa" w:w="3211"/>
            <w:vAlign w:val="center"/>
            <w:tcMar>
              <w:top w:w="90" w:type="dxa"/>
              <w:start w:w="110" w:type="dxa"/>
              <w:bottom w:w="90" w:type="dxa"/>
              <w:end w:w="110" w:type="dxa"/>
            </w:tcMar>
          </w:tcPr>
          <w:p>
            <w:r>
              <w:t>OCR, liveness, dan face match memiliki kontrak API; model server masih stub. OCR web juga tersedia secara on-device.</w:t>
            </w:r>
          </w:p>
        </w:tc>
        <w:tc>
          <w:tcPr>
            <w:tcW w:type="dxa" w:w="3211"/>
            <w:vAlign w:val="center"/>
            <w:tcMar>
              <w:top w:w="90" w:type="dxa"/>
              <w:start w:w="110" w:type="dxa"/>
              <w:bottom w:w="90" w:type="dxa"/>
              <w:end w:w="110" w:type="dxa"/>
            </w:tcMar>
          </w:tcPr>
          <w:p>
            <w:r>
              <w:t>Aktifkan model tervalidasi atau hubungkan vendor eKYC resmi; lakukan benchmark dan anti-spoof testing.</w:t>
            </w:r>
          </w:p>
        </w:tc>
      </w:tr>
      <w:tr>
        <w:tc>
          <w:tcPr>
            <w:tcW w:type="dxa" w:w="3211"/>
            <w:vAlign w:val="center"/>
            <w:tcMar>
              <w:top w:w="90" w:type="dxa"/>
              <w:start w:w="110" w:type="dxa"/>
              <w:bottom w:w="90" w:type="dxa"/>
              <w:end w:w="110" w:type="dxa"/>
            </w:tcMar>
            <w:shd w:fill="EEF2FF"/>
          </w:tcPr>
          <w:p>
            <w:r>
              <w:t>Payment</w:t>
            </w:r>
          </w:p>
        </w:tc>
        <w:tc>
          <w:tcPr>
            <w:tcW w:type="dxa" w:w="3211"/>
            <w:vAlign w:val="center"/>
            <w:tcMar>
              <w:top w:w="90" w:type="dxa"/>
              <w:start w:w="110" w:type="dxa"/>
              <w:bottom w:w="90" w:type="dxa"/>
              <w:end w:w="110" w:type="dxa"/>
            </w:tcMar>
            <w:shd w:fill="EEF2FF"/>
          </w:tcPr>
          <w:p>
            <w:r>
              <w:t>Alur VA/QRIS, webhook, dan settlement tersedia dalam simulasi.</w:t>
            </w:r>
          </w:p>
        </w:tc>
        <w:tc>
          <w:tcPr>
            <w:tcW w:type="dxa" w:w="3211"/>
            <w:vAlign w:val="center"/>
            <w:tcMar>
              <w:top w:w="90" w:type="dxa"/>
              <w:start w:w="110" w:type="dxa"/>
              <w:bottom w:w="90" w:type="dxa"/>
              <w:end w:w="110" w:type="dxa"/>
            </w:tcMar>
            <w:shd w:fill="EEF2FF"/>
          </w:tcPr>
          <w:p>
            <w:r>
              <w:t>Integrasi sandbox/production gateway, validasi signature, idempotency, dan rekonsiliasi.</w:t>
            </w:r>
          </w:p>
        </w:tc>
      </w:tr>
      <w:tr>
        <w:tc>
          <w:tcPr>
            <w:tcW w:type="dxa" w:w="3211"/>
            <w:vAlign w:val="center"/>
            <w:tcMar>
              <w:top w:w="90" w:type="dxa"/>
              <w:start w:w="110" w:type="dxa"/>
              <w:bottom w:w="90" w:type="dxa"/>
              <w:end w:w="110" w:type="dxa"/>
            </w:tcMar>
          </w:tcPr>
          <w:p>
            <w:r>
              <w:t>S-INVEST/SID</w:t>
            </w:r>
          </w:p>
        </w:tc>
        <w:tc>
          <w:tcPr>
            <w:tcW w:type="dxa" w:w="3211"/>
            <w:vAlign w:val="center"/>
            <w:tcMar>
              <w:top w:w="90" w:type="dxa"/>
              <w:start w:w="110" w:type="dxa"/>
              <w:bottom w:w="90" w:type="dxa"/>
              <w:end w:w="110" w:type="dxa"/>
            </w:tcMar>
          </w:tcPr>
          <w:p>
            <w:r>
              <w:t>Adapter dan simulasi SID/IFUA tersedia.</w:t>
            </w:r>
          </w:p>
        </w:tc>
        <w:tc>
          <w:tcPr>
            <w:tcW w:type="dxa" w:w="3211"/>
            <w:vAlign w:val="center"/>
            <w:tcMar>
              <w:top w:w="90" w:type="dxa"/>
              <w:start w:w="110" w:type="dxa"/>
              <w:bottom w:w="90" w:type="dxa"/>
              <w:end w:w="110" w:type="dxa"/>
            </w:tcMar>
          </w:tcPr>
          <w:p>
            <w:r>
              <w:t>Kredensial, spesifikasi, sertifikasi, serta UAT resmi bersama pihak terkait.</w:t>
            </w:r>
          </w:p>
        </w:tc>
      </w:tr>
      <w:tr>
        <w:tc>
          <w:tcPr>
            <w:tcW w:type="dxa" w:w="3211"/>
            <w:vAlign w:val="center"/>
            <w:tcMar>
              <w:top w:w="90" w:type="dxa"/>
              <w:start w:w="110" w:type="dxa"/>
              <w:bottom w:w="90" w:type="dxa"/>
              <w:end w:w="110" w:type="dxa"/>
            </w:tcMar>
            <w:shd w:fill="EEF2FF"/>
          </w:tcPr>
          <w:p>
            <w:r>
              <w:t>Tanda tangan</w:t>
            </w:r>
          </w:p>
        </w:tc>
        <w:tc>
          <w:tcPr>
            <w:tcW w:type="dxa" w:w="3211"/>
            <w:vAlign w:val="center"/>
            <w:tcMar>
              <w:top w:w="90" w:type="dxa"/>
              <w:start w:w="110" w:type="dxa"/>
              <w:bottom w:w="90" w:type="dxa"/>
              <w:end w:w="110" w:type="dxa"/>
            </w:tcMar>
            <w:shd w:fill="EEF2FF"/>
          </w:tcPr>
          <w:p>
            <w:r>
              <w:t>Canvas signature dan adapter penyedia tersedia.</w:t>
            </w:r>
          </w:p>
        </w:tc>
        <w:tc>
          <w:tcPr>
            <w:tcW w:type="dxa" w:w="3211"/>
            <w:vAlign w:val="center"/>
            <w:tcMar>
              <w:top w:w="90" w:type="dxa"/>
              <w:start w:w="110" w:type="dxa"/>
              <w:bottom w:w="90" w:type="dxa"/>
              <w:end w:w="110" w:type="dxa"/>
            </w:tcMar>
            <w:shd w:fill="EEF2FF"/>
          </w:tcPr>
          <w:p>
            <w:r>
              <w:t>Integrasi akun enterprise/sandbox penyedia tanda tangan elektronik.</w:t>
            </w:r>
          </w:p>
        </w:tc>
      </w:tr>
      <w:tr>
        <w:tc>
          <w:tcPr>
            <w:tcW w:type="dxa" w:w="3211"/>
            <w:vAlign w:val="center"/>
            <w:tcMar>
              <w:top w:w="90" w:type="dxa"/>
              <w:start w:w="110" w:type="dxa"/>
              <w:bottom w:w="90" w:type="dxa"/>
              <w:end w:w="110" w:type="dxa"/>
            </w:tcMar>
          </w:tcPr>
          <w:p>
            <w:r>
              <w:t>Email</w:t>
            </w:r>
          </w:p>
        </w:tc>
        <w:tc>
          <w:tcPr>
            <w:tcW w:type="dxa" w:w="3211"/>
            <w:vAlign w:val="center"/>
            <w:tcMar>
              <w:top w:w="90" w:type="dxa"/>
              <w:start w:w="110" w:type="dxa"/>
              <w:bottom w:w="90" w:type="dxa"/>
              <w:end w:w="110" w:type="dxa"/>
            </w:tcMar>
          </w:tcPr>
          <w:p>
            <w:r>
              <w:t>Template registrasi dan penyelesaian akun tersedia.</w:t>
            </w:r>
          </w:p>
        </w:tc>
        <w:tc>
          <w:tcPr>
            <w:tcW w:type="dxa" w:w="3211"/>
            <w:vAlign w:val="center"/>
            <w:tcMar>
              <w:top w:w="90" w:type="dxa"/>
              <w:start w:w="110" w:type="dxa"/>
              <w:bottom w:w="90" w:type="dxa"/>
              <w:end w:w="110" w:type="dxa"/>
            </w:tcMar>
          </w:tcPr>
          <w:p>
            <w:r>
              <w:t>SMTP/provider production, domain authentication, dan deliverability test.</w:t>
            </w:r>
          </w:p>
        </w:tc>
      </w:tr>
      <w:tr>
        <w:tc>
          <w:tcPr>
            <w:tcW w:type="dxa" w:w="3211"/>
            <w:vAlign w:val="center"/>
            <w:tcMar>
              <w:top w:w="90" w:type="dxa"/>
              <w:start w:w="110" w:type="dxa"/>
              <w:bottom w:w="90" w:type="dxa"/>
              <w:end w:w="110" w:type="dxa"/>
            </w:tcMar>
            <w:shd w:fill="EEF2FF"/>
          </w:tcPr>
          <w:p>
            <w:r>
              <w:t>Mobile</w:t>
            </w:r>
          </w:p>
        </w:tc>
        <w:tc>
          <w:tcPr>
            <w:tcW w:type="dxa" w:w="3211"/>
            <w:vAlign w:val="center"/>
            <w:tcMar>
              <w:top w:w="90" w:type="dxa"/>
              <w:start w:w="110" w:type="dxa"/>
              <w:bottom w:w="90" w:type="dxa"/>
              <w:end w:w="110" w:type="dxa"/>
            </w:tcMar>
            <w:shd w:fill="EEF2FF"/>
          </w:tcPr>
          <w:p>
            <w:r>
              <w:t>Struktur serta layar utama Android/iOS tersedia.</w:t>
            </w:r>
          </w:p>
        </w:tc>
        <w:tc>
          <w:tcPr>
            <w:tcW w:type="dxa" w:w="3211"/>
            <w:vAlign w:val="center"/>
            <w:tcMar>
              <w:top w:w="90" w:type="dxa"/>
              <w:start w:w="110" w:type="dxa"/>
              <w:bottom w:w="90" w:type="dxa"/>
              <w:end w:w="110" w:type="dxa"/>
            </w:tcMar>
            <w:shd w:fill="EEF2FF"/>
          </w:tcPr>
          <w:p>
            <w:r>
              <w:t>Penyempurnaan integrasi data nyata, QA perangkat, signing, dan proses store.</w:t>
            </w:r>
          </w:p>
        </w:tc>
      </w:tr>
      <w:tr>
        <w:tc>
          <w:tcPr>
            <w:tcW w:type="dxa" w:w="3211"/>
            <w:vAlign w:val="center"/>
            <w:tcMar>
              <w:top w:w="90" w:type="dxa"/>
              <w:start w:w="110" w:type="dxa"/>
              <w:bottom w:w="90" w:type="dxa"/>
              <w:end w:w="110" w:type="dxa"/>
            </w:tcMar>
          </w:tcPr>
          <w:p>
            <w:r>
              <w:t>Pengujian</w:t>
            </w:r>
          </w:p>
        </w:tc>
        <w:tc>
          <w:tcPr>
            <w:tcW w:type="dxa" w:w="3211"/>
            <w:vAlign w:val="center"/>
            <w:tcMar>
              <w:top w:w="90" w:type="dxa"/>
              <w:start w:w="110" w:type="dxa"/>
              <w:bottom w:w="90" w:type="dxa"/>
              <w:end w:w="110" w:type="dxa"/>
            </w:tcMar>
          </w:tcPr>
          <w:p>
            <w:r>
              <w:t>Feature test awal eKYC tersedia.</w:t>
            </w:r>
          </w:p>
        </w:tc>
        <w:tc>
          <w:tcPr>
            <w:tcW w:type="dxa" w:w="3211"/>
            <w:vAlign w:val="center"/>
            <w:tcMar>
              <w:top w:w="90" w:type="dxa"/>
              <w:start w:w="110" w:type="dxa"/>
              <w:bottom w:w="90" w:type="dxa"/>
              <w:end w:w="110" w:type="dxa"/>
            </w:tcMar>
          </w:tcPr>
          <w:p>
            <w:r>
              <w:t>Perluasan automated test, integration test, security test, regression, dan UAT.</w:t>
            </w:r>
          </w:p>
        </w:tc>
      </w:tr>
    </w:tbl>
    <w:p/>
    <w:p>
      <w:r>
        <w:t>Go-live produksi bergantung pada keberhasilan UAT, ketersediaan akun vendor, infrastruktur, dokumen legal, serta persetujuan klien dan pihak regulator/mitra yang relevan.</w:t>
      </w:r>
    </w:p>
    <w:p>
      <w:pPr>
        <w:pStyle w:val="Heading1"/>
      </w:pPr>
      <w:r>
        <w:t>5. Deliverables</w:t>
      </w:r>
    </w:p>
    <w:p>
      <w:pPr>
        <w:pStyle w:val="ListNumber"/>
      </w:pPr>
      <w:r>
        <w:t>Source code sesuai paket pada repository yang disepakati.</w:t>
      </w:r>
    </w:p>
    <w:p>
      <w:pPr>
        <w:pStyle w:val="ListNumber"/>
      </w:pPr>
      <w:r>
        <w:t>Database migration dan seeder untuk environment UAT.</w:t>
      </w:r>
    </w:p>
    <w:p>
      <w:pPr>
        <w:pStyle w:val="ListNumber"/>
      </w:pPr>
      <w:r>
        <w:t>Build website, CMS, backend API, dan aplikasi mobile sesuai paket.</w:t>
      </w:r>
    </w:p>
    <w:p>
      <w:pPr>
        <w:pStyle w:val="ListNumber"/>
      </w:pPr>
      <w:r>
        <w:t>Docker configuration dan konfigurasi deployment awal.</w:t>
      </w:r>
    </w:p>
    <w:p>
      <w:pPr>
        <w:pStyle w:val="ListNumber"/>
      </w:pPr>
      <w:r>
        <w:t>API collection atau dokumentasi endpoint utama.</w:t>
      </w:r>
    </w:p>
    <w:p>
      <w:pPr>
        <w:pStyle w:val="ListNumber"/>
      </w:pPr>
      <w:r>
        <w:t>Panduan instalasi, konfigurasi, deployment, dan backup dasar.</w:t>
      </w:r>
    </w:p>
    <w:p>
      <w:pPr>
        <w:pStyle w:val="ListNumber"/>
      </w:pPr>
      <w:r>
        <w:t>Test report dan daftar hasil UAT.</w:t>
      </w:r>
    </w:p>
    <w:p>
      <w:pPr>
        <w:pStyle w:val="ListNumber"/>
      </w:pPr>
      <w:r>
        <w:t>Sesi knowledge transfer maksimal dua kali, masing-masing maksimal dua jam.</w:t>
      </w:r>
    </w:p>
    <w:p>
      <w:pPr>
        <w:pStyle w:val="ListNumber"/>
      </w:pPr>
      <w:r>
        <w:t>Berita acara serah terima setelah kriteria penerimaan terpenuhi.</w:t>
      </w:r>
    </w:p>
    <w:p>
      <w:pPr>
        <w:pStyle w:val="Heading1"/>
      </w:pPr>
      <w:r>
        <w:t>6. Paket dan Investasi</w:t>
      </w:r>
    </w:p>
    <w:p>
      <w:r>
        <w:t>Seluruh nilai berikut dalam Rupiah, belum termasuk PPN apabila berlaku dan belum mencakup biaya pihak ketiga.</w:t>
      </w:r>
    </w:p>
    <w:tbl>
      <w:tblPr>
        <w:tblW w:type="auto" w:w="0"/>
        <w:jc w:val="center"/>
        <w:tblLayout w:type="autofit"/>
        <w:tblLook w:firstColumn="1" w:firstRow="1" w:lastColumn="0" w:lastRow="0" w:noHBand="0" w:noVBand="1" w:val="04A0"/>
      </w:tblPr>
      <w:tblGrid>
        <w:gridCol w:w="3211"/>
        <w:gridCol w:w="3211"/>
        <w:gridCol w:w="3211"/>
      </w:tblGrid>
      <w:tr>
        <w:tc>
          <w:tcPr>
            <w:tcW w:type="dxa" w:w="3211"/>
            <w:vAlign w:val="center"/>
            <w:tcMar>
              <w:top w:w="90" w:type="dxa"/>
              <w:start w:w="110" w:type="dxa"/>
              <w:bottom w:w="90" w:type="dxa"/>
              <w:end w:w="110" w:type="dxa"/>
            </w:tcMar>
            <w:shd w:fill="4F46E5"/>
          </w:tcPr>
          <w:p>
            <w:r>
              <w:rPr>
                <w:b/>
                <w:color w:val="FFFFFF"/>
              </w:rPr>
              <w:t>Paket</w:t>
            </w:r>
          </w:p>
        </w:tc>
        <w:tc>
          <w:tcPr>
            <w:tcW w:type="dxa" w:w="3211"/>
            <w:vAlign w:val="center"/>
            <w:tcMar>
              <w:top w:w="90" w:type="dxa"/>
              <w:start w:w="110" w:type="dxa"/>
              <w:bottom w:w="90" w:type="dxa"/>
              <w:end w:w="110" w:type="dxa"/>
            </w:tcMar>
            <w:shd w:fill="4F46E5"/>
          </w:tcPr>
          <w:p>
            <w:r>
              <w:rPr>
                <w:b/>
                <w:color w:val="FFFFFF"/>
              </w:rPr>
              <w:t>Cakupan</w:t>
            </w:r>
          </w:p>
        </w:tc>
        <w:tc>
          <w:tcPr>
            <w:tcW w:type="dxa" w:w="3211"/>
            <w:vAlign w:val="center"/>
            <w:tcMar>
              <w:top w:w="90" w:type="dxa"/>
              <w:start w:w="110" w:type="dxa"/>
              <w:bottom w:w="90" w:type="dxa"/>
              <w:end w:w="110" w:type="dxa"/>
            </w:tcMar>
            <w:shd w:fill="4F46E5"/>
          </w:tcPr>
          <w:p>
            <w:r>
              <w:rPr>
                <w:b/>
                <w:color w:val="FFFFFF"/>
              </w:rPr>
              <w:t>Nilai</w:t>
            </w:r>
          </w:p>
        </w:tc>
      </w:tr>
      <w:tr>
        <w:tc>
          <w:tcPr>
            <w:tcW w:type="dxa" w:w="3211"/>
            <w:vAlign w:val="center"/>
            <w:tcMar>
              <w:top w:w="90" w:type="dxa"/>
              <w:start w:w="110" w:type="dxa"/>
              <w:bottom w:w="90" w:type="dxa"/>
              <w:end w:w="110" w:type="dxa"/>
            </w:tcMar>
          </w:tcPr>
          <w:p>
            <w:r>
              <w:rPr>
                <w:b/>
              </w:rPr>
              <w:t>A — Web, CMS, API, dan eKYC Service</w:t>
            </w:r>
          </w:p>
        </w:tc>
        <w:tc>
          <w:tcPr>
            <w:tcW w:type="dxa" w:w="3211"/>
            <w:vAlign w:val="center"/>
            <w:tcMar>
              <w:top w:w="90" w:type="dxa"/>
              <w:start w:w="110" w:type="dxa"/>
              <w:bottom w:w="90" w:type="dxa"/>
              <w:end w:w="110" w:type="dxa"/>
            </w:tcMar>
          </w:tcPr>
          <w:p>
            <w:r>
              <w:t>Website nasabah, CMS, backend API, database, deployment awal, dan layanan eKYC mode demo/adapter. Tidak termasuk aplikasi mobile dan biaya vendor.</w:t>
            </w:r>
          </w:p>
        </w:tc>
        <w:tc>
          <w:tcPr>
            <w:tcW w:type="dxa" w:w="3211"/>
            <w:vAlign w:val="center"/>
            <w:tcMar>
              <w:top w:w="90" w:type="dxa"/>
              <w:start w:w="110" w:type="dxa"/>
              <w:bottom w:w="90" w:type="dxa"/>
              <w:end w:w="110" w:type="dxa"/>
            </w:tcMar>
          </w:tcPr>
          <w:p>
            <w:r>
              <w:rPr>
                <w:b/>
              </w:rPr>
              <w:t>Rp145.000.000</w:t>
            </w:r>
          </w:p>
        </w:tc>
      </w:tr>
      <w:tr>
        <w:tc>
          <w:tcPr>
            <w:tcW w:type="dxa" w:w="3211"/>
            <w:vAlign w:val="center"/>
            <w:tcMar>
              <w:top w:w="90" w:type="dxa"/>
              <w:start w:w="110" w:type="dxa"/>
              <w:bottom w:w="90" w:type="dxa"/>
              <w:end w:w="110" w:type="dxa"/>
            </w:tcMar>
            <w:shd w:fill="EEF2FF"/>
          </w:tcPr>
          <w:p>
            <w:r>
              <w:rPr>
                <w:b/>
              </w:rPr>
              <w:t>B — Omnichannel Android</w:t>
            </w:r>
            <w:r>
              <w:t xml:space="preserve"> *(direkomendasikan)*</w:t>
            </w:r>
          </w:p>
        </w:tc>
        <w:tc>
          <w:tcPr>
            <w:tcW w:type="dxa" w:w="3211"/>
            <w:vAlign w:val="center"/>
            <w:tcMar>
              <w:top w:w="90" w:type="dxa"/>
              <w:start w:w="110" w:type="dxa"/>
              <w:bottom w:w="90" w:type="dxa"/>
              <w:end w:w="110" w:type="dxa"/>
            </w:tcMar>
            <w:shd w:fill="EEF2FF"/>
          </w:tcPr>
          <w:p>
            <w:r>
              <w:t>Seluruh Paket A ditambah aplikasi Flutter Android dan build APK/AAB untuk UAT.</w:t>
            </w:r>
          </w:p>
        </w:tc>
        <w:tc>
          <w:tcPr>
            <w:tcW w:type="dxa" w:w="3211"/>
            <w:vAlign w:val="center"/>
            <w:tcMar>
              <w:top w:w="90" w:type="dxa"/>
              <w:start w:w="110" w:type="dxa"/>
              <w:bottom w:w="90" w:type="dxa"/>
              <w:end w:w="110" w:type="dxa"/>
            </w:tcMar>
            <w:shd w:fill="EEF2FF"/>
          </w:tcPr>
          <w:p>
            <w:r>
              <w:rPr>
                <w:b/>
              </w:rPr>
              <w:t>Rp200.000.000</w:t>
            </w:r>
          </w:p>
        </w:tc>
      </w:tr>
      <w:tr>
        <w:tc>
          <w:tcPr>
            <w:tcW w:type="dxa" w:w="3211"/>
            <w:vAlign w:val="center"/>
            <w:tcMar>
              <w:top w:w="90" w:type="dxa"/>
              <w:start w:w="110" w:type="dxa"/>
              <w:bottom w:w="90" w:type="dxa"/>
              <w:end w:w="110" w:type="dxa"/>
            </w:tcMar>
          </w:tcPr>
          <w:p>
            <w:r>
              <w:rPr>
                <w:b/>
              </w:rPr>
              <w:t>C — Omnichannel Android &amp; iOS</w:t>
            </w:r>
          </w:p>
        </w:tc>
        <w:tc>
          <w:tcPr>
            <w:tcW w:type="dxa" w:w="3211"/>
            <w:vAlign w:val="center"/>
            <w:tcMar>
              <w:top w:w="90" w:type="dxa"/>
              <w:start w:w="110" w:type="dxa"/>
              <w:bottom w:w="90" w:type="dxa"/>
              <w:end w:w="110" w:type="dxa"/>
            </w:tcMar>
          </w:tcPr>
          <w:p>
            <w:r>
              <w:t>Seluruh Paket B ditambah build iOS, dukungan proses submission awal ke store, dan maintenance tiga bulan setelah go-live.</w:t>
            </w:r>
          </w:p>
        </w:tc>
        <w:tc>
          <w:tcPr>
            <w:tcW w:type="dxa" w:w="3211"/>
            <w:vAlign w:val="center"/>
            <w:tcMar>
              <w:top w:w="90" w:type="dxa"/>
              <w:start w:w="110" w:type="dxa"/>
              <w:bottom w:w="90" w:type="dxa"/>
              <w:end w:w="110" w:type="dxa"/>
            </w:tcMar>
          </w:tcPr>
          <w:p>
            <w:r>
              <w:rPr>
                <w:b/>
              </w:rPr>
              <w:t>Rp240.000.000</w:t>
            </w:r>
          </w:p>
        </w:tc>
      </w:tr>
    </w:tbl>
    <w:p/>
    <w:p>
      <w:pPr>
        <w:pStyle w:val="Heading2"/>
      </w:pPr>
      <w:r>
        <w:t>Add-on</w:t>
      </w:r>
    </w:p>
    <w:tbl>
      <w:tblPr>
        <w:tblW w:type="auto" w:w="0"/>
        <w:jc w:val="center"/>
        <w:tblLayout w:type="autofit"/>
        <w:tblLook w:firstColumn="1" w:firstRow="1" w:lastColumn="0" w:lastRow="0" w:noHBand="0" w:noVBand="1" w:val="04A0"/>
      </w:tblPr>
      <w:tblGrid>
        <w:gridCol w:w="4816"/>
        <w:gridCol w:w="4816"/>
      </w:tblGrid>
      <w:tr>
        <w:tc>
          <w:tcPr>
            <w:tcW w:type="dxa" w:w="4816"/>
            <w:vAlign w:val="center"/>
            <w:tcMar>
              <w:top w:w="90" w:type="dxa"/>
              <w:start w:w="110" w:type="dxa"/>
              <w:bottom w:w="90" w:type="dxa"/>
              <w:end w:w="110" w:type="dxa"/>
            </w:tcMar>
            <w:shd w:fill="4F46E5"/>
          </w:tcPr>
          <w:p>
            <w:r>
              <w:rPr>
                <w:b/>
                <w:color w:val="FFFFFF"/>
              </w:rPr>
              <w:t>Pekerjaan tambahan</w:t>
            </w:r>
          </w:p>
        </w:tc>
        <w:tc>
          <w:tcPr>
            <w:tcW w:type="dxa" w:w="4816"/>
            <w:vAlign w:val="center"/>
            <w:tcMar>
              <w:top w:w="90" w:type="dxa"/>
              <w:start w:w="110" w:type="dxa"/>
              <w:bottom w:w="90" w:type="dxa"/>
              <w:end w:w="110" w:type="dxa"/>
            </w:tcMar>
            <w:shd w:fill="4F46E5"/>
          </w:tcPr>
          <w:p>
            <w:r>
              <w:rPr>
                <w:b/>
                <w:color w:val="FFFFFF"/>
              </w:rPr>
              <w:t>Nilai</w:t>
            </w:r>
          </w:p>
        </w:tc>
      </w:tr>
      <w:tr>
        <w:tc>
          <w:tcPr>
            <w:tcW w:type="dxa" w:w="4816"/>
            <w:vAlign w:val="center"/>
            <w:tcMar>
              <w:top w:w="90" w:type="dxa"/>
              <w:start w:w="110" w:type="dxa"/>
              <w:bottom w:w="90" w:type="dxa"/>
              <w:end w:w="110" w:type="dxa"/>
            </w:tcMar>
          </w:tcPr>
          <w:p>
            <w:r>
              <w:t>Mobile Android apabila dikerjakan setelah Paket A</w:t>
            </w:r>
          </w:p>
        </w:tc>
        <w:tc>
          <w:tcPr>
            <w:tcW w:type="dxa" w:w="4816"/>
            <w:vAlign w:val="center"/>
            <w:tcMar>
              <w:top w:w="90" w:type="dxa"/>
              <w:start w:w="110" w:type="dxa"/>
              <w:bottom w:w="90" w:type="dxa"/>
              <w:end w:w="110" w:type="dxa"/>
            </w:tcMar>
          </w:tcPr>
          <w:p>
            <w:r>
              <w:t>Rp55.000.000</w:t>
            </w:r>
          </w:p>
        </w:tc>
      </w:tr>
      <w:tr>
        <w:tc>
          <w:tcPr>
            <w:tcW w:type="dxa" w:w="4816"/>
            <w:vAlign w:val="center"/>
            <w:tcMar>
              <w:top w:w="90" w:type="dxa"/>
              <w:start w:w="110" w:type="dxa"/>
              <w:bottom w:w="90" w:type="dxa"/>
              <w:end w:w="110" w:type="dxa"/>
            </w:tcMar>
            <w:shd w:fill="EEF2FF"/>
          </w:tcPr>
          <w:p>
            <w:r>
              <w:t>Build dan persiapan submission iOS</w:t>
            </w:r>
          </w:p>
        </w:tc>
        <w:tc>
          <w:tcPr>
            <w:tcW w:type="dxa" w:w="4816"/>
            <w:vAlign w:val="center"/>
            <w:tcMar>
              <w:top w:w="90" w:type="dxa"/>
              <w:start w:w="110" w:type="dxa"/>
              <w:bottom w:w="90" w:type="dxa"/>
              <w:end w:w="110" w:type="dxa"/>
            </w:tcMar>
            <w:shd w:fill="EEF2FF"/>
          </w:tcPr>
          <w:p>
            <w:r>
              <w:t>Rp30.000.000</w:t>
            </w:r>
          </w:p>
        </w:tc>
      </w:tr>
      <w:tr>
        <w:tc>
          <w:tcPr>
            <w:tcW w:type="dxa" w:w="4816"/>
            <w:vAlign w:val="center"/>
            <w:tcMar>
              <w:top w:w="90" w:type="dxa"/>
              <w:start w:w="110" w:type="dxa"/>
              <w:bottom w:w="90" w:type="dxa"/>
              <w:end w:w="110" w:type="dxa"/>
            </w:tcMar>
          </w:tcPr>
          <w:p>
            <w:r>
              <w:t>Jasa integrasi satu vendor produksi (eKYC/Privy/S-INVEST/payment)</w:t>
            </w:r>
          </w:p>
        </w:tc>
        <w:tc>
          <w:tcPr>
            <w:tcW w:type="dxa" w:w="4816"/>
            <w:vAlign w:val="center"/>
            <w:tcMar>
              <w:top w:w="90" w:type="dxa"/>
              <w:start w:w="110" w:type="dxa"/>
              <w:bottom w:w="90" w:type="dxa"/>
              <w:end w:w="110" w:type="dxa"/>
            </w:tcMar>
          </w:tcPr>
          <w:p>
            <w:r>
              <w:t>Mulai Rp15.000.000/vendor, setelah API dikaji</w:t>
            </w:r>
          </w:p>
        </w:tc>
      </w:tr>
      <w:tr>
        <w:tc>
          <w:tcPr>
            <w:tcW w:type="dxa" w:w="4816"/>
            <w:vAlign w:val="center"/>
            <w:tcMar>
              <w:top w:w="90" w:type="dxa"/>
              <w:start w:w="110" w:type="dxa"/>
              <w:bottom w:w="90" w:type="dxa"/>
              <w:end w:w="110" w:type="dxa"/>
            </w:tcMar>
            <w:shd w:fill="EEF2FF"/>
          </w:tcPr>
          <w:p>
            <w:r>
              <w:t>Maintenance dan support</w:t>
            </w:r>
          </w:p>
        </w:tc>
        <w:tc>
          <w:tcPr>
            <w:tcW w:type="dxa" w:w="4816"/>
            <w:vAlign w:val="center"/>
            <w:tcMar>
              <w:top w:w="90" w:type="dxa"/>
              <w:start w:w="110" w:type="dxa"/>
              <w:bottom w:w="90" w:type="dxa"/>
              <w:end w:w="110" w:type="dxa"/>
            </w:tcMar>
            <w:shd w:fill="EEF2FF"/>
          </w:tcPr>
          <w:p>
            <w:r>
              <w:t>Rp7.500.000/bulan</w:t>
            </w:r>
          </w:p>
        </w:tc>
      </w:tr>
      <w:tr>
        <w:tc>
          <w:tcPr>
            <w:tcW w:type="dxa" w:w="4816"/>
            <w:vAlign w:val="center"/>
            <w:tcMar>
              <w:top w:w="90" w:type="dxa"/>
              <w:start w:w="110" w:type="dxa"/>
              <w:bottom w:w="90" w:type="dxa"/>
              <w:end w:w="110" w:type="dxa"/>
            </w:tcMar>
          </w:tcPr>
          <w:p>
            <w:r>
              <w:t>Fitur di luar ruang lingkup</w:t>
            </w:r>
          </w:p>
        </w:tc>
        <w:tc>
          <w:tcPr>
            <w:tcW w:type="dxa" w:w="4816"/>
            <w:vAlign w:val="center"/>
            <w:tcMar>
              <w:top w:w="90" w:type="dxa"/>
              <w:start w:w="110" w:type="dxa"/>
              <w:bottom w:w="90" w:type="dxa"/>
              <w:end w:w="110" w:type="dxa"/>
            </w:tcMar>
          </w:tcPr>
          <w:p>
            <w:r>
              <w:t>Berdasarkan change request</w:t>
            </w:r>
          </w:p>
        </w:tc>
      </w:tr>
    </w:tbl>
    <w:p/>
    <w:p>
      <w:r>
        <w:t>Harga final integrasi vendor dapat berubah setelah dokumentasi API, akses sandbox, kebutuhan sertifikasi, dan skenario UAT resmi diterima.</w:t>
      </w:r>
    </w:p>
    <w:p>
      <w:pPr>
        <w:pStyle w:val="Heading1"/>
      </w:pPr>
      <w:r>
        <w:t>7. Estimasi Pelaksanaan</w:t>
      </w:r>
    </w:p>
    <w:p>
      <w:r>
        <w:t>Estimasi dimulai setelah kontrak, pembayaran termin pertama, materi, dan akses yang diperlukan telah diterima.</w:t>
      </w:r>
    </w:p>
    <w:tbl>
      <w:tblPr>
        <w:tblW w:type="auto" w:w="0"/>
        <w:jc w:val="center"/>
        <w:tblLayout w:type="autofit"/>
        <w:tblLook w:firstColumn="1" w:firstRow="1" w:lastColumn="0" w:lastRow="0" w:noHBand="0" w:noVBand="1" w:val="04A0"/>
      </w:tblPr>
      <w:tblGrid>
        <w:gridCol w:w="3211"/>
        <w:gridCol w:w="3211"/>
        <w:gridCol w:w="3211"/>
      </w:tblGrid>
      <w:tr>
        <w:tc>
          <w:tcPr>
            <w:tcW w:type="dxa" w:w="3211"/>
            <w:vAlign w:val="center"/>
            <w:tcMar>
              <w:top w:w="90" w:type="dxa"/>
              <w:start w:w="110" w:type="dxa"/>
              <w:bottom w:w="90" w:type="dxa"/>
              <w:end w:w="110" w:type="dxa"/>
            </w:tcMar>
            <w:shd w:fill="4F46E5"/>
          </w:tcPr>
          <w:p>
            <w:r>
              <w:rPr>
                <w:b/>
                <w:color w:val="FFFFFF"/>
              </w:rPr>
              <w:t>Fase</w:t>
            </w:r>
          </w:p>
        </w:tc>
        <w:tc>
          <w:tcPr>
            <w:tcW w:type="dxa" w:w="3211"/>
            <w:vAlign w:val="center"/>
            <w:tcMar>
              <w:top w:w="90" w:type="dxa"/>
              <w:start w:w="110" w:type="dxa"/>
              <w:bottom w:w="90" w:type="dxa"/>
              <w:end w:w="110" w:type="dxa"/>
            </w:tcMar>
            <w:shd w:fill="4F46E5"/>
          </w:tcPr>
          <w:p>
            <w:r>
              <w:rPr>
                <w:b/>
                <w:color w:val="FFFFFF"/>
              </w:rPr>
              <w:t>Estimasi</w:t>
            </w:r>
          </w:p>
        </w:tc>
        <w:tc>
          <w:tcPr>
            <w:tcW w:type="dxa" w:w="3211"/>
            <w:vAlign w:val="center"/>
            <w:tcMar>
              <w:top w:w="90" w:type="dxa"/>
              <w:start w:w="110" w:type="dxa"/>
              <w:bottom w:w="90" w:type="dxa"/>
              <w:end w:w="110" w:type="dxa"/>
            </w:tcMar>
            <w:shd w:fill="4F46E5"/>
          </w:tcPr>
          <w:p>
            <w:r>
              <w:rPr>
                <w:b/>
                <w:color w:val="FFFFFF"/>
              </w:rPr>
              <w:t>Hasil utama</w:t>
            </w:r>
          </w:p>
        </w:tc>
      </w:tr>
      <w:tr>
        <w:tc>
          <w:tcPr>
            <w:tcW w:type="dxa" w:w="3211"/>
            <w:vAlign w:val="center"/>
            <w:tcMar>
              <w:top w:w="90" w:type="dxa"/>
              <w:start w:w="110" w:type="dxa"/>
              <w:bottom w:w="90" w:type="dxa"/>
              <w:end w:w="110" w:type="dxa"/>
            </w:tcMar>
          </w:tcPr>
          <w:p>
            <w:r>
              <w:t>Discovery dan finalisasi kebutuhan</w:t>
            </w:r>
          </w:p>
        </w:tc>
        <w:tc>
          <w:tcPr>
            <w:tcW w:type="dxa" w:w="3211"/>
            <w:vAlign w:val="center"/>
            <w:tcMar>
              <w:top w:w="90" w:type="dxa"/>
              <w:start w:w="110" w:type="dxa"/>
              <w:bottom w:w="90" w:type="dxa"/>
              <w:end w:w="110" w:type="dxa"/>
            </w:tcMar>
          </w:tcPr>
          <w:p>
            <w:r>
              <w:t>1 minggu</w:t>
            </w:r>
          </w:p>
        </w:tc>
        <w:tc>
          <w:tcPr>
            <w:tcW w:type="dxa" w:w="3211"/>
            <w:vAlign w:val="center"/>
            <w:tcMar>
              <w:top w:w="90" w:type="dxa"/>
              <w:start w:w="110" w:type="dxa"/>
              <w:bottom w:w="90" w:type="dxa"/>
              <w:end w:w="110" w:type="dxa"/>
            </w:tcMar>
          </w:tcPr>
          <w:p>
            <w:r>
              <w:t>Scope final, backlog, acceptance criteria</w:t>
            </w:r>
          </w:p>
        </w:tc>
      </w:tr>
      <w:tr>
        <w:tc>
          <w:tcPr>
            <w:tcW w:type="dxa" w:w="3211"/>
            <w:vAlign w:val="center"/>
            <w:tcMar>
              <w:top w:w="90" w:type="dxa"/>
              <w:start w:w="110" w:type="dxa"/>
              <w:bottom w:w="90" w:type="dxa"/>
              <w:end w:w="110" w:type="dxa"/>
            </w:tcMar>
            <w:shd w:fill="EEF2FF"/>
          </w:tcPr>
          <w:p>
            <w:r>
              <w:t>Penyempurnaan backend dan database</w:t>
            </w:r>
          </w:p>
        </w:tc>
        <w:tc>
          <w:tcPr>
            <w:tcW w:type="dxa" w:w="3211"/>
            <w:vAlign w:val="center"/>
            <w:tcMar>
              <w:top w:w="90" w:type="dxa"/>
              <w:start w:w="110" w:type="dxa"/>
              <w:bottom w:w="90" w:type="dxa"/>
              <w:end w:w="110" w:type="dxa"/>
            </w:tcMar>
            <w:shd w:fill="EEF2FF"/>
          </w:tcPr>
          <w:p>
            <w:r>
              <w:t>2–3 minggu</w:t>
            </w:r>
          </w:p>
        </w:tc>
        <w:tc>
          <w:tcPr>
            <w:tcW w:type="dxa" w:w="3211"/>
            <w:vAlign w:val="center"/>
            <w:tcMar>
              <w:top w:w="90" w:type="dxa"/>
              <w:start w:w="110" w:type="dxa"/>
              <w:bottom w:w="90" w:type="dxa"/>
              <w:end w:w="110" w:type="dxa"/>
            </w:tcMar>
            <w:shd w:fill="EEF2FF"/>
          </w:tcPr>
          <w:p>
            <w:r>
              <w:t>API, migration, data UAT, adapter integrasi</w:t>
            </w:r>
          </w:p>
        </w:tc>
      </w:tr>
      <w:tr>
        <w:tc>
          <w:tcPr>
            <w:tcW w:type="dxa" w:w="3211"/>
            <w:vAlign w:val="center"/>
            <w:tcMar>
              <w:top w:w="90" w:type="dxa"/>
              <w:start w:w="110" w:type="dxa"/>
              <w:bottom w:w="90" w:type="dxa"/>
              <w:end w:w="110" w:type="dxa"/>
            </w:tcMar>
          </w:tcPr>
          <w:p>
            <w:r>
              <w:t>Penyempurnaan website dan CMS</w:t>
            </w:r>
          </w:p>
        </w:tc>
        <w:tc>
          <w:tcPr>
            <w:tcW w:type="dxa" w:w="3211"/>
            <w:vAlign w:val="center"/>
            <w:tcMar>
              <w:top w:w="90" w:type="dxa"/>
              <w:start w:w="110" w:type="dxa"/>
              <w:bottom w:w="90" w:type="dxa"/>
              <w:end w:w="110" w:type="dxa"/>
            </w:tcMar>
          </w:tcPr>
          <w:p>
            <w:r>
              <w:t>3–4 minggu</w:t>
            </w:r>
          </w:p>
        </w:tc>
        <w:tc>
          <w:tcPr>
            <w:tcW w:type="dxa" w:w="3211"/>
            <w:vAlign w:val="center"/>
            <w:tcMar>
              <w:top w:w="90" w:type="dxa"/>
              <w:start w:w="110" w:type="dxa"/>
              <w:bottom w:w="90" w:type="dxa"/>
              <w:end w:w="110" w:type="dxa"/>
            </w:tcMar>
          </w:tcPr>
          <w:p>
            <w:r>
              <w:t>Web dan CMS terintegrasi</w:t>
            </w:r>
          </w:p>
        </w:tc>
      </w:tr>
      <w:tr>
        <w:tc>
          <w:tcPr>
            <w:tcW w:type="dxa" w:w="3211"/>
            <w:vAlign w:val="center"/>
            <w:tcMar>
              <w:top w:w="90" w:type="dxa"/>
              <w:start w:w="110" w:type="dxa"/>
              <w:bottom w:w="90" w:type="dxa"/>
              <w:end w:w="110" w:type="dxa"/>
            </w:tcMar>
            <w:shd w:fill="EEF2FF"/>
          </w:tcPr>
          <w:p>
            <w:r>
              <w:t>Mobile Android/iOS sesuai paket</w:t>
            </w:r>
          </w:p>
        </w:tc>
        <w:tc>
          <w:tcPr>
            <w:tcW w:type="dxa" w:w="3211"/>
            <w:vAlign w:val="center"/>
            <w:tcMar>
              <w:top w:w="90" w:type="dxa"/>
              <w:start w:w="110" w:type="dxa"/>
              <w:bottom w:w="90" w:type="dxa"/>
              <w:end w:w="110" w:type="dxa"/>
            </w:tcMar>
            <w:shd w:fill="EEF2FF"/>
          </w:tcPr>
          <w:p>
            <w:r>
              <w:t>3–4 minggu</w:t>
            </w:r>
          </w:p>
        </w:tc>
        <w:tc>
          <w:tcPr>
            <w:tcW w:type="dxa" w:w="3211"/>
            <w:vAlign w:val="center"/>
            <w:tcMar>
              <w:top w:w="90" w:type="dxa"/>
              <w:start w:w="110" w:type="dxa"/>
              <w:bottom w:w="90" w:type="dxa"/>
              <w:end w:w="110" w:type="dxa"/>
            </w:tcMar>
            <w:shd w:fill="EEF2FF"/>
          </w:tcPr>
          <w:p>
            <w:r>
              <w:t>Build UAT mobile</w:t>
            </w:r>
          </w:p>
        </w:tc>
      </w:tr>
      <w:tr>
        <w:tc>
          <w:tcPr>
            <w:tcW w:type="dxa" w:w="3211"/>
            <w:vAlign w:val="center"/>
            <w:tcMar>
              <w:top w:w="90" w:type="dxa"/>
              <w:start w:w="110" w:type="dxa"/>
              <w:bottom w:w="90" w:type="dxa"/>
              <w:end w:w="110" w:type="dxa"/>
            </w:tcMar>
          </w:tcPr>
          <w:p>
            <w:r>
              <w:t>Integrasi vendor dan hardening</w:t>
            </w:r>
          </w:p>
        </w:tc>
        <w:tc>
          <w:tcPr>
            <w:tcW w:type="dxa" w:w="3211"/>
            <w:vAlign w:val="center"/>
            <w:tcMar>
              <w:top w:w="90" w:type="dxa"/>
              <w:start w:w="110" w:type="dxa"/>
              <w:bottom w:w="90" w:type="dxa"/>
              <w:end w:w="110" w:type="dxa"/>
            </w:tcMar>
          </w:tcPr>
          <w:p>
            <w:r>
              <w:t>2–3 minggu</w:t>
            </w:r>
          </w:p>
        </w:tc>
        <w:tc>
          <w:tcPr>
            <w:tcW w:type="dxa" w:w="3211"/>
            <w:vAlign w:val="center"/>
            <w:tcMar>
              <w:top w:w="90" w:type="dxa"/>
              <w:start w:w="110" w:type="dxa"/>
              <w:bottom w:w="90" w:type="dxa"/>
              <w:end w:w="110" w:type="dxa"/>
            </w:tcMar>
          </w:tcPr>
          <w:p>
            <w:r>
              <w:t>Integrasi sandbox, logging, security baseline</w:t>
            </w:r>
          </w:p>
        </w:tc>
      </w:tr>
      <w:tr>
        <w:tc>
          <w:tcPr>
            <w:tcW w:type="dxa" w:w="3211"/>
            <w:vAlign w:val="center"/>
            <w:tcMar>
              <w:top w:w="90" w:type="dxa"/>
              <w:start w:w="110" w:type="dxa"/>
              <w:bottom w:w="90" w:type="dxa"/>
              <w:end w:w="110" w:type="dxa"/>
            </w:tcMar>
            <w:shd w:fill="EEF2FF"/>
          </w:tcPr>
          <w:p>
            <w:r>
              <w:t>QA, UAT, perbaikan, dan deployment</w:t>
            </w:r>
          </w:p>
        </w:tc>
        <w:tc>
          <w:tcPr>
            <w:tcW w:type="dxa" w:w="3211"/>
            <w:vAlign w:val="center"/>
            <w:tcMar>
              <w:top w:w="90" w:type="dxa"/>
              <w:start w:w="110" w:type="dxa"/>
              <w:bottom w:w="90" w:type="dxa"/>
              <w:end w:w="110" w:type="dxa"/>
            </w:tcMar>
            <w:shd w:fill="EEF2FF"/>
          </w:tcPr>
          <w:p>
            <w:r>
              <w:t>2 minggu</w:t>
            </w:r>
          </w:p>
        </w:tc>
        <w:tc>
          <w:tcPr>
            <w:tcW w:type="dxa" w:w="3211"/>
            <w:vAlign w:val="center"/>
            <w:tcMar>
              <w:top w:w="90" w:type="dxa"/>
              <w:start w:w="110" w:type="dxa"/>
              <w:bottom w:w="90" w:type="dxa"/>
              <w:end w:w="110" w:type="dxa"/>
            </w:tcMar>
            <w:shd w:fill="EEF2FF"/>
          </w:tcPr>
          <w:p>
            <w:r>
              <w:t>UAT sign-off dan rilis</w:t>
            </w:r>
          </w:p>
        </w:tc>
      </w:tr>
    </w:tbl>
    <w:p/>
    <w:p>
      <w:r>
        <w:rPr>
          <w:b/>
        </w:rPr>
        <w:t>Estimasi Paket A:</w:t>
      </w:r>
      <w:r>
        <w:t xml:space="preserve"> 9–11 minggu.</w:t>
      </w:r>
    </w:p>
    <w:p>
      <w:r>
        <w:rPr>
          <w:b/>
        </w:rPr>
        <w:t>Estimasi Paket B/C:</w:t>
      </w:r>
      <w:r>
        <w:t xml:space="preserve"> 12–14 minggu.</w:t>
      </w:r>
    </w:p>
    <w:p>
      <w:r>
        <w:t>Beberapa fase dapat berjalan paralel. Timeline dapat berubah apabila akses vendor, feedback, data, atau approval dari klien terlambat.</w:t>
      </w:r>
    </w:p>
    <w:p>
      <w:pPr>
        <w:pStyle w:val="Heading1"/>
      </w:pPr>
      <w:r>
        <w:t>8. Termin Pembayaran</w:t>
      </w:r>
    </w:p>
    <w:tbl>
      <w:tblPr>
        <w:tblW w:type="auto" w:w="0"/>
        <w:jc w:val="center"/>
        <w:tblLayout w:type="autofit"/>
        <w:tblLook w:firstColumn="1" w:firstRow="1" w:lastColumn="0" w:lastRow="0" w:noHBand="0" w:noVBand="1" w:val="04A0"/>
      </w:tblPr>
      <w:tblGrid>
        <w:gridCol w:w="3211"/>
        <w:gridCol w:w="3211"/>
        <w:gridCol w:w="3211"/>
      </w:tblGrid>
      <w:tr>
        <w:tc>
          <w:tcPr>
            <w:tcW w:type="dxa" w:w="3211"/>
            <w:vAlign w:val="center"/>
            <w:tcMar>
              <w:top w:w="90" w:type="dxa"/>
              <w:start w:w="110" w:type="dxa"/>
              <w:bottom w:w="90" w:type="dxa"/>
              <w:end w:w="110" w:type="dxa"/>
            </w:tcMar>
            <w:shd w:fill="4F46E5"/>
          </w:tcPr>
          <w:p>
            <w:r>
              <w:rPr>
                <w:b/>
                <w:color w:val="FFFFFF"/>
              </w:rPr>
              <w:t>Termin</w:t>
            </w:r>
          </w:p>
        </w:tc>
        <w:tc>
          <w:tcPr>
            <w:tcW w:type="dxa" w:w="3211"/>
            <w:vAlign w:val="center"/>
            <w:tcMar>
              <w:top w:w="90" w:type="dxa"/>
              <w:start w:w="110" w:type="dxa"/>
              <w:bottom w:w="90" w:type="dxa"/>
              <w:end w:w="110" w:type="dxa"/>
            </w:tcMar>
            <w:shd w:fill="4F46E5"/>
          </w:tcPr>
          <w:p>
            <w:r>
              <w:rPr>
                <w:b/>
                <w:color w:val="FFFFFF"/>
              </w:rPr>
              <w:t>Persentase</w:t>
            </w:r>
          </w:p>
        </w:tc>
        <w:tc>
          <w:tcPr>
            <w:tcW w:type="dxa" w:w="3211"/>
            <w:vAlign w:val="center"/>
            <w:tcMar>
              <w:top w:w="90" w:type="dxa"/>
              <w:start w:w="110" w:type="dxa"/>
              <w:bottom w:w="90" w:type="dxa"/>
              <w:end w:w="110" w:type="dxa"/>
            </w:tcMar>
            <w:shd w:fill="4F46E5"/>
          </w:tcPr>
          <w:p>
            <w:r>
              <w:rPr>
                <w:b/>
                <w:color w:val="FFFFFF"/>
              </w:rPr>
              <w:t>Pemicu pembayaran</w:t>
            </w:r>
          </w:p>
        </w:tc>
      </w:tr>
      <w:tr>
        <w:tc>
          <w:tcPr>
            <w:tcW w:type="dxa" w:w="3211"/>
            <w:vAlign w:val="center"/>
            <w:tcMar>
              <w:top w:w="90" w:type="dxa"/>
              <w:start w:w="110" w:type="dxa"/>
              <w:bottom w:w="90" w:type="dxa"/>
              <w:end w:w="110" w:type="dxa"/>
            </w:tcMar>
          </w:tcPr>
          <w:p>
            <w:r>
              <w:t>I</w:t>
            </w:r>
          </w:p>
        </w:tc>
        <w:tc>
          <w:tcPr>
            <w:tcW w:type="dxa" w:w="3211"/>
            <w:vAlign w:val="center"/>
            <w:tcMar>
              <w:top w:w="90" w:type="dxa"/>
              <w:start w:w="110" w:type="dxa"/>
              <w:bottom w:w="90" w:type="dxa"/>
              <w:end w:w="110" w:type="dxa"/>
            </w:tcMar>
          </w:tcPr>
          <w:p>
            <w:r>
              <w:t>30%</w:t>
            </w:r>
          </w:p>
        </w:tc>
        <w:tc>
          <w:tcPr>
            <w:tcW w:type="dxa" w:w="3211"/>
            <w:vAlign w:val="center"/>
            <w:tcMar>
              <w:top w:w="90" w:type="dxa"/>
              <w:start w:w="110" w:type="dxa"/>
              <w:bottom w:w="90" w:type="dxa"/>
              <w:end w:w="110" w:type="dxa"/>
            </w:tcMar>
          </w:tcPr>
          <w:p>
            <w:r>
              <w:t>Penandatanganan kontrak dan dimulainya pekerjaan</w:t>
            </w:r>
          </w:p>
        </w:tc>
      </w:tr>
      <w:tr>
        <w:tc>
          <w:tcPr>
            <w:tcW w:type="dxa" w:w="3211"/>
            <w:vAlign w:val="center"/>
            <w:tcMar>
              <w:top w:w="90" w:type="dxa"/>
              <w:start w:w="110" w:type="dxa"/>
              <w:bottom w:w="90" w:type="dxa"/>
              <w:end w:w="110" w:type="dxa"/>
            </w:tcMar>
            <w:shd w:fill="EEF2FF"/>
          </w:tcPr>
          <w:p>
            <w:r>
              <w:t>II</w:t>
            </w:r>
          </w:p>
        </w:tc>
        <w:tc>
          <w:tcPr>
            <w:tcW w:type="dxa" w:w="3211"/>
            <w:vAlign w:val="center"/>
            <w:tcMar>
              <w:top w:w="90" w:type="dxa"/>
              <w:start w:w="110" w:type="dxa"/>
              <w:bottom w:w="90" w:type="dxa"/>
              <w:end w:w="110" w:type="dxa"/>
            </w:tcMar>
            <w:shd w:fill="EEF2FF"/>
          </w:tcPr>
          <w:p>
            <w:r>
              <w:t>30%</w:t>
            </w:r>
          </w:p>
        </w:tc>
        <w:tc>
          <w:tcPr>
            <w:tcW w:type="dxa" w:w="3211"/>
            <w:vAlign w:val="center"/>
            <w:tcMar>
              <w:top w:w="90" w:type="dxa"/>
              <w:start w:w="110" w:type="dxa"/>
              <w:bottom w:w="90" w:type="dxa"/>
              <w:end w:w="110" w:type="dxa"/>
            </w:tcMar>
            <w:shd w:fill="EEF2FF"/>
          </w:tcPr>
          <w:p>
            <w:r>
              <w:t>Backend API, database, dan CMS siap untuk demo milestone</w:t>
            </w:r>
          </w:p>
        </w:tc>
      </w:tr>
      <w:tr>
        <w:tc>
          <w:tcPr>
            <w:tcW w:type="dxa" w:w="3211"/>
            <w:vAlign w:val="center"/>
            <w:tcMar>
              <w:top w:w="90" w:type="dxa"/>
              <w:start w:w="110" w:type="dxa"/>
              <w:bottom w:w="90" w:type="dxa"/>
              <w:end w:w="110" w:type="dxa"/>
            </w:tcMar>
          </w:tcPr>
          <w:p>
            <w:r>
              <w:t>III</w:t>
            </w:r>
          </w:p>
        </w:tc>
        <w:tc>
          <w:tcPr>
            <w:tcW w:type="dxa" w:w="3211"/>
            <w:vAlign w:val="center"/>
            <w:tcMar>
              <w:top w:w="90" w:type="dxa"/>
              <w:start w:w="110" w:type="dxa"/>
              <w:bottom w:w="90" w:type="dxa"/>
              <w:end w:w="110" w:type="dxa"/>
            </w:tcMar>
          </w:tcPr>
          <w:p>
            <w:r>
              <w:t>30%</w:t>
            </w:r>
          </w:p>
        </w:tc>
        <w:tc>
          <w:tcPr>
            <w:tcW w:type="dxa" w:w="3211"/>
            <w:vAlign w:val="center"/>
            <w:tcMar>
              <w:top w:w="90" w:type="dxa"/>
              <w:start w:w="110" w:type="dxa"/>
              <w:bottom w:w="90" w:type="dxa"/>
              <w:end w:w="110" w:type="dxa"/>
            </w:tcMar>
          </w:tcPr>
          <w:p>
            <w:r>
              <w:t>Website/mobile sesuai paket siap memasuki UAT</w:t>
            </w:r>
          </w:p>
        </w:tc>
      </w:tr>
      <w:tr>
        <w:tc>
          <w:tcPr>
            <w:tcW w:type="dxa" w:w="3211"/>
            <w:vAlign w:val="center"/>
            <w:tcMar>
              <w:top w:w="90" w:type="dxa"/>
              <w:start w:w="110" w:type="dxa"/>
              <w:bottom w:w="90" w:type="dxa"/>
              <w:end w:w="110" w:type="dxa"/>
            </w:tcMar>
            <w:shd w:fill="EEF2FF"/>
          </w:tcPr>
          <w:p>
            <w:r>
              <w:t>IV</w:t>
            </w:r>
          </w:p>
        </w:tc>
        <w:tc>
          <w:tcPr>
            <w:tcW w:type="dxa" w:w="3211"/>
            <w:vAlign w:val="center"/>
            <w:tcMar>
              <w:top w:w="90" w:type="dxa"/>
              <w:start w:w="110" w:type="dxa"/>
              <w:bottom w:w="90" w:type="dxa"/>
              <w:end w:w="110" w:type="dxa"/>
            </w:tcMar>
            <w:shd w:fill="EEF2FF"/>
          </w:tcPr>
          <w:p>
            <w:r>
              <w:t>10%</w:t>
            </w:r>
          </w:p>
        </w:tc>
        <w:tc>
          <w:tcPr>
            <w:tcW w:type="dxa" w:w="3211"/>
            <w:vAlign w:val="center"/>
            <w:tcMar>
              <w:top w:w="90" w:type="dxa"/>
              <w:start w:w="110" w:type="dxa"/>
              <w:bottom w:w="90" w:type="dxa"/>
              <w:end w:w="110" w:type="dxa"/>
            </w:tcMar>
            <w:shd w:fill="EEF2FF"/>
          </w:tcPr>
          <w:p>
            <w:r>
              <w:t>UAT disetujui dan serah terima/deployment awal selesai</w:t>
            </w:r>
          </w:p>
        </w:tc>
      </w:tr>
    </w:tbl>
    <w:p/>
    <w:p>
      <w:r>
        <w:t>Invoice dibayarkan maksimal 7 hari kalender sejak diterbitkan. Pekerjaan dapat dijadwalkan ulang apabila pembayaran melewati tanggal jatuh tempo.</w:t>
      </w:r>
    </w:p>
    <w:p>
      <w:pPr>
        <w:pStyle w:val="Heading1"/>
      </w:pPr>
      <w:r>
        <w:t>9. Kriteria Penerimaan</w:t>
      </w:r>
    </w:p>
    <w:p>
      <w:r>
        <w:t>Pekerjaan dinyatakan diterima apabila:</w:t>
      </w:r>
    </w:p>
    <w:p>
      <w:pPr>
        <w:pStyle w:val="ListNumber"/>
      </w:pPr>
      <w:r>
        <w:t>Fitur dalam scope dapat dijalankan pada environment UAT yang disepakati.</w:t>
      </w:r>
    </w:p>
    <w:p>
      <w:pPr>
        <w:pStyle w:val="ListNumber"/>
      </w:pPr>
      <w:r>
        <w:t>Tidak terdapat defect kategori blocker atau critical pada alur utama.</w:t>
      </w:r>
    </w:p>
    <w:p>
      <w:pPr>
        <w:pStyle w:val="ListNumber"/>
      </w:pPr>
      <w:r>
        <w:t>Integrasi pihak ketiga berjalan pada sandbox apabila akses telah disediakan.</w:t>
      </w:r>
    </w:p>
    <w:p>
      <w:pPr>
        <w:pStyle w:val="ListNumber"/>
      </w:pPr>
      <w:r>
        <w:t>Build dan source code telah diserahkan sesuai paket.</w:t>
      </w:r>
    </w:p>
    <w:p>
      <w:pPr>
        <w:pStyle w:val="ListNumber"/>
      </w:pPr>
      <w:r>
        <w:t>Dokumentasi dan knowledge transfer telah diberikan.</w:t>
      </w:r>
    </w:p>
    <w:p>
      <w:pPr>
        <w:pStyle w:val="ListNumber"/>
      </w:pPr>
      <w:r>
        <w:t>Klien menandatangani hasil UAT atau tidak menyampaikan defect yang terverifikasi dalam 7 hari kerja setelah pengajuan penerimaan.</w:t>
      </w:r>
    </w:p>
    <w:p>
      <w:r>
        <w:t>Perubahan preferensi desain atau kebutuhan baru setelah scope disetujui diproses sebagai change request dan bukan defect.</w:t>
      </w:r>
    </w:p>
    <w:p>
      <w:pPr>
        <w:pStyle w:val="Heading1"/>
      </w:pPr>
      <w:r>
        <w:t>10. Tanggung Jawab Para Pihak</w:t>
      </w:r>
    </w:p>
    <w:p>
      <w:pPr>
        <w:pStyle w:val="Heading2"/>
      </w:pPr>
      <w:r>
        <w:t>Penyedia</w:t>
      </w:r>
    </w:p>
    <w:p>
      <w:pPr>
        <w:pStyle w:val="ListBullet"/>
      </w:pPr>
      <w:r>
        <w:t>Melaksanakan pekerjaan sesuai scope, timeline, dan praktik engineering yang wajar.</w:t>
      </w:r>
    </w:p>
    <w:p>
      <w:pPr>
        <w:pStyle w:val="ListBullet"/>
      </w:pPr>
      <w:r>
        <w:t>Menjaga kerahasiaan data dan akses yang diberikan klien.</w:t>
      </w:r>
    </w:p>
    <w:p>
      <w:pPr>
        <w:pStyle w:val="ListBullet"/>
      </w:pPr>
      <w:r>
        <w:t>Memberikan pembaruan progres dan mendokumentasikan kendala material.</w:t>
      </w:r>
    </w:p>
    <w:p>
      <w:pPr>
        <w:pStyle w:val="ListBullet"/>
      </w:pPr>
      <w:r>
        <w:t>Memperbaiki bug yang termasuk cakupan masa garansi.</w:t>
      </w:r>
    </w:p>
    <w:p>
      <w:pPr>
        <w:pStyle w:val="Heading2"/>
      </w:pPr>
      <w:r>
        <w:t>Klien</w:t>
      </w:r>
    </w:p>
    <w:p>
      <w:pPr>
        <w:pStyle w:val="ListBullet"/>
      </w:pPr>
      <w:r>
        <w:t>Menunjuk satu product owner/pengambil keputusan.</w:t>
      </w:r>
    </w:p>
    <w:p>
      <w:pPr>
        <w:pStyle w:val="ListBullet"/>
      </w:pPr>
      <w:r>
        <w:t>Menyediakan konten, aset brand, data produk, kebijakan bisnis, dan feedback tepat waktu.</w:t>
      </w:r>
    </w:p>
    <w:p>
      <w:pPr>
        <w:pStyle w:val="ListBullet"/>
      </w:pPr>
      <w:r>
        <w:t>Menyediakan domain, server/cloud, akun store, serta akun dan kredensial vendor.</w:t>
      </w:r>
    </w:p>
    <w:p>
      <w:pPr>
        <w:pStyle w:val="ListBullet"/>
      </w:pPr>
      <w:r>
        <w:t>Menanggung biaya lisensi, transaksi, sertifikasi, infrastruktur, dan pihak ketiga.</w:t>
      </w:r>
    </w:p>
    <w:p>
      <w:pPr>
        <w:pStyle w:val="ListBullet"/>
      </w:pPr>
      <w:r>
        <w:t>Memastikan proses bisnis dan penggunaan sistem mematuhi ketentuan regulator.</w:t>
      </w:r>
    </w:p>
    <w:p>
      <w:pPr>
        <w:pStyle w:val="Heading1"/>
      </w:pPr>
      <w:r>
        <w:t>11. Asumsi, Pengecualian, dan Biaya Pihak Ketiga</w:t>
      </w:r>
    </w:p>
    <w:p>
      <w:r>
        <w:t>Penawaran tidak termasuk:</w:t>
      </w:r>
    </w:p>
    <w:p>
      <w:pPr>
        <w:pStyle w:val="ListBullet"/>
      </w:pPr>
      <w:r>
        <w:t>Lisensi dan biaya per transaksi eKYC, tanda tangan elektronik, payment gateway, SMS/WhatsApp OTP, email, dan layanan pihak ketiga lainnya.</w:t>
      </w:r>
    </w:p>
    <w:p>
      <w:pPr>
        <w:pStyle w:val="ListBullet"/>
      </w:pPr>
      <w:r>
        <w:t>Keanggotaan, sertifikasi, koneksi, atau biaya S-INVEST/KSEI dan regulator.</w:t>
      </w:r>
    </w:p>
    <w:p>
      <w:pPr>
        <w:pStyle w:val="ListBullet"/>
      </w:pPr>
      <w:r>
        <w:t>Cloud/VPS, domain, SSL berbayar, CDN, object storage, observability, dan backup berbayar.</w:t>
      </w:r>
    </w:p>
    <w:p>
      <w:pPr>
        <w:pStyle w:val="ListBullet"/>
      </w:pPr>
      <w:r>
        <w:t>Audit keamanan independen, penetration test tersertifikasi, audit legal, dan sertifikasi kepatuhan.</w:t>
      </w:r>
    </w:p>
    <w:p>
      <w:pPr>
        <w:pStyle w:val="ListBullet"/>
      </w:pPr>
      <w:r>
        <w:t>Migrasi data dari sistem lama yang belum didefinisikan.</w:t>
      </w:r>
    </w:p>
    <w:p>
      <w:pPr>
        <w:pStyle w:val="ListBullet"/>
      </w:pPr>
      <w:r>
        <w:t>Pembuatan konten final, copywriting, foto, video, atau materi legal.</w:t>
      </w:r>
    </w:p>
    <w:p>
      <w:pPr>
        <w:pStyle w:val="ListBullet"/>
      </w:pPr>
      <w:r>
        <w:t>Perangkat Apple, akun Apple Developer/Google Play Console, dan biaya store.</w:t>
      </w:r>
    </w:p>
    <w:p>
      <w:pPr>
        <w:pStyle w:val="ListBullet"/>
      </w:pPr>
      <w:r>
        <w:t>Operasional harian, customer support nasabah, serta SLA 24/7.</w:t>
      </w:r>
    </w:p>
    <w:p>
      <w:r>
        <w:t>Mode demo/stub tidak boleh digunakan untuk memproses transaksi atau verifikasi identitas nasabah secara nyata.</w:t>
      </w:r>
    </w:p>
    <w:p>
      <w:pPr>
        <w:pStyle w:val="Heading1"/>
      </w:pPr>
      <w:r>
        <w:t>12. Perubahan Ruang Lingkup</w:t>
      </w:r>
    </w:p>
    <w:p>
      <w:r>
        <w:t>Permintaan di luar scope akan didokumentasikan melalui change request yang memuat dampak biaya, waktu, dan risiko. Pekerjaan tambahan dimulai setelah change request disetujui secara tertulis oleh kedua pihak.</w:t>
      </w:r>
    </w:p>
    <w:p>
      <w:pPr>
        <w:pStyle w:val="Heading1"/>
      </w:pPr>
      <w:r>
        <w:t>13. Garansi dan Maintenance</w:t>
      </w:r>
    </w:p>
    <w:p>
      <w:pPr>
        <w:pStyle w:val="ListBullet"/>
      </w:pPr>
      <w:r>
        <w:t xml:space="preserve">Paket A dan B memperoleh garansi perbaikan bug selama </w:t>
      </w:r>
      <w:r>
        <w:rPr>
          <w:b/>
        </w:rPr>
        <w:t>30 hari kalender</w:t>
      </w:r>
      <w:r>
        <w:t xml:space="preserve"> setelah go-live.</w:t>
      </w:r>
    </w:p>
    <w:p>
      <w:pPr>
        <w:pStyle w:val="ListBullet"/>
      </w:pPr>
      <w:r>
        <w:t xml:space="preserve">Paket C memperoleh maintenance selama </w:t>
      </w:r>
      <w:r>
        <w:rPr>
          <w:b/>
        </w:rPr>
        <w:t>3 bulan</w:t>
      </w:r>
      <w:r>
        <w:t xml:space="preserve"> setelah go-live.</w:t>
      </w:r>
    </w:p>
    <w:p>
      <w:pPr>
        <w:pStyle w:val="ListBullet"/>
      </w:pPr>
      <w:r>
        <w:t>Garansi mencakup ketidaksesuaian implementasi terhadap scope yang disetujui.</w:t>
      </w:r>
    </w:p>
    <w:p>
      <w:pPr>
        <w:pStyle w:val="ListBullet"/>
      </w:pPr>
      <w:r>
        <w:t>Garansi tidak mencakup perubahan API vendor, perubahan kebijakan store/regulator, gangguan infrastruktur pihak ketiga, kesalahan operasional, atau modifikasi kode oleh pihak lain.</w:t>
      </w:r>
    </w:p>
    <w:p>
      <w:pPr>
        <w:pStyle w:val="ListBullet"/>
      </w:pPr>
      <w:r>
        <w:t>Support lanjutan tersedia melalui kontrak maintenance terpisah.</w:t>
      </w:r>
    </w:p>
    <w:p>
      <w:pPr>
        <w:pStyle w:val="Heading1"/>
      </w:pPr>
      <w:r>
        <w:t>14. Hak Kekayaan Intelektual dan Kerahasiaan</w:t>
      </w:r>
    </w:p>
    <w:p>
      <w:r>
        <w:t>Setelah seluruh pembayaran diselesaikan, source code khusus yang dibuat dalam pekerjaan ini diserahkan kepada klien. Hak atas framework, library open-source, komponen pihak ketiga, dan reusable component tetap mengikuti lisensi masing-masing. Kedua pihak wajib menjaga kerahasiaan data, kredensial, dokumentasi, dan informasi bisnis yang diterima selama pekerjaan.</w:t>
      </w:r>
    </w:p>
    <w:p>
      <w:r>
        <w:t>Data produksi tidak akan digunakan sebagai data pengembangan tanpa persetujuan dan prosedur masking yang memadai.</w:t>
      </w:r>
    </w:p>
    <w:p>
      <w:pPr>
        <w:pStyle w:val="Heading1"/>
      </w:pPr>
      <w:r>
        <w:t>15. Kepatuhan dan Keamanan</w:t>
      </w:r>
    </w:p>
    <w:p>
      <w:r>
        <w:t>Platform akan disiapkan dengan baseline keamanan aplikasi seperti autentikasi, otorisasi, validasi input, penyimpanan secret melalui environment, logging, dan perlindungan endpoint sensitif. Namun keputusan kelayakan produksi harus mempertimbangkan hasil UAT, security assessment, kebijakan internal, perlindungan data pribadi, serta ketentuan OJK, KSEI, dan pihak terkait yang berlaku.</w:t>
      </w:r>
    </w:p>
    <w:p>
      <w:r>
        <w:t>Penyedia bertindak sebagai pengembang teknologi dan tidak memberikan jaminan perizinan usaha, persetujuan regulator, atau sertifikasi atas layanan pihak ketiga.</w:t>
      </w:r>
    </w:p>
    <w:p>
      <w:pPr>
        <w:pStyle w:val="Heading1"/>
      </w:pPr>
      <w:r>
        <w:t>16. Persetujuan Penawaran</w:t>
      </w:r>
    </w:p>
    <w:p>
      <w:r>
        <w:t>Dengan menandatangani dokumen ini, para pihak menyatakan memahami ruang lingkup, nilai, asumsi, timeline, serta ketentuan yang tercantum. Kontrak kerja/perjanjian terpisah dapat digunakan untuk mengatur ketentuan hukum secara lebih rinci.</w:t>
      </w:r>
    </w:p>
    <w:tbl>
      <w:tblPr>
        <w:tblW w:type="auto" w:w="0"/>
        <w:jc w:val="center"/>
        <w:tblLayout w:type="autofit"/>
        <w:tblLook w:firstColumn="1" w:firstRow="1" w:lastColumn="0" w:lastRow="0" w:noHBand="0" w:noVBand="1" w:val="04A0"/>
      </w:tblPr>
      <w:tblGrid>
        <w:gridCol w:w="4816"/>
        <w:gridCol w:w="4816"/>
      </w:tblGrid>
      <w:tr>
        <w:tc>
          <w:tcPr>
            <w:tcW w:type="dxa" w:w="4816"/>
            <w:vAlign w:val="center"/>
            <w:tcMar>
              <w:top w:w="90" w:type="dxa"/>
              <w:start w:w="110" w:type="dxa"/>
              <w:bottom w:w="90" w:type="dxa"/>
              <w:end w:w="110" w:type="dxa"/>
            </w:tcMar>
            <w:shd w:fill="4F46E5"/>
          </w:tcPr>
          <w:p>
            <w:r>
              <w:rPr>
                <w:b/>
                <w:color w:val="FFFFFF"/>
              </w:rPr>
              <w:t>Untuk Victoria Sekuritas</w:t>
            </w:r>
          </w:p>
        </w:tc>
        <w:tc>
          <w:tcPr>
            <w:tcW w:type="dxa" w:w="4816"/>
            <w:vAlign w:val="center"/>
            <w:tcMar>
              <w:top w:w="90" w:type="dxa"/>
              <w:start w:w="110" w:type="dxa"/>
              <w:bottom w:w="90" w:type="dxa"/>
              <w:end w:w="110" w:type="dxa"/>
            </w:tcMar>
            <w:shd w:fill="4F46E5"/>
          </w:tcPr>
          <w:p>
            <w:r>
              <w:rPr>
                <w:b/>
                <w:color w:val="FFFFFF"/>
              </w:rPr>
              <w:t>Penyedia Jasa</w:t>
            </w:r>
          </w:p>
        </w:tc>
      </w:tr>
      <w:tr>
        <w:tc>
          <w:tcPr>
            <w:tcW w:type="dxa" w:w="4816"/>
            <w:vAlign w:val="center"/>
            <w:tcMar>
              <w:top w:w="90" w:type="dxa"/>
              <w:start w:w="110" w:type="dxa"/>
              <w:bottom w:w="90" w:type="dxa"/>
              <w:end w:w="110" w:type="dxa"/>
            </w:tcMar>
          </w:tcPr>
          <w:p>
            <w:r>
              <w:t>Nama: __________________________</w:t>
            </w:r>
          </w:p>
        </w:tc>
        <w:tc>
          <w:tcPr>
            <w:tcW w:type="dxa" w:w="4816"/>
            <w:vAlign w:val="center"/>
            <w:tcMar>
              <w:top w:w="90" w:type="dxa"/>
              <w:start w:w="110" w:type="dxa"/>
              <w:bottom w:w="90" w:type="dxa"/>
              <w:end w:w="110" w:type="dxa"/>
            </w:tcMar>
          </w:tcPr>
          <w:p>
            <w:r>
              <w:rPr>
                <w:b/>
              </w:rPr>
              <w:t>Marfino Hamzah</w:t>
            </w:r>
          </w:p>
        </w:tc>
      </w:tr>
      <w:tr>
        <w:tc>
          <w:tcPr>
            <w:tcW w:type="dxa" w:w="4816"/>
            <w:vAlign w:val="center"/>
            <w:tcMar>
              <w:top w:w="90" w:type="dxa"/>
              <w:start w:w="110" w:type="dxa"/>
              <w:bottom w:w="90" w:type="dxa"/>
              <w:end w:w="110" w:type="dxa"/>
            </w:tcMar>
            <w:shd w:fill="EEF2FF"/>
          </w:tcPr>
          <w:p>
            <w:r>
              <w:t>Jabatan: _______________________</w:t>
            </w:r>
          </w:p>
        </w:tc>
        <w:tc>
          <w:tcPr>
            <w:tcW w:type="dxa" w:w="4816"/>
            <w:vAlign w:val="center"/>
            <w:tcMar>
              <w:top w:w="90" w:type="dxa"/>
              <w:start w:w="110" w:type="dxa"/>
              <w:bottom w:w="90" w:type="dxa"/>
              <w:end w:w="110" w:type="dxa"/>
            </w:tcMar>
            <w:shd w:fill="EEF2FF"/>
          </w:tcPr>
          <w:p>
            <w:r>
              <w:t>Jasa Pengembangan Software</w:t>
            </w:r>
          </w:p>
        </w:tc>
      </w:tr>
      <w:tr>
        <w:tc>
          <w:tcPr>
            <w:tcW w:type="dxa" w:w="4816"/>
            <w:vAlign w:val="center"/>
            <w:tcMar>
              <w:top w:w="90" w:type="dxa"/>
              <w:start w:w="110" w:type="dxa"/>
              <w:bottom w:w="90" w:type="dxa"/>
              <w:end w:w="110" w:type="dxa"/>
            </w:tcMar>
          </w:tcPr>
          <w:p>
            <w:r>
              <w:t>Tanggal: _______________________</w:t>
            </w:r>
          </w:p>
        </w:tc>
        <w:tc>
          <w:tcPr>
            <w:tcW w:type="dxa" w:w="4816"/>
            <w:vAlign w:val="center"/>
            <w:tcMar>
              <w:top w:w="90" w:type="dxa"/>
              <w:start w:w="110" w:type="dxa"/>
              <w:bottom w:w="90" w:type="dxa"/>
              <w:end w:w="110" w:type="dxa"/>
            </w:tcMar>
          </w:tcPr>
          <w:p>
            <w:r>
              <w:t>Tanggal: _______________________</w:t>
            </w:r>
          </w:p>
        </w:tc>
      </w:tr>
      <w:tr>
        <w:tc>
          <w:tcPr>
            <w:tcW w:type="dxa" w:w="4816"/>
            <w:vAlign w:val="center"/>
            <w:tcMar>
              <w:top w:w="90" w:type="dxa"/>
              <w:start w:w="110" w:type="dxa"/>
              <w:bottom w:w="90" w:type="dxa"/>
              <w:end w:w="110" w:type="dxa"/>
            </w:tcMar>
            <w:shd w:fill="EEF2FF"/>
          </w:tcPr>
          <w:p>
            <w:r>
              <w:t>Tanda tangan: __________________</w:t>
            </w:r>
          </w:p>
        </w:tc>
        <w:tc>
          <w:tcPr>
            <w:tcW w:type="dxa" w:w="4816"/>
            <w:vAlign w:val="center"/>
            <w:tcMar>
              <w:top w:w="90" w:type="dxa"/>
              <w:start w:w="110" w:type="dxa"/>
              <w:bottom w:w="90" w:type="dxa"/>
              <w:end w:w="110" w:type="dxa"/>
            </w:tcMar>
            <w:shd w:fill="EEF2FF"/>
          </w:tcPr>
          <w:p>
            <w:r>
              <w:t>Tanda tangan: __________________</w:t>
            </w:r>
          </w:p>
        </w:tc>
      </w:tr>
    </w:tbl>
    <w:p/>
    <w:p>
      <w:r>
        <w:rPr>
          <w:b/>
        </w:rPr>
        <w:t>Kontak penyedia:</w:t>
      </w:r>
      <w:r>
        <w:t xml:space="preserve"> </w:t>
      </w:r>
      <w:r>
        <w:rPr>
          <w:rFonts w:ascii="Consolas" w:hAnsi="Consolas"/>
          <w:color w:val="4F46E5"/>
          <w:sz w:val="18"/>
        </w:rPr>
        <w:t>[nomor telepon/email]</w:t>
      </w:r>
    </w:p>
    <w:sectPr w:rsidR="00FC693F" w:rsidRPr="0006063C" w:rsidSect="00034616">
      <w:headerReference w:type="default" r:id="rId9"/>
      <w:footerReference w:type="default" r:id="rId10"/>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Dokumen Penawaran • Halaman </w:t>
    </w:r>
    <w:r>
      <w:rPr>
        <w:color w:val="6B7280"/>
        <w:sz w:val="16"/>
      </w:rPr>
      <w:fldChar w:fldCharType="begin"/>
      <w:instrText xml:space="preserve">PAGE</w:instrText>
      <w:fldChar w:fldCharType="separate"/>
      <w:fldChar w:fldCharType="end"/>
    </w:r>
    <w:r>
      <w:rPr>
        <w:color w:val="6B7280"/>
        <w:sz w:val="16"/>
      </w:rPr>
      <w:t xml:space="preserve"> dari </w:t>
    </w:r>
    <w:r>
      <w:rPr>
        <w:color w:val="6B7280"/>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F46E5"/>
        <w:sz w:val="16"/>
      </w:rPr>
      <w:t>VICTORIA SEKURITAS  |  PROPOSAL PENAWARAN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4F46E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Display" w:hAnsi="Aptos Display"/>
      <w:b/>
      <w:i/>
      <w:iCs/>
      <w:color w:val="1F293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Penawaran Platform Digital Investasi Reksa Dana Victoria Sekuritas</dc:title>
  <dc:subject>Penawaran pengembangan web, CMS, API, eKYC, dan aplikasi mobile</dc:subject>
  <dc:creator>Marfino Hamzah</dc:creator>
  <cp:keywords>Victoria Sekuritas, proposal, reksa dana, eKYC, mobile</cp:keywords>
  <dc:description>generated by python-docx</dc:description>
  <cp:lastModifiedBy/>
  <cp:revision>1</cp:revision>
  <dcterms:created xsi:type="dcterms:W3CDTF">2013-12-23T23:15:00Z</dcterms:created>
  <dcterms:modified xsi:type="dcterms:W3CDTF">2013-12-23T23:15:00Z</dcterms:modified>
  <cp:category/>
</cp:coreProperties>
</file>