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Role chain. </w:t>
            </w:r>
            <w:r>
              <w:rPr>
                <w:rFonts w:ascii="Calibri" w:hAnsi="Calibri"/>
                <w:b w:val="0"/>
                <w:i w:val="0"/>
                <w:color w:val="172033"/>
                <w:sz w:val="21"/>
              </w:rPr>
              <w:t>Guest explores; Student saves; Teacher contributes; Administrator operates; Superuser governs. Each step adds only the authority needed for that role.</w:t>
            </w:r>
          </w:p>
        </w:tc>
      </w:tr>
    </w:tbl>
    <w:p>
      <w:pPr>
        <w:keepNext w:val="0"/>
        <w:spacing w:before="0" w:after="40" w:line="300" w:lineRule="auto"/>
      </w:pPr>
    </w:p>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r>
        <w:br w:type="page"/>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p>
      <w:pPr>
        <w:keepNext w:val="0"/>
        <w:spacing w:before="0" w:after="80" w:line="300" w:lineRule="auto"/>
      </w:pPr>
      <w:r>
        <w:rPr>
          <w:rFonts w:ascii="Calibri" w:hAnsi="Calibri"/>
          <w:b/>
          <w:i w:val="0"/>
          <w:color w:val="1F4D78"/>
          <w:sz w:val="22"/>
        </w:rPr>
        <w:t xml:space="preserve">Guest entry. </w:t>
      </w:r>
      <w:r>
        <w:rPr>
          <w:rFonts w:ascii="Calibri" w:hAnsi="Calibri"/>
          <w:b w:val="0"/>
          <w:i w:val="0"/>
          <w:color w:val="172033"/>
          <w:sz w:val="22"/>
        </w:rPr>
        <w:t>Session-based guest mode allows low-friction public exploration.</w:t>
      </w:r>
    </w:p>
    <w:p>
      <w:pPr>
        <w:keepNext w:val="0"/>
        <w:spacing w:before="0" w:after="80" w:line="300" w:lineRule="auto"/>
      </w:pPr>
      <w:r>
        <w:rPr>
          <w:rFonts w:ascii="Calibri" w:hAnsi="Calibri"/>
          <w:b/>
          <w:i w:val="0"/>
          <w:color w:val="1F4D78"/>
          <w:sz w:val="22"/>
        </w:rPr>
        <w:t xml:space="preserve">Teacher resource tools. </w:t>
      </w:r>
      <w:r>
        <w:rPr>
          <w:rFonts w:ascii="Calibri" w:hAnsi="Calibri"/>
          <w:b w:val="0"/>
          <w:i w:val="0"/>
          <w:color w:val="172033"/>
          <w:sz w:val="22"/>
        </w:rPr>
        <w:t>A resource-manager permission check adds resource CRUD and AI review without staff authority.</w:t>
      </w:r>
    </w:p>
    <w:p>
      <w:pPr>
        <w:keepNext w:val="0"/>
        <w:spacing w:before="0" w:after="80" w:line="300" w:lineRule="auto"/>
      </w:pPr>
      <w:r>
        <w:rPr>
          <w:rFonts w:ascii="Calibri" w:hAnsi="Calibri"/>
          <w:b/>
          <w:i w:val="0"/>
          <w:color w:val="1F4D78"/>
          <w:sz w:val="22"/>
        </w:rPr>
        <w:t xml:space="preserve">Administrator tools. </w:t>
      </w:r>
      <w:r>
        <w:rPr>
          <w:rFonts w:ascii="Calibri" w:hAnsi="Calibri"/>
          <w:b w:val="0"/>
          <w:i w:val="0"/>
          <w:color w:val="172033"/>
          <w:sz w:val="22"/>
        </w:rPr>
        <w:t>An active-staff permission check protects user, announcement, and reporting functions.</w:t>
      </w:r>
    </w:p>
    <w:p>
      <w:pPr>
        <w:keepNext w:val="0"/>
        <w:spacing w:before="0" w:after="80" w:line="300" w:lineRule="auto"/>
      </w:pPr>
      <w:r>
        <w:rPr>
          <w:rFonts w:ascii="Calibri" w:hAnsi="Calibri"/>
          <w:b/>
          <w:i w:val="0"/>
          <w:color w:val="1F4D78"/>
          <w:sz w:val="22"/>
        </w:rPr>
        <w:t xml:space="preserve">Superuser governance. </w:t>
      </w:r>
      <w:r>
        <w:rPr>
          <w:rFonts w:ascii="Calibri" w:hAnsi="Calibri"/>
          <w:b w:val="0"/>
          <w:i w:val="0"/>
          <w:color w:val="172033"/>
          <w:sz w:val="22"/>
        </w:rPr>
        <w:t>A Superuser-only permission check protects Administrator creation and management.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hint="default"/>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