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Administrator operation across resources, users, announcements, AI Detection, reports, activity history, and Django administration.</w:t>
      </w:r>
    </w:p>
    <w:p>
      <w:pPr>
        <w:numPr>
          <w:ilvl w:val="0"/>
          <w:numId w:val="10"/>
        </w:numPr>
      </w:pPr>
      <w:r>
        <w:rPr>
          <w:rFonts w:ascii="Calibri" w:hAnsi="Calibri"/>
          <w:b w:val="0"/>
          <w:i w:val="0"/>
          <w:color w:val="172033"/>
          <w:sz w:val="22"/>
        </w:rPr>
        <w:t>Create a regular Administrator after confirming the Superuser's own password.</w:t>
      </w:r>
    </w:p>
    <w:p>
      <w:pPr>
        <w:numPr>
          <w:ilvl w:val="0"/>
          <w:numId w:val="10"/>
        </w:numPr>
      </w:pPr>
      <w:r>
        <w:rPr>
          <w:rFonts w:ascii="Calibri" w:hAnsi="Calibri"/>
          <w:b w:val="0"/>
          <w:i w:val="0"/>
          <w:color w:val="172033"/>
          <w:sz w:val="22"/>
        </w:rPr>
        <w:t>Edit another Administrator's username or password and oversee staff access.</w:t>
      </w:r>
    </w:p>
    <w:p>
      <w:pPr>
        <w:numPr>
          <w:ilvl w:val="0"/>
          <w:numId w:val="10"/>
        </w:numPr>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Administrator, Teacher, Student User, and Guest represent progressively narrower authority. This does not mean lower roles report directly to every higher role; each role receives only the tools needed for its purpose.</w:t>
      </w:r>
    </w:p>
    <w:p>
      <w:pPr>
        <w:numPr>
          <w:ilvl w:val="0"/>
          <w:numId w:val="10"/>
        </w:numPr>
      </w:pPr>
      <w:r>
        <w:rPr>
          <w:rFonts w:ascii="Calibri" w:hAnsi="Calibri"/>
          <w:b w:val="0"/>
          <w:i w:val="0"/>
          <w:color w:val="172033"/>
          <w:sz w:val="22"/>
        </w:rPr>
        <w:t>Guests and registered readers generate search, reading, bookmark, contact, and usage signals.</w:t>
      </w:r>
    </w:p>
    <w:p>
      <w:pPr>
        <w:numPr>
          <w:ilvl w:val="0"/>
          <w:numId w:val="10"/>
        </w:numPr>
      </w:pPr>
      <w:r>
        <w:rPr>
          <w:rFonts w:ascii="Calibri" w:hAnsi="Calibri"/>
          <w:b w:val="0"/>
          <w:i w:val="0"/>
          <w:color w:val="172033"/>
          <w:sz w:val="22"/>
        </w:rPr>
        <w:t>Teachers maintain repository content and receive AI-review outputs while remaining outside staff administration.</w:t>
      </w:r>
    </w:p>
    <w:p>
      <w:pPr>
        <w:numPr>
          <w:ilvl w:val="0"/>
          <w:numId w:val="10"/>
        </w:numPr>
      </w:pPr>
      <w:r>
        <w:rPr>
          <w:rFonts w:ascii="Calibri" w:hAnsi="Calibri"/>
          <w:b w:val="0"/>
          <w:i w:val="0"/>
          <w:color w:val="172033"/>
          <w:sz w:val="22"/>
        </w:rPr>
        <w:t>Administrators use operational reports and messages to maintain accounts, announcements, and Digital Sources.</w:t>
      </w:r>
    </w:p>
    <w:p>
      <w:pPr>
        <w:numPr>
          <w:ilvl w:val="0"/>
          <w:numId w:val="10"/>
        </w:numPr>
      </w:pPr>
      <w:r>
        <w:rPr>
          <w:rFonts w:ascii="Calibri" w:hAnsi="Calibri"/>
          <w:b w:val="0"/>
          <w:i w:val="0"/>
          <w:color w:val="172033"/>
          <w:sz w:val="22"/>
        </w:rPr>
        <w:t>Superusers govern Administrator access and intervene in high-risk or system-level decisions.</w:t>
      </w:r>
    </w:p>
    <w:p>
      <w:pPr>
        <w:numPr>
          <w:ilvl w:val="0"/>
          <w:numId w:val="10"/>
        </w:numPr>
      </w:pPr>
      <w:r>
        <w:rPr>
          <w:rFonts w:ascii="Calibri" w:hAnsi="Calibri"/>
          <w:b w:val="0"/>
          <w:i w:val="0"/>
          <w:color w:val="172033"/>
          <w:sz w:val="22"/>
        </w:rPr>
        <w:t>Published announcements and updated resources return to the reader-facing system, completing the feedback loop.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Conceptual summary. </w:t>
            </w:r>
            <w:r>
              <w:rPr>
                <w:rFonts w:ascii="Calibri" w:hAnsi="Calibri"/>
                <w:b w:val="0"/>
                <w:i w:val="0"/>
                <w:color w:val="172033"/>
                <w:sz w:val="21"/>
              </w:rPr>
              <w:t>ATLAS separates public discovery, registered reading, teacher contribution, operational administration, and root governance. The system first identifies the role, then enforces the narrowest appropriate permission set before presenting features or saving changes.</w:t>
            </w:r>
          </w:p>
        </w:tc>
      </w:tr>
    </w:tbl>
    <w:p>
      <w:pPr>
        <w:keepNext w:val="0"/>
        <w:spacing w:before="0" w:after="40" w:line="300" w:lineRule="auto"/>
      </w:pPr>
    </w:p>
    <w:p>
      <w:pPr>
        <w:pStyle w:val="Heading2"/>
      </w:pPr>
      <w:r>
        <w:t>Implementation alignment</w:t>
      </w:r>
    </w:p>
    <w:p>
      <w:pPr>
        <w:keepNext w:val="0"/>
        <w:spacing w:before="0" w:after="80" w:line="300" w:lineRule="auto"/>
      </w:pPr>
      <w:r>
        <w:rPr>
          <w:rFonts w:ascii="Calibri" w:hAnsi="Calibri"/>
          <w:b/>
          <w:i w:val="0"/>
          <w:color w:val="1F4D78"/>
          <w:sz w:val="22"/>
        </w:rPr>
        <w:t xml:space="preserve">Student/Teacher entry. </w:t>
      </w:r>
      <w:r>
        <w:rPr>
          <w:rFonts w:ascii="Calibri" w:hAnsi="Calibri"/>
          <w:b w:val="0"/>
          <w:i w:val="0"/>
          <w:color w:val="172033"/>
          <w:sz w:val="22"/>
        </w:rPr>
        <w:t>Role-aware public registration and login keep reader identity and privacy consent aligned.</w:t>
      </w:r>
    </w:p>
    <w:p>
      <w:pPr>
        <w:keepNext w:val="0"/>
        <w:spacing w:before="0" w:after="80" w:line="300" w:lineRule="auto"/>
      </w:pPr>
      <w:r>
        <w:rPr>
          <w:rFonts w:ascii="Calibri" w:hAnsi="Calibri"/>
          <w:b/>
          <w:i w:val="0"/>
          <w:color w:val="1F4D78"/>
          <w:sz w:val="22"/>
        </w:rPr>
        <w:t xml:space="preserve">Guest entry. </w:t>
      </w:r>
      <w:r>
        <w:rPr>
          <w:rFonts w:ascii="Calibri" w:hAnsi="Calibri"/>
          <w:b w:val="0"/>
          <w:i w:val="0"/>
          <w:color w:val="172033"/>
          <w:sz w:val="22"/>
        </w:rPr>
        <w:t>Session-based guest mode allows low-friction public exploration.</w:t>
      </w:r>
    </w:p>
    <w:p>
      <w:pPr>
        <w:keepNext w:val="0"/>
        <w:spacing w:before="0" w:after="80" w:line="300" w:lineRule="auto"/>
      </w:pPr>
      <w:r>
        <w:rPr>
          <w:rFonts w:ascii="Calibri" w:hAnsi="Calibri"/>
          <w:b/>
          <w:i w:val="0"/>
          <w:color w:val="1F4D78"/>
          <w:sz w:val="22"/>
        </w:rPr>
        <w:t xml:space="preserve">Teacher resource tools. </w:t>
      </w:r>
      <w:r>
        <w:rPr>
          <w:rFonts w:ascii="Calibri" w:hAnsi="Calibri"/>
          <w:b w:val="0"/>
          <w:i w:val="0"/>
          <w:color w:val="172033"/>
          <w:sz w:val="22"/>
        </w:rPr>
        <w:t>A resource-manager permission check adds resource CRUD and AI review without staff authority.</w:t>
      </w:r>
    </w:p>
    <w:p>
      <w:pPr>
        <w:keepNext w:val="0"/>
        <w:spacing w:before="0" w:after="80" w:line="300" w:lineRule="auto"/>
      </w:pPr>
      <w:r>
        <w:rPr>
          <w:rFonts w:ascii="Calibri" w:hAnsi="Calibri"/>
          <w:b/>
          <w:i w:val="0"/>
          <w:color w:val="1F4D78"/>
          <w:sz w:val="22"/>
        </w:rPr>
        <w:t xml:space="preserve">Administrator tools. </w:t>
      </w:r>
      <w:r>
        <w:rPr>
          <w:rFonts w:ascii="Calibri" w:hAnsi="Calibri"/>
          <w:b w:val="0"/>
          <w:i w:val="0"/>
          <w:color w:val="172033"/>
          <w:sz w:val="22"/>
        </w:rPr>
        <w:t>An active-staff permission check protects user, announcement, and reporting functions.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