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r>
        <w:br w:type="page"/>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p>
      <w:r>
        <w:br w:type="page"/>
      </w:r>
    </w:p>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r>
        <w:br w:type="page"/>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normal reader activity: browse, search, view details, read abstracts, bookmark, and contact support.</w:t>
      </w:r>
    </w:p>
    <w:p>
      <w:pPr>
        <w:numPr>
          <w:ilvl w:val="0"/>
          <w:numId w:val="10"/>
        </w:numPr>
      </w:pPr>
      <w:r>
        <w:rPr>
          <w:rFonts w:ascii="Calibri" w:hAnsi="Calibri"/>
          <w:b w:val="0"/>
          <w:i w:val="0"/>
          <w:color w:val="172033"/>
          <w:sz w:val="22"/>
        </w:rPr>
        <w:t>Add a Digital Sources item with metadata, cover image, resource abstract, resource file, and hard-copy availability information.</w:t>
      </w:r>
    </w:p>
    <w:p>
      <w:pPr>
        <w:numPr>
          <w:ilvl w:val="0"/>
          <w:numId w:val="10"/>
        </w:numPr>
      </w:pPr>
      <w:r>
        <w:rPr>
          <w:rFonts w:ascii="Calibri" w:hAnsi="Calibri"/>
          <w:b w:val="0"/>
          <w:i w:val="0"/>
          <w:color w:val="172033"/>
          <w:sz w:val="22"/>
        </w:rPr>
        <w:t>Edit or delete existing Digital Sources items; successful changes are recorded as activity.</w:t>
      </w:r>
    </w:p>
    <w:p>
      <w:pPr>
        <w:numPr>
          <w:ilvl w:val="0"/>
          <w:numId w:val="10"/>
        </w:numPr>
      </w:pPr>
      <w:r>
        <w:rPr>
          <w:rFonts w:ascii="Calibri" w:hAnsi="Calibri"/>
          <w:b w:val="0"/>
          <w:i w:val="0"/>
          <w:color w:val="172033"/>
          <w:sz w:val="22"/>
        </w:rPr>
        <w:t>Use AI Detection on pasted text or an uploaded supported document and review the advisory result.</w:t>
      </w:r>
    </w:p>
    <w:p>
      <w:pPr>
        <w:numPr>
          <w:ilvl w:val="0"/>
          <w:numId w:val="10"/>
        </w:numPr>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resource or AI work, the Teacher returns to the reader-facing repository; saved repository changes become visible according to the normal catalog views.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p>
      <w:r>
        <w:br w:type="page"/>
      </w:r>
    </w:p>
    <w:p>
      <w:pPr>
        <w:pStyle w:val="Heading1"/>
      </w:pPr>
      <w:r>
        <w:t>5. Administrator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6" name="Picture 6" descr="Sequential Administrator flow from entry through role-specific actions to completion." title="Figure: Administrator workflow"/>
            <wp:cNvGraphicFramePr>
              <a:graphicFrameLocks noChangeAspect="1"/>
            </wp:cNvGraphicFramePr>
            <a:graphic>
              <a:graphicData uri="http://schemas.openxmlformats.org/drawingml/2006/picture">
                <pic:pic>
                  <pic:nvPicPr>
                    <pic:cNvPr id="0" name="administrator_flow.png"/>
                    <pic:cNvPicPr/>
                  </pic:nvPicPr>
                  <pic:blipFill>
                    <a:blip r:embed="rId16"/>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Administrator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Administrator does not use the public Student/Teacher login. The account signs in through the private Django administration route using an active staff username or email and password.</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Open the Administrator Home and the normal Django administration pages allowed by staff permissions.</w:t>
      </w:r>
    </w:p>
    <w:p>
      <w:pPr>
        <w:numPr>
          <w:ilvl w:val="0"/>
          <w:numId w:val="10"/>
        </w:numPr>
      </w:pPr>
      <w:r>
        <w:rPr>
          <w:rFonts w:ascii="Calibri" w:hAnsi="Calibri"/>
          <w:b w:val="0"/>
          <w:i w:val="0"/>
          <w:color w:val="172033"/>
          <w:sz w:val="22"/>
        </w:rPr>
        <w:t>Create Student or Teacher accounts, search/filter the user directory, and delete non-staff reader accounts.</w:t>
      </w:r>
    </w:p>
    <w:p>
      <w:pPr>
        <w:numPr>
          <w:ilvl w:val="0"/>
          <w:numId w:val="10"/>
        </w:numPr>
      </w:pPr>
      <w:r>
        <w:rPr>
          <w:rFonts w:ascii="Calibri" w:hAnsi="Calibri"/>
          <w:b w:val="0"/>
          <w:i w:val="0"/>
          <w:color w:val="172033"/>
          <w:sz w:val="22"/>
        </w:rPr>
        <w:t>Manage Digital Sources and use AI Detection.</w:t>
      </w:r>
    </w:p>
    <w:p>
      <w:pPr>
        <w:numPr>
          <w:ilvl w:val="0"/>
          <w:numId w:val="10"/>
        </w:numPr>
      </w:pPr>
      <w:r>
        <w:rPr>
          <w:rFonts w:ascii="Calibri" w:hAnsi="Calibri"/>
          <w:b w:val="0"/>
          <w:i w:val="0"/>
          <w:color w:val="172033"/>
          <w:sz w:val="22"/>
        </w:rPr>
        <w:t>Draft, edit, publish, unpublish, and delete announcements.</w:t>
      </w:r>
    </w:p>
    <w:p>
      <w:pPr>
        <w:numPr>
          <w:ilvl w:val="0"/>
          <w:numId w:val="10"/>
        </w:numPr>
      </w:pPr>
      <w:r>
        <w:rPr>
          <w:rFonts w:ascii="Calibri" w:hAnsi="Calibri"/>
          <w:b w:val="0"/>
          <w:i w:val="0"/>
          <w:color w:val="172033"/>
          <w:sz w:val="22"/>
        </w:rPr>
        <w:t>Review website usage, role activity, resource views, unresolved messages, and the administrative activity log.</w:t>
      </w:r>
    </w:p>
    <w:p>
      <w:pPr>
        <w:numPr>
          <w:ilvl w:val="0"/>
          <w:numId w:val="10"/>
        </w:numPr>
      </w:pPr>
      <w:r>
        <w:rPr>
          <w:rFonts w:ascii="Calibri" w:hAnsi="Calibri"/>
          <w:b w:val="0"/>
          <w:i w:val="0"/>
          <w:color w:val="172033"/>
          <w:sz w:val="22"/>
        </w:rPr>
        <w:t>Change the Administrator's own username or password.</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regular Administrator cannot create another Administrator, cannot manage another staff account's credentials, and cannot exercise Superuser-only governance. Direct access to Superuser-only actions is denied.</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Operational changes are saved and recorded where applicable. Staff sign-out returns to the private administration login instead of the public role selector.</w:t>
      </w:r>
    </w:p>
    <w:p>
      <w:r>
        <w:br w:type="page"/>
      </w:r>
    </w:p>
    <w:p>
      <w:pPr>
        <w:pStyle w:val="Heading1"/>
      </w:pPr>
      <w:r>
        <w:t>6. Superuser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7" name="Picture 7" descr="Sequential Superuser flow from entry through role-specific actions to completion." title="Figure: Superuser workflow"/>
            <wp:cNvGraphicFramePr>
              <a:graphicFrameLocks noChangeAspect="1"/>
            </wp:cNvGraphicFramePr>
            <a:graphic>
              <a:graphicData uri="http://schemas.openxmlformats.org/drawingml/2006/picture">
                <pic:pic>
                  <pic:nvPicPr>
                    <pic:cNvPr id="0" name="superuser_flow.png"/>
                    <pic:cNvPicPr/>
                  </pic:nvPicPr>
                  <pic:blipFill>
                    <a:blip r:embed="rId17"/>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Superuser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Superuser signs in through the same private administration route, but the system recognizes the account as the highest staff level.</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Administrator operation across resources, users, announcements, AI Detection, reports, activity history, and Django administration.</w:t>
      </w:r>
    </w:p>
    <w:p>
      <w:pPr>
        <w:numPr>
          <w:ilvl w:val="0"/>
          <w:numId w:val="10"/>
        </w:numPr>
      </w:pPr>
      <w:r>
        <w:rPr>
          <w:rFonts w:ascii="Calibri" w:hAnsi="Calibri"/>
          <w:b w:val="0"/>
          <w:i w:val="0"/>
          <w:color w:val="172033"/>
          <w:sz w:val="22"/>
        </w:rPr>
        <w:t>Create a regular Administrator after confirming the Superuser's own password.</w:t>
      </w:r>
    </w:p>
    <w:p>
      <w:pPr>
        <w:numPr>
          <w:ilvl w:val="0"/>
          <w:numId w:val="10"/>
        </w:numPr>
      </w:pPr>
      <w:r>
        <w:rPr>
          <w:rFonts w:ascii="Calibri" w:hAnsi="Calibri"/>
          <w:b w:val="0"/>
          <w:i w:val="0"/>
          <w:color w:val="172033"/>
          <w:sz w:val="22"/>
        </w:rPr>
        <w:t>Edit another Administrator's username or password and oversee staff access.</w:t>
      </w:r>
    </w:p>
    <w:p>
      <w:pPr>
        <w:numPr>
          <w:ilvl w:val="0"/>
          <w:numId w:val="10"/>
        </w:numPr>
      </w:pPr>
      <w:r>
        <w:rPr>
          <w:rFonts w:ascii="Calibri" w:hAnsi="Calibri"/>
          <w:b w:val="0"/>
          <w:i w:val="0"/>
          <w:color w:val="172033"/>
          <w:sz w:val="22"/>
        </w:rPr>
        <w:t>Review system-wide configuration, operational health, and audit evidence as the root authority.</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The Superuser retains the highest application authority and should use that access only for governance, security, and exceptional administration. Reader accounts remain separate from staff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Administrator provisioning and sensitive account changes are recorded, then the Superuser signs out to the private administration login.</w:t>
      </w:r>
    </w:p>
    <w:p>
      <w:pPr>
        <w:pStyle w:val="Heading1"/>
      </w:pPr>
      <w:r>
        <w:t>7. Authority and Feedback Loop</w:t>
      </w:r>
    </w:p>
    <w:p>
      <w:pPr>
        <w:keepNext w:val="0"/>
        <w:spacing w:before="0" w:after="120" w:line="300" w:lineRule="auto"/>
      </w:pPr>
      <w:r>
        <w:rPr>
          <w:rFonts w:ascii="Calibri" w:hAnsi="Calibri"/>
          <w:b/>
          <w:i w:val="0"/>
          <w:color w:val="1F4D78"/>
          <w:sz w:val="22"/>
        </w:rPr>
        <w:t xml:space="preserve">Hierarchy. </w:t>
      </w:r>
      <w:r>
        <w:rPr>
          <w:rFonts w:ascii="Calibri" w:hAnsi="Calibri"/>
          <w:b w:val="0"/>
          <w:i w:val="0"/>
          <w:color w:val="172033"/>
          <w:sz w:val="22"/>
        </w:rPr>
        <w:t>Superuser, Administrator, Teacher, Student User, and Guest represent progressively narrower authority. This does not mean lower roles report directly to every higher role; each role receives only the tools needed for its purpose.</w:t>
      </w:r>
    </w:p>
    <w:p>
      <w:pPr>
        <w:numPr>
          <w:ilvl w:val="0"/>
          <w:numId w:val="10"/>
        </w:numPr>
      </w:pPr>
      <w:r>
        <w:rPr>
          <w:rFonts w:ascii="Calibri" w:hAnsi="Calibri"/>
          <w:b w:val="0"/>
          <w:i w:val="0"/>
          <w:color w:val="172033"/>
          <w:sz w:val="22"/>
        </w:rPr>
        <w:t>Guests and registered readers generate search, reading, bookmark, contact, and usage signals.</w:t>
      </w:r>
    </w:p>
    <w:p>
      <w:pPr>
        <w:numPr>
          <w:ilvl w:val="0"/>
          <w:numId w:val="10"/>
        </w:numPr>
      </w:pPr>
      <w:r>
        <w:rPr>
          <w:rFonts w:ascii="Calibri" w:hAnsi="Calibri"/>
          <w:b w:val="0"/>
          <w:i w:val="0"/>
          <w:color w:val="172033"/>
          <w:sz w:val="22"/>
        </w:rPr>
        <w:t>Teachers maintain repository content and receive AI-review outputs while remaining outside staff administration.</w:t>
      </w:r>
    </w:p>
    <w:p>
      <w:pPr>
        <w:numPr>
          <w:ilvl w:val="0"/>
          <w:numId w:val="10"/>
        </w:numPr>
      </w:pPr>
      <w:r>
        <w:rPr>
          <w:rFonts w:ascii="Calibri" w:hAnsi="Calibri"/>
          <w:b w:val="0"/>
          <w:i w:val="0"/>
          <w:color w:val="172033"/>
          <w:sz w:val="22"/>
        </w:rPr>
        <w:t>Administrators use operational reports and messages to maintain accounts, announcements, and Digital Sources.</w:t>
      </w:r>
    </w:p>
    <w:p>
      <w:pPr>
        <w:numPr>
          <w:ilvl w:val="0"/>
          <w:numId w:val="10"/>
        </w:numPr>
      </w:pPr>
      <w:r>
        <w:rPr>
          <w:rFonts w:ascii="Calibri" w:hAnsi="Calibri"/>
          <w:b w:val="0"/>
          <w:i w:val="0"/>
          <w:color w:val="172033"/>
          <w:sz w:val="22"/>
        </w:rPr>
        <w:t>Superusers govern Administrator access and intervene in high-risk or system-level decisions.</w:t>
      </w:r>
    </w:p>
    <w:p>
      <w:pPr>
        <w:numPr>
          <w:ilvl w:val="0"/>
          <w:numId w:val="10"/>
        </w:numPr>
      </w:pPr>
      <w:r>
        <w:rPr>
          <w:rFonts w:ascii="Calibri" w:hAnsi="Calibri"/>
          <w:b w:val="0"/>
          <w:i w:val="0"/>
          <w:color w:val="172033"/>
          <w:sz w:val="22"/>
        </w:rPr>
        <w:t>Published announcements and updated resources return to the reader-facing system, completing the feedback loop.</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00" w:type="dxa"/>
              <w:start w:w="120" w:type="dxa"/>
              <w:bottom w:w="100" w:type="dxa"/>
              <w:end w:w="120" w:type="dxa"/>
            </w:tcMar>
            <w:vAlign w:val="center"/>
            <w:shd w:fill="E8EEF5"/>
          </w:tcPr>
          <w:p>
            <w:pPr>
              <w:keepNext w:val="0"/>
              <w:spacing w:before="0" w:after="0" w:line="276" w:lineRule="auto"/>
            </w:pPr>
            <w:r>
              <w:rPr>
                <w:rFonts w:ascii="Calibri" w:hAnsi="Calibri"/>
                <w:b/>
                <w:i w:val="0"/>
                <w:color w:val="2E74B5"/>
                <w:sz w:val="21"/>
              </w:rPr>
              <w:t xml:space="preserve">Conceptual summary. </w:t>
            </w:r>
            <w:r>
              <w:rPr>
                <w:rFonts w:ascii="Calibri" w:hAnsi="Calibri"/>
                <w:b w:val="0"/>
                <w:i w:val="0"/>
                <w:color w:val="172033"/>
                <w:sz w:val="21"/>
              </w:rPr>
              <w:t>ATLAS separates public discovery, registered reading, teacher contribution, operational administration, and root governance. The system first identifies the role, then enforces the narrowest appropriate permission set before presenting features or saving changes.</w:t>
            </w:r>
          </w:p>
        </w:tc>
      </w:tr>
    </w:tbl>
    <w:p>
      <w:pPr>
        <w:keepNext w:val="0"/>
        <w:spacing w:before="0" w:after="40" w:line="300" w:lineRule="auto"/>
      </w:pPr>
    </w:p>
    <w:p>
      <w:pPr>
        <w:pStyle w:val="Heading2"/>
      </w:pPr>
      <w:r>
        <w:t>Implementation alignment</w:t>
      </w:r>
    </w:p>
    <w:p>
      <w:pPr>
        <w:keepNext w:val="0"/>
        <w:spacing w:before="0" w:after="80" w:line="300" w:lineRule="auto"/>
      </w:pPr>
      <w:r>
        <w:rPr>
          <w:rFonts w:ascii="Calibri" w:hAnsi="Calibri"/>
          <w:b/>
          <w:i w:val="0"/>
          <w:color w:val="1F4D78"/>
          <w:sz w:val="22"/>
        </w:rPr>
        <w:t xml:space="preserve">Student/Teacher entry. </w:t>
      </w:r>
      <w:r>
        <w:rPr>
          <w:rFonts w:ascii="Calibri" w:hAnsi="Calibri"/>
          <w:b w:val="0"/>
          <w:i w:val="0"/>
          <w:color w:val="172033"/>
          <w:sz w:val="22"/>
        </w:rPr>
        <w:t>Role-aware public registration and login keep reader identity and privacy consent aligned.</w:t>
      </w:r>
    </w:p>
    <w:p>
      <w:pPr>
        <w:keepNext w:val="0"/>
        <w:spacing w:before="0" w:after="80" w:line="300" w:lineRule="auto"/>
      </w:pPr>
      <w:r>
        <w:rPr>
          <w:rFonts w:ascii="Calibri" w:hAnsi="Calibri"/>
          <w:b/>
          <w:i w:val="0"/>
          <w:color w:val="1F4D78"/>
          <w:sz w:val="22"/>
        </w:rPr>
        <w:t xml:space="preserve">Guest entry. </w:t>
      </w:r>
      <w:r>
        <w:rPr>
          <w:rFonts w:ascii="Calibri" w:hAnsi="Calibri"/>
          <w:b w:val="0"/>
          <w:i w:val="0"/>
          <w:color w:val="172033"/>
          <w:sz w:val="22"/>
        </w:rPr>
        <w:t>Session-based guest mode allows low-friction public exploration.</w:t>
      </w:r>
    </w:p>
    <w:p>
      <w:pPr>
        <w:keepNext w:val="0"/>
        <w:spacing w:before="0" w:after="80" w:line="300" w:lineRule="auto"/>
      </w:pPr>
      <w:r>
        <w:rPr>
          <w:rFonts w:ascii="Calibri" w:hAnsi="Calibri"/>
          <w:b/>
          <w:i w:val="0"/>
          <w:color w:val="1F4D78"/>
          <w:sz w:val="22"/>
        </w:rPr>
        <w:t xml:space="preserve">Teacher resource tools. </w:t>
      </w:r>
      <w:r>
        <w:rPr>
          <w:rFonts w:ascii="Calibri" w:hAnsi="Calibri"/>
          <w:b w:val="0"/>
          <w:i w:val="0"/>
          <w:color w:val="172033"/>
          <w:sz w:val="22"/>
        </w:rPr>
        <w:t>A resource-manager permission check adds resource CRUD and AI review without staff authority.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