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5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numPr>
          <w:ilvl w:val="0"/>
          <w:numId w:val="10"/>
        </w:numPr>
      </w:pPr>
      <w:r>
        <w:rPr>
          <w:rFonts w:ascii="Calibri" w:hAnsi="Calibri"/>
          <w:b w:val="0"/>
          <w:i w:val="0"/>
          <w:color w:val="172033"/>
          <w:sz w:val="22"/>
        </w:rPr>
        <w:t>Role-aware entry: Student and Teacher use the public role-based registration and login flow; staff use the private administration route.</w:t>
      </w:r>
    </w:p>
    <w:p>
      <w:pPr>
        <w:numPr>
          <w:ilvl w:val="0"/>
          <w:numId w:val="10"/>
        </w:numPr>
      </w:pPr>
      <w:r>
        <w:rPr>
          <w:rFonts w:ascii="Calibri" w:hAnsi="Calibri"/>
          <w:b w:val="0"/>
          <w:i w:val="0"/>
          <w:color w:val="172033"/>
          <w:sz w:val="22"/>
        </w:rPr>
        <w:t>Least privilege: Student and Guest are readers, Teacher manages resources, Administrator manages operational administration, and Superuser governs Administrators.</w:t>
      </w:r>
    </w:p>
    <w:p>
      <w:pPr>
        <w:numPr>
          <w:ilvl w:val="0"/>
          <w:numId w:val="10"/>
        </w:numPr>
      </w:pPr>
      <w:r>
        <w:rPr>
          <w:rFonts w:ascii="Calibri" w:hAnsi="Calibri"/>
          <w:b w:val="0"/>
          <w:i w:val="0"/>
          <w:color w:val="172033"/>
          <w:sz w:val="22"/>
        </w:rPr>
        <w:t>Protected reading: resource abstracts are displayed inside ATLAS; the original uploaded file is not offered as a public download.</w:t>
      </w:r>
    </w:p>
    <w:p>
      <w:pPr>
        <w:numPr>
          <w:ilvl w:val="0"/>
          <w:numId w:val="10"/>
        </w:numPr>
      </w:pPr>
      <w:r>
        <w:rPr>
          <w:rFonts w:ascii="Calibri" w:hAnsi="Calibri"/>
          <w:b w:val="0"/>
          <w:i w:val="0"/>
          <w:color w:val="172033"/>
          <w:sz w:val="22"/>
        </w:rPr>
        <w:t>Accountability: important creation, update, deletion, analysis, and administrative events can be retained for staff reporting and audit review.</w:t>
      </w:r>
    </w:p>
    <w:p>
      <w:pPr>
        <w:numPr>
          <w:ilvl w:val="0"/>
          <w:numId w:val="10"/>
        </w:numPr>
      </w:pPr>
      <w:r>
        <w:rPr>
          <w:rFonts w:ascii="Calibri" w:hAnsi="Calibri"/>
          <w:b w:val="0"/>
          <w:i w:val="0"/>
          <w:color w:val="172033"/>
          <w:sz w:val="22"/>
        </w:rPr>
        <w:t>Privacy-aware usage: signed-in activity supports institutional reporting, while anonymous guest analytics depend on the visitor's analytics consent.</w:t>
      </w:r>
    </w:p>
    <w:p>
      <w:pPr>
        <w:pStyle w:val="Heading2"/>
      </w:pPr>
      <w:r>
        <w:t>Role boundaries at a glance</w:t>
      </w:r>
    </w:p>
    <w:tbl>
      <w:tblPr>
        <w:tblW w:type="dxa" w:w="9360"/>
        <w:tblLayout w:type="fixed"/>
        <w:tblLook w:firstColumn="1" w:firstRow="1" w:lastColumn="0" w:lastRow="0" w:noHBand="0" w:noVBand="1" w:val="04A0"/>
        <w:tblInd w:w="120" w:type="dxa"/>
        <w:tblBorders>
          <w:top w:val="single" w:sz="6" w:space="0" w:color="CDD6E3"/>
          <w:left w:val="single" w:sz="6" w:space="0" w:color="CDD6E3"/>
          <w:bottom w:val="single" w:sz="6" w:space="0" w:color="CDD6E3"/>
          <w:right w:val="single" w:sz="6" w:space="0" w:color="CDD6E3"/>
          <w:insideH w:val="single" w:sz="6" w:space="0" w:color="CDD6E3"/>
          <w:insideV w:val="single" w:sz="6" w:space="0" w:color="CDD6E3"/>
        </w:tblBorders>
      </w:tblPr>
      <w:tblGrid>
        <w:gridCol w:w="1500"/>
        <w:gridCol w:w="1900"/>
        <w:gridCol w:w="2600"/>
        <w:gridCol w:w="3360"/>
      </w:tblGrid>
      <w:tr>
        <w:trPr>
          <w:tblHeader w:val="true"/>
        </w:trPr>
        <w:tc>
          <w:tcPr>
            <w:tcW w:type="dxa" w:w="15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Role</w:t>
            </w:r>
          </w:p>
        </w:tc>
        <w:tc>
          <w:tcPr>
            <w:tcW w:type="dxa" w:w="19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Entry</w:t>
            </w:r>
          </w:p>
        </w:tc>
        <w:tc>
          <w:tcPr>
            <w:tcW w:type="dxa" w:w="260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Primary workspace</w:t>
            </w:r>
          </w:p>
        </w:tc>
        <w:tc>
          <w:tcPr>
            <w:tcW w:type="dxa" w:w="3360"/>
            <w:shd w:fill="E8EEF5"/>
            <w:tcMar>
              <w:top w:w="100" w:type="dxa"/>
              <w:start w:w="120" w:type="dxa"/>
              <w:bottom w:w="100" w:type="dxa"/>
              <w:end w:w="120" w:type="dxa"/>
            </w:tcMar>
            <w:vAlign w:val="center"/>
          </w:tcPr>
          <w:p>
            <w:pPr>
              <w:keepNext w:val="0"/>
              <w:spacing w:before="0" w:after="0" w:line="240" w:lineRule="auto"/>
              <w:jc w:val="center"/>
            </w:pPr>
            <w:r>
              <w:rPr>
                <w:rFonts w:ascii="Calibri" w:hAnsi="Calibri"/>
                <w:b/>
                <w:i w:val="0"/>
                <w:color w:val="0B2545"/>
                <w:sz w:val="19"/>
              </w:rPr>
              <w:t>Authority boundary</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Guest</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Guest choice</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reader</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bookmarks or management</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Student 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Student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dashboard</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content or staff administration</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Teacher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Public Teacher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Reader + resource tools</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No users, announcements, reports, or admin control</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Administrator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staff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Staff portal + admin</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Cannot create/manage Administrators</w:t>
            </w:r>
          </w:p>
        </w:tc>
      </w:tr>
      <w:tr>
        <w:tc>
          <w:tcPr>
            <w:tcW w:type="dxa" w:w="1500"/>
            <w:tcMar>
              <w:top w:w="100" w:type="dxa"/>
              <w:start w:w="120" w:type="dxa"/>
              <w:bottom w:w="100" w:type="dxa"/>
              <w:end w:w="120" w:type="dxa"/>
            </w:tcMar>
            <w:vAlign w:val="center"/>
          </w:tcPr>
          <w:p>
            <w:pPr>
              <w:keepNext w:val="0"/>
              <w:spacing w:before="0" w:after="0" w:line="252" w:lineRule="auto"/>
              <w:jc w:val="center"/>
            </w:pPr>
            <w:r>
              <w:rPr>
                <w:rFonts w:ascii="Calibri" w:hAnsi="Calibri"/>
                <w:b/>
                <w:i w:val="0"/>
                <w:color w:val="1F4D78"/>
                <w:sz w:val="18"/>
              </w:rPr>
              <w:t>Superuser</w:t>
            </w:r>
          </w:p>
        </w:tc>
        <w:tc>
          <w:tcPr>
            <w:tcW w:type="dxa" w:w="19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Private root login</w:t>
            </w:r>
          </w:p>
        </w:tc>
        <w:tc>
          <w:tcPr>
            <w:tcW w:type="dxa" w:w="260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Full staff + governance</w:t>
            </w:r>
          </w:p>
        </w:tc>
        <w:tc>
          <w:tcPr>
            <w:tcW w:type="dxa" w:w="3360"/>
            <w:tcMar>
              <w:top w:w="100" w:type="dxa"/>
              <w:start w:w="120" w:type="dxa"/>
              <w:bottom w:w="100" w:type="dxa"/>
              <w:end w:w="120" w:type="dxa"/>
            </w:tcMar>
            <w:vAlign w:val="center"/>
          </w:tcPr>
          <w:p>
            <w:pPr>
              <w:keepNext w:val="0"/>
              <w:spacing w:before="0" w:after="0" w:line="252" w:lineRule="auto"/>
              <w:jc w:val="left"/>
            </w:pPr>
            <w:r>
              <w:rPr>
                <w:rFonts w:ascii="Calibri" w:hAnsi="Calibri"/>
                <w:b w:val="0"/>
                <w:i w:val="0"/>
                <w:color w:val="172033"/>
                <w:sz w:val="18"/>
              </w:rPr>
              <w:t>Highest application authority</w:t>
            </w:r>
          </w:p>
        </w:tc>
      </w:tr>
    </w:tbl>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View the dashboard and public announcements.</w:t>
      </w:r>
    </w:p>
    <w:p>
      <w:pPr>
        <w:numPr>
          <w:ilvl w:val="0"/>
          <w:numId w:val="10"/>
        </w:numPr>
      </w:pPr>
      <w:r>
        <w:rPr>
          <w:rFonts w:ascii="Calibri" w:hAnsi="Calibri"/>
          <w:b w:val="0"/>
          <w:i w:val="0"/>
          <w:color w:val="172033"/>
          <w:sz w:val="22"/>
        </w:rPr>
        <w:t>Browse, search, filter, and sort Digital Sources.</w:t>
      </w:r>
    </w:p>
    <w:p>
      <w:pPr>
        <w:numPr>
          <w:ilvl w:val="0"/>
          <w:numId w:val="10"/>
        </w:numPr>
      </w:pPr>
      <w:r>
        <w:rPr>
          <w:rFonts w:ascii="Calibri" w:hAnsi="Calibri"/>
          <w:b w:val="0"/>
          <w:i w:val="0"/>
          <w:color w:val="172033"/>
          <w:sz w:val="22"/>
        </w:rPr>
        <w:t>Open resource details, see hard-copy availability, and read the protected resource abstract.</w:t>
      </w:r>
    </w:p>
    <w:p>
      <w:pPr>
        <w:numPr>
          <w:ilvl w:val="0"/>
          <w:numId w:val="10"/>
        </w:numPr>
      </w:pPr>
      <w:r>
        <w:rPr>
          <w:rFonts w:ascii="Calibri" w:hAnsi="Calibri"/>
          <w:b w:val="0"/>
          <w:i w:val="0"/>
          <w:color w:val="172033"/>
          <w:sz w:val="22"/>
        </w:rPr>
        <w:t>Submit a support, feedback, or privacy-related contact message.</w:t>
      </w:r>
    </w:p>
    <w:p>
      <w:pPr>
        <w:numPr>
          <w:ilvl w:val="0"/>
          <w:numId w:val="10"/>
        </w:numPr>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Use the personalized dashboard and view recent Digital Sources and announcements.</w:t>
      </w:r>
    </w:p>
    <w:p>
      <w:pPr>
        <w:numPr>
          <w:ilvl w:val="0"/>
          <w:numId w:val="10"/>
        </w:numPr>
      </w:pPr>
      <w:r>
        <w:rPr>
          <w:rFonts w:ascii="Calibri" w:hAnsi="Calibri"/>
          <w:b w:val="0"/>
          <w:i w:val="0"/>
          <w:color w:val="172033"/>
          <w:sz w:val="22"/>
        </w:rPr>
        <w:t>Search, filter, sort, and open repository items.</w:t>
      </w:r>
    </w:p>
    <w:p>
      <w:pPr>
        <w:numPr>
          <w:ilvl w:val="0"/>
          <w:numId w:val="10"/>
        </w:numPr>
      </w:pPr>
      <w:r>
        <w:rPr>
          <w:rFonts w:ascii="Calibri" w:hAnsi="Calibri"/>
          <w:b w:val="0"/>
          <w:i w:val="0"/>
          <w:color w:val="172033"/>
          <w:sz w:val="22"/>
        </w:rPr>
        <w:t>Read protected resource abstracts and check hard-copy availability.</w:t>
      </w:r>
    </w:p>
    <w:p>
      <w:pPr>
        <w:numPr>
          <w:ilvl w:val="0"/>
          <w:numId w:val="10"/>
        </w:numPr>
      </w:pPr>
      <w:r>
        <w:rPr>
          <w:rFonts w:ascii="Calibri" w:hAnsi="Calibri"/>
          <w:b w:val="0"/>
          <w:i w:val="0"/>
          <w:color w:val="172033"/>
          <w:sz w:val="22"/>
        </w:rPr>
        <w:t>Bookmark or remove resources and open the Favorites page.</w:t>
      </w:r>
    </w:p>
    <w:p>
      <w:pPr>
        <w:numPr>
          <w:ilvl w:val="0"/>
          <w:numId w:val="10"/>
        </w:numPr>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Perform every normal reader activity: browse, search, view details, read abstracts, bookmark, and contact support.</w:t>
      </w:r>
    </w:p>
    <w:p>
      <w:pPr>
        <w:numPr>
          <w:ilvl w:val="0"/>
          <w:numId w:val="10"/>
        </w:numPr>
      </w:pPr>
      <w:r>
        <w:rPr>
          <w:rFonts w:ascii="Calibri" w:hAnsi="Calibri"/>
          <w:b w:val="0"/>
          <w:i w:val="0"/>
          <w:color w:val="172033"/>
          <w:sz w:val="22"/>
        </w:rPr>
        <w:t>Add a Digital Sources item with metadata, cover image, resource abstract, resource file, and hard-copy availability information.</w:t>
      </w:r>
    </w:p>
    <w:p>
      <w:pPr>
        <w:numPr>
          <w:ilvl w:val="0"/>
          <w:numId w:val="10"/>
        </w:numPr>
      </w:pPr>
      <w:r>
        <w:rPr>
          <w:rFonts w:ascii="Calibri" w:hAnsi="Calibri"/>
          <w:b w:val="0"/>
          <w:i w:val="0"/>
          <w:color w:val="172033"/>
          <w:sz w:val="22"/>
        </w:rPr>
        <w:t>Edit or delete existing Digital Sources items; successful changes are recorded as activity.</w:t>
      </w:r>
    </w:p>
    <w:p>
      <w:pPr>
        <w:numPr>
          <w:ilvl w:val="0"/>
          <w:numId w:val="10"/>
        </w:numPr>
      </w:pPr>
      <w:r>
        <w:rPr>
          <w:rFonts w:ascii="Calibri" w:hAnsi="Calibri"/>
          <w:b w:val="0"/>
          <w:i w:val="0"/>
          <w:color w:val="172033"/>
          <w:sz w:val="22"/>
        </w:rPr>
        <w:t>Use AI Detection on pasted text or an uploaded supported document and review the advisory result.</w:t>
      </w:r>
    </w:p>
    <w:p>
      <w:pPr>
        <w:numPr>
          <w:ilvl w:val="0"/>
          <w:numId w:val="10"/>
        </w:numPr>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resource or AI work, the Teacher returns to the reader-facing repository; saved repository changes become visible according to the normal catalog views.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numPr>
          <w:ilvl w:val="0"/>
          <w:numId w:val="10"/>
        </w:numPr>
      </w:pPr>
      <w:r>
        <w:rPr>
          <w:rFonts w:ascii="Calibri" w:hAnsi="Calibri"/>
          <w:b w:val="0"/>
          <w:i w:val="0"/>
          <w:color w:val="172033"/>
          <w:sz w:val="22"/>
        </w:rPr>
        <w:t>Open the Administrator Home and the normal Django administration pages allowed by staff permissions.</w:t>
      </w:r>
    </w:p>
    <w:p>
      <w:pPr>
        <w:numPr>
          <w:ilvl w:val="0"/>
          <w:numId w:val="10"/>
        </w:numPr>
      </w:pPr>
      <w:r>
        <w:rPr>
          <w:rFonts w:ascii="Calibri" w:hAnsi="Calibri"/>
          <w:b w:val="0"/>
          <w:i w:val="0"/>
          <w:color w:val="172033"/>
          <w:sz w:val="22"/>
        </w:rPr>
        <w:t>Create Student or Teacher accounts, search/filter the user directory, and delete non-staff reader accounts.</w:t>
      </w:r>
    </w:p>
    <w:p>
      <w:pPr>
        <w:numPr>
          <w:ilvl w:val="0"/>
          <w:numId w:val="10"/>
        </w:numPr>
      </w:pPr>
      <w:r>
        <w:rPr>
          <w:rFonts w:ascii="Calibri" w:hAnsi="Calibri"/>
          <w:b w:val="0"/>
          <w:i w:val="0"/>
          <w:color w:val="172033"/>
          <w:sz w:val="22"/>
        </w:rPr>
        <w:t>Manage Digital Sources and use AI Detection.</w:t>
      </w:r>
    </w:p>
    <w:p>
      <w:pPr>
        <w:numPr>
          <w:ilvl w:val="0"/>
          <w:numId w:val="10"/>
        </w:numPr>
      </w:pPr>
      <w:r>
        <w:rPr>
          <w:rFonts w:ascii="Calibri" w:hAnsi="Calibri"/>
          <w:b w:val="0"/>
          <w:i w:val="0"/>
          <w:color w:val="172033"/>
          <w:sz w:val="22"/>
        </w:rPr>
        <w:t>Draft, edit, publish, unpublish, and delete announcements.</w:t>
      </w:r>
    </w:p>
    <w:p>
      <w:pPr>
        <w:numPr>
          <w:ilvl w:val="0"/>
          <w:numId w:val="10"/>
        </w:numPr>
      </w:pPr>
      <w:r>
        <w:rPr>
          <w:rFonts w:ascii="Calibri" w:hAnsi="Calibri"/>
          <w:b w:val="0"/>
          <w:i w:val="0"/>
          <w:color w:val="172033"/>
          <w:sz w:val="22"/>
        </w:rPr>
        <w:t>Review website usage, role activity, resource views, unresolved messages, and the administrative activity log.</w:t>
      </w:r>
    </w:p>
    <w:p>
      <w:pPr>
        <w:numPr>
          <w:ilvl w:val="0"/>
          <w:numId w:val="10"/>
        </w:numPr>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