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600" w:after="240" w:line="300" w:lineRule="auto"/>
        <w:jc w:val="center"/>
      </w:pPr>
      <w:r>
        <w:rPr>
          <w:rFonts w:ascii="Calibri" w:hAnsi="Calibri"/>
          <w:b/>
          <w:i w:val="0"/>
          <w:color w:val="B4862B"/>
          <w:sz w:val="22"/>
        </w:rPr>
        <w:t>SYSTEM CONCEPTUAL FRAMEWORK</w:t>
      </w:r>
    </w:p>
    <w:p>
      <w:pPr>
        <w:keepNext w:val="0"/>
        <w:spacing w:before="0" w:after="160" w:line="300" w:lineRule="auto"/>
        <w:jc w:val="center"/>
      </w:pPr>
      <w:r>
        <w:rPr>
          <w:rFonts w:ascii="Calibri" w:hAnsi="Calibri"/>
          <w:b/>
          <w:i w:val="0"/>
          <w:color w:val="0B2545"/>
          <w:sz w:val="60"/>
        </w:rPr>
        <w:t>ATLAS Role-Based System Flow</w:t>
      </w:r>
    </w:p>
    <w:p>
      <w:pPr>
        <w:keepNext w:val="0"/>
        <w:spacing w:before="0" w:after="120" w:line="300" w:lineRule="auto"/>
        <w:jc w:val="center"/>
      </w:pPr>
      <w:r>
        <w:rPr>
          <w:rFonts w:ascii="Calibri" w:hAnsi="Calibri"/>
          <w:b w:val="0"/>
          <w:i w:val="0"/>
          <w:color w:val="1F4D78"/>
          <w:sz w:val="30"/>
        </w:rPr>
        <w:t>Superuser, Administrator, Teacher, Student User, and Guest</w:t>
      </w:r>
    </w:p>
    <w:p>
      <w:pPr>
        <w:keepNext w:val="0"/>
        <w:spacing w:before="0" w:after="400" w:line="300" w:lineRule="auto"/>
        <w:jc w:val="center"/>
      </w:pPr>
      <w:r>
        <w:rPr>
          <w:rFonts w:ascii="Calibri" w:hAnsi="Calibri"/>
          <w:b w:val="0"/>
          <w:i/>
          <w:color w:val="5E6878"/>
          <w:sz w:val="19"/>
        </w:rPr>
        <w:t>Prepared from the current ATLAS implementation • 5 October 2026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4862B"/>
          <w:left w:val="single" w:sz="8" w:space="0" w:color="B4862B"/>
          <w:bottom w:val="single" w:sz="8" w:space="0" w:color="B4862B"/>
          <w:right w:val="single" w:sz="8" w:space="0" w:color="B4862B"/>
          <w:insideH w:val="single" w:sz="8" w:space="0" w:color="B4862B"/>
          <w:insideV w:val="single" w:sz="8" w:space="0" w:color="B4862B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F5E7"/>
          </w:tcPr>
          <w:p>
            <w:pPr>
              <w:keepNext w:val="0"/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B4862B"/>
                <w:sz w:val="21"/>
              </w:rPr>
              <w:t xml:space="preserve">Scope note. </w:t>
            </w:r>
            <w:r>
              <w:rPr>
                <w:rFonts w:ascii="Calibri" w:hAnsi="Calibri"/>
                <w:b w:val="0"/>
                <w:i w:val="0"/>
                <w:color w:val="172033"/>
                <w:sz w:val="21"/>
              </w:rPr>
              <w:t>In this framework, “User” means the registered Student role. Teacher is shown separately because it has additional resource-management and AI-review privileges. Guest means an unauthenticated visitor using guest access.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8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787091"/>
            <wp:docPr id="1" name="Picture 1" descr="ATLAS entry flow branches from the landing page to Guest access, Student or Teacher role-aware authentication, or private Administrator and Superuser authentication." title="Figure 1. Entry and role-routing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8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0" w:after="160" w:line="240" w:lineRule="auto"/>
        <w:jc w:val="center"/>
      </w:pPr>
      <w:r>
        <w:rPr>
          <w:rFonts w:ascii="Calibri" w:hAnsi="Calibri"/>
          <w:b w:val="0"/>
          <w:i/>
          <w:color w:val="5E6878"/>
          <w:sz w:val="18"/>
        </w:rPr>
        <w:t>Figure 1. Entry and role-routing flow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E6878"/>
        <w:sz w:val="17"/>
      </w:rPr>
      <w:t>ATLAS | ROLE-BASED SYSTEM FLOW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i w:val="0"/>
        <w:color w:val="5E6878"/>
        <w:sz w:val="17"/>
      </w:rPr>
      <w:t>ATLAS | CONCEPTUAL FRAMEWORK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E68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Conceptual Framework and Role-Based System Flow</dc:title>
  <dc:subject>Superuser, Administrator, Teacher, Student User, and Guest flows</dc:subject>
  <dc:creator>ATLAS Project Team</dc:creator>
  <cp:keywords>ATLAS, conceptual framework, role flow, access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