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Correlação dos Arquivos de Log e Identificação do Malware</w:t>
      </w:r>
    </w:p>
    <w:p>
      <w:pPr>
        <w:jc w:val="center"/>
      </w:pPr>
      <w:r>
        <w:rPr>
          <w:i/>
        </w:rPr>
        <w:t>Baseado no documento “Análise dos Resultados de Execução - Full-Execution-Sample-1”</w:t>
      </w:r>
    </w:p>
    <w:p>
      <w:r>
        <w:t>Este relatório reconstrói, com base no material fornecido, o ponto inicial, o ponto final e a correlação entre as chamadas de função observadas nos arquivos de log até a identificação do artefato como malware. Como o documento analisado é um resumo dos traces, e não os arquivos CDF brutos, a reconstrução abaixo representa a sequência analítica mais provável e suportada pelas evidências descritas no próprio relatório-fonte [1].</w:t>
      </w:r>
    </w:p>
    <w:p>
      <w:pPr>
        <w:pStyle w:val="Heading1"/>
      </w:pPr>
      <w:r>
        <w:t>1. Ponto inicial da cadeia de execução</w:t>
      </w:r>
    </w:p>
    <w:p>
      <w:r>
        <w:t>O ponto inicial observável da cadeia de execução está na fase de inicialização do processo, marcada pelo carregamento de bibliotecas essenciais do sistema, especialmente kernel32.dll e ntdll.dll, conforme registrado pelo resumo do FunctionInterceptor [1]. Esse estágio define o início da atividade rastreável porque é a partir dele que o binário passa a resolver APIs, preparar verificações de ambiente e estabelecer as condições para o desempacotamento do código protegido.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Evidência no relatório</w:t>
            </w:r>
          </w:p>
        </w:tc>
        <w:tc>
          <w:tcPr>
            <w:tcW w:type="dxa" w:w="2880"/>
          </w:tcPr>
          <w:p>
            <w:r>
              <w:t>Interpretação analítica</w:t>
            </w:r>
          </w:p>
        </w:tc>
      </w:tr>
      <w:tr>
        <w:tc>
          <w:tcPr>
            <w:tcW w:type="dxa" w:w="2880"/>
          </w:tcPr>
          <w:p>
            <w:r>
              <w:t>Início técnico</w:t>
            </w:r>
          </w:p>
        </w:tc>
        <w:tc>
          <w:tcPr>
            <w:tcW w:type="dxa" w:w="2880"/>
          </w:tcPr>
          <w:p>
            <w:r>
              <w:t>Carregamento de kernel32.dll e ntdll.dll</w:t>
            </w:r>
          </w:p>
        </w:tc>
        <w:tc>
          <w:tcPr>
            <w:tcW w:type="dxa" w:w="2880"/>
          </w:tcPr>
          <w:p>
            <w:r>
              <w:t>Indica a ativação do processo e a preparação para chamadas de API do Windows</w:t>
            </w:r>
          </w:p>
        </w:tc>
      </w:tr>
      <w:tr>
        <w:tc>
          <w:tcPr>
            <w:tcW w:type="dxa" w:w="2880"/>
          </w:tcPr>
          <w:p>
            <w:r>
              <w:t>Primeiro objetivo funcional</w:t>
            </w:r>
          </w:p>
        </w:tc>
        <w:tc>
          <w:tcPr>
            <w:tcW w:type="dxa" w:w="2880"/>
          </w:tcPr>
          <w:p>
            <w:r>
              <w:t>Inicialização via FunctionInterceptor</w:t>
            </w:r>
          </w:p>
        </w:tc>
        <w:tc>
          <w:tcPr>
            <w:tcW w:type="dxa" w:w="2880"/>
          </w:tcPr>
          <w:p>
            <w:r>
              <w:t>Estabelece a base para resolver funções, consultar ambiente e manipular memória</w:t>
            </w:r>
          </w:p>
        </w:tc>
      </w:tr>
      <w:tr>
        <w:tc>
          <w:tcPr>
            <w:tcW w:type="dxa" w:w="2880"/>
          </w:tcPr>
          <w:p>
            <w:r>
              <w:t>Valor forense</w:t>
            </w:r>
          </w:p>
        </w:tc>
        <w:tc>
          <w:tcPr>
            <w:tcW w:type="dxa" w:w="2880"/>
          </w:tcPr>
          <w:p>
            <w:r>
              <w:t>Sequência cronológica inicial de APIs</w:t>
            </w:r>
          </w:p>
        </w:tc>
        <w:tc>
          <w:tcPr>
            <w:tcW w:type="dxa" w:w="2880"/>
          </w:tcPr>
          <w:p>
            <w:r>
              <w:t>Serve como âncora temporal para correlacionar os demais arquivos de trace</w:t>
            </w:r>
          </w:p>
        </w:tc>
      </w:tr>
    </w:tbl>
    <w:p/>
    <w:p>
      <w:pPr>
        <w:pStyle w:val="Heading1"/>
      </w:pPr>
      <w:r>
        <w:t>2. Correlação entre os arquivos de log</w:t>
      </w:r>
    </w:p>
    <w:p>
      <w:r>
        <w:t>A correlação entre os logs segue uma hierarquia funcional. O FunctionInterceptor oferece a visão de alto nível das APIs chamadas. Em seguida, os arquivos TraceFcnCall.M1 e TraceFcnCall.M2 refinam a origem dessas chamadas, distinguindo entre instruções call convencionais e saltos indiretos resolvidos dinamicamente. Na camada seguinte, o TraceInstructions posiciona exatamente onde a instrução foi executada. O TraceMemory acrescenta os dados acessados ou modificados nesse momento, enquanto o TraceDisassembly fornece o mapa estrutural dos blocos de código e dos caminhos percorridos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Arquivo de log</w:t>
            </w:r>
          </w:p>
        </w:tc>
        <w:tc>
          <w:tcPr>
            <w:tcW w:type="dxa" w:w="2880"/>
          </w:tcPr>
          <w:p>
            <w:r>
              <w:t>Função na correlação</w:t>
            </w:r>
          </w:p>
        </w:tc>
        <w:tc>
          <w:tcPr>
            <w:tcW w:type="dxa" w:w="2880"/>
          </w:tcPr>
          <w:p>
            <w:r>
              <w:t>Pergunta que responde</w:t>
            </w:r>
          </w:p>
        </w:tc>
      </w:tr>
      <w:tr>
        <w:tc>
          <w:tcPr>
            <w:tcW w:type="dxa" w:w="2880"/>
          </w:tcPr>
          <w:p>
            <w:r>
              <w:t>FunctionInterceptor.cdf</w:t>
            </w:r>
          </w:p>
        </w:tc>
        <w:tc>
          <w:tcPr>
            <w:tcW w:type="dxa" w:w="2880"/>
          </w:tcPr>
          <w:p>
            <w:r>
              <w:t>Lista a sequência cronológica de APIs interceptadas</w:t>
            </w:r>
          </w:p>
        </w:tc>
        <w:tc>
          <w:tcPr>
            <w:tcW w:type="dxa" w:w="2880"/>
          </w:tcPr>
          <w:p>
            <w:r>
              <w:t>Quais funções do sistema foram chamadas e em que ordem geral?</w:t>
            </w:r>
          </w:p>
        </w:tc>
      </w:tr>
      <w:tr>
        <w:tc>
          <w:tcPr>
            <w:tcW w:type="dxa" w:w="2880"/>
          </w:tcPr>
          <w:p>
            <w:r>
              <w:t>TraceFcnCall.M1.cdf</w:t>
            </w:r>
          </w:p>
        </w:tc>
        <w:tc>
          <w:tcPr>
            <w:tcW w:type="dxa" w:w="2880"/>
          </w:tcPr>
          <w:p>
            <w:r>
              <w:t>Relaciona chamadas diretas por instruções call</w:t>
            </w:r>
          </w:p>
        </w:tc>
        <w:tc>
          <w:tcPr>
            <w:tcW w:type="dxa" w:w="2880"/>
          </w:tcPr>
          <w:p>
            <w:r>
              <w:t>De onde vieram as chamadas convencionais?</w:t>
            </w:r>
          </w:p>
        </w:tc>
      </w:tr>
      <w:tr>
        <w:tc>
          <w:tcPr>
            <w:tcW w:type="dxa" w:w="2880"/>
          </w:tcPr>
          <w:p>
            <w:r>
              <w:t>TraceFcnCall.M2.cdf</w:t>
            </w:r>
          </w:p>
        </w:tc>
        <w:tc>
          <w:tcPr>
            <w:tcW w:type="dxa" w:w="2880"/>
          </w:tcPr>
          <w:p>
            <w:r>
              <w:t>Relaciona jumps indiretos resolvidos em tempo de execução</w:t>
            </w:r>
          </w:p>
        </w:tc>
        <w:tc>
          <w:tcPr>
            <w:tcW w:type="dxa" w:w="2880"/>
          </w:tcPr>
          <w:p>
            <w:r>
              <w:t>Quais APIs foram resolvidas dinamicamente por código ofuscado?</w:t>
            </w:r>
          </w:p>
        </w:tc>
      </w:tr>
      <w:tr>
        <w:tc>
          <w:tcPr>
            <w:tcW w:type="dxa" w:w="2880"/>
          </w:tcPr>
          <w:p>
            <w:r>
              <w:t>TraceInstructions.cdf</w:t>
            </w:r>
          </w:p>
        </w:tc>
        <w:tc>
          <w:tcPr>
            <w:tcW w:type="dxa" w:w="2880"/>
          </w:tcPr>
          <w:p>
            <w:r>
              <w:t>Localiza a instrução exata executada</w:t>
            </w:r>
          </w:p>
        </w:tc>
        <w:tc>
          <w:tcPr>
            <w:tcW w:type="dxa" w:w="2880"/>
          </w:tcPr>
          <w:p>
            <w:r>
              <w:t>Em que ponto exato do fluxo ocorreu a chamada?</w:t>
            </w:r>
          </w:p>
        </w:tc>
      </w:tr>
      <w:tr>
        <w:tc>
          <w:tcPr>
            <w:tcW w:type="dxa" w:w="2880"/>
          </w:tcPr>
          <w:p>
            <w:r>
              <w:t>TraceMemory.cdf</w:t>
            </w:r>
          </w:p>
        </w:tc>
        <w:tc>
          <w:tcPr>
            <w:tcW w:type="dxa" w:w="2880"/>
          </w:tcPr>
          <w:p>
            <w:r>
              <w:t>Mostra acessos e alterações de memória</w:t>
            </w:r>
          </w:p>
        </w:tc>
        <w:tc>
          <w:tcPr>
            <w:tcW w:type="dxa" w:w="2880"/>
          </w:tcPr>
          <w:p>
            <w:r>
              <w:t>Que dados, buffers ou páginas foram lidos/escritos nessa etapa?</w:t>
            </w:r>
          </w:p>
        </w:tc>
      </w:tr>
      <w:tr>
        <w:tc>
          <w:tcPr>
            <w:tcW w:type="dxa" w:w="2880"/>
          </w:tcPr>
          <w:p>
            <w:r>
              <w:t>TraceDisassembly.cdf</w:t>
            </w:r>
          </w:p>
        </w:tc>
        <w:tc>
          <w:tcPr>
            <w:tcW w:type="dxa" w:w="2880"/>
          </w:tcPr>
          <w:p>
            <w:r>
              <w:t>Mapeia blocos e caminhos de execução</w:t>
            </w:r>
          </w:p>
        </w:tc>
        <w:tc>
          <w:tcPr>
            <w:tcW w:type="dxa" w:w="2880"/>
          </w:tcPr>
          <w:p>
            <w:r>
              <w:t>Como o fluxo de código se organiza estruturalmente?</w:t>
            </w:r>
          </w:p>
        </w:tc>
      </w:tr>
    </w:tbl>
    <w:p/>
    <w:p>
      <w:pPr>
        <w:pStyle w:val="Heading1"/>
      </w:pPr>
      <w:r>
        <w:t>3. Encadeamento das chamadas de função até a identificação do malware</w:t>
      </w:r>
    </w:p>
    <w:p>
      <w:r>
        <w:t>A sequência abaixo representa a correlação mais consistente entre os logs. Ela mostra como as chamadas evoluem desde a inicialização até os indícios suficientes para classificar o artefato como malware protegido por VMProtect.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Chamadas/Funções observadas</w:t>
            </w:r>
          </w:p>
        </w:tc>
        <w:tc>
          <w:tcPr>
            <w:tcW w:type="dxa" w:w="2160"/>
          </w:tcPr>
          <w:p>
            <w:r>
              <w:t>Arquivos correlacionados</w:t>
            </w:r>
          </w:p>
        </w:tc>
        <w:tc>
          <w:tcPr>
            <w:tcW w:type="dxa" w:w="2160"/>
          </w:tcPr>
          <w:p>
            <w:r>
              <w:t>Conclusão forense</w:t>
            </w:r>
          </w:p>
        </w:tc>
      </w:tr>
      <w:tr>
        <w:tc>
          <w:tcPr>
            <w:tcW w:type="dxa" w:w="2160"/>
          </w:tcPr>
          <w:p>
            <w:r>
              <w:t>1. Inicialização</w:t>
            </w:r>
          </w:p>
        </w:tc>
        <w:tc>
          <w:tcPr>
            <w:tcW w:type="dxa" w:w="2160"/>
          </w:tcPr>
          <w:p>
            <w:r>
              <w:t>Load de kernel32.dll e ntdll.dll</w:t>
            </w:r>
          </w:p>
        </w:tc>
        <w:tc>
          <w:tcPr>
            <w:tcW w:type="dxa" w:w="2160"/>
          </w:tcPr>
          <w:p>
            <w:r>
              <w:t>FunctionInterceptor -&gt; TraceFcnCall -&gt; TraceInstructions</w:t>
            </w:r>
          </w:p>
        </w:tc>
        <w:tc>
          <w:tcPr>
            <w:tcW w:type="dxa" w:w="2160"/>
          </w:tcPr>
          <w:p>
            <w:r>
              <w:t>O processo inicia e prepara a resolução de APIs centrais do Windows</w:t>
            </w:r>
          </w:p>
        </w:tc>
      </w:tr>
      <w:tr>
        <w:tc>
          <w:tcPr>
            <w:tcW w:type="dxa" w:w="2160"/>
          </w:tcPr>
          <w:p>
            <w:r>
              <w:t>2. Anti-debug</w:t>
            </w:r>
          </w:p>
        </w:tc>
        <w:tc>
          <w:tcPr>
            <w:tcW w:type="dxa" w:w="2160"/>
          </w:tcPr>
          <w:p>
            <w:r>
              <w:t>IsDebuggerPresent, CheckRemoteDebuggerPresent, NtQueryInformationProcess(ProcessInformationClass=30)</w:t>
            </w:r>
          </w:p>
        </w:tc>
        <w:tc>
          <w:tcPr>
            <w:tcW w:type="dxa" w:w="2160"/>
          </w:tcPr>
          <w:p>
            <w:r>
              <w:t>FunctionInterceptor -&gt; TraceFcnCall.M1/M2 -&gt; TraceInstructions</w:t>
            </w:r>
          </w:p>
        </w:tc>
        <w:tc>
          <w:tcPr>
            <w:tcW w:type="dxa" w:w="2160"/>
          </w:tcPr>
          <w:p>
            <w:r>
              <w:t>O binário testa se está sendo depurado, o que é típico de malware com autoproteção</w:t>
            </w:r>
          </w:p>
        </w:tc>
      </w:tr>
      <w:tr>
        <w:tc>
          <w:tcPr>
            <w:tcW w:type="dxa" w:w="2160"/>
          </w:tcPr>
          <w:p>
            <w:r>
              <w:t>3. Anti-overhead / anti-análise temporal</w:t>
            </w:r>
          </w:p>
        </w:tc>
        <w:tc>
          <w:tcPr>
            <w:tcW w:type="dxa" w:w="2160"/>
          </w:tcPr>
          <w:p>
            <w:r>
              <w:t>GetTickCount, QueryPerformanceCounter, Sleep com valor extremo</w:t>
            </w:r>
          </w:p>
        </w:tc>
        <w:tc>
          <w:tcPr>
            <w:tcW w:type="dxa" w:w="2160"/>
          </w:tcPr>
          <w:p>
            <w:r>
              <w:t>FunctionInterceptor -&gt; TraceInstructions</w:t>
            </w:r>
          </w:p>
        </w:tc>
        <w:tc>
          <w:tcPr>
            <w:tcW w:type="dxa" w:w="2160"/>
          </w:tcPr>
          <w:p>
            <w:r>
              <w:t>O binário mede latência e tenta detectar instrumentação, sandbox ou emulação</w:t>
            </w:r>
          </w:p>
        </w:tc>
      </w:tr>
      <w:tr>
        <w:tc>
          <w:tcPr>
            <w:tcW w:type="dxa" w:w="2160"/>
          </w:tcPr>
          <w:p>
            <w:r>
              <w:t>4. Anti-VM / anti-sandbox</w:t>
            </w:r>
          </w:p>
        </w:tc>
        <w:tc>
          <w:tcPr>
            <w:tcW w:type="dxa" w:w="2160"/>
          </w:tcPr>
          <w:p>
            <w:r>
              <w:t>EnumSystemFirmwareTables, verificações de CPU/USB, chamadas WMI</w:t>
            </w:r>
          </w:p>
        </w:tc>
        <w:tc>
          <w:tcPr>
            <w:tcW w:type="dxa" w:w="2160"/>
          </w:tcPr>
          <w:p>
            <w:r>
              <w:t>FunctionInterceptor -&gt; TraceFcnCall.M2 -&gt; TraceInstructions</w:t>
            </w:r>
          </w:p>
        </w:tc>
        <w:tc>
          <w:tcPr>
            <w:tcW w:type="dxa" w:w="2160"/>
          </w:tcPr>
          <w:p>
            <w:r>
              <w:t>O binário verifica se está em ambiente artificial antes de liberar o payload real</w:t>
            </w:r>
          </w:p>
        </w:tc>
      </w:tr>
      <w:tr>
        <w:tc>
          <w:tcPr>
            <w:tcW w:type="dxa" w:w="2160"/>
          </w:tcPr>
          <w:p>
            <w:r>
              <w:t>5. Preparação de memória</w:t>
            </w:r>
          </w:p>
        </w:tc>
        <w:tc>
          <w:tcPr>
            <w:tcW w:type="dxa" w:w="2160"/>
          </w:tcPr>
          <w:p>
            <w:r>
              <w:t>LocalAlloc, possivelmente alocação de buffers temporários</w:t>
            </w:r>
          </w:p>
        </w:tc>
        <w:tc>
          <w:tcPr>
            <w:tcW w:type="dxa" w:w="2160"/>
          </w:tcPr>
          <w:p>
            <w:r>
              <w:t>FunctionInterceptor -&gt; TraceInstructions -&gt; TraceMemory</w:t>
            </w:r>
          </w:p>
        </w:tc>
        <w:tc>
          <w:tcPr>
            <w:tcW w:type="dxa" w:w="2160"/>
          </w:tcPr>
          <w:p>
            <w:r>
              <w:t>Há preparação de regiões de memória para receber código ou dados desempacotados</w:t>
            </w:r>
          </w:p>
        </w:tc>
      </w:tr>
      <w:tr>
        <w:tc>
          <w:tcPr>
            <w:tcW w:type="dxa" w:w="2160"/>
          </w:tcPr>
          <w:p>
            <w:r>
              <w:t>6. Desempacotamento / mudança de proteção</w:t>
            </w:r>
          </w:p>
        </w:tc>
        <w:tc>
          <w:tcPr>
            <w:tcW w:type="dxa" w:w="2160"/>
          </w:tcPr>
          <w:p>
            <w:r>
              <w:t>VirtualProtect com transição de RW para RX</w:t>
            </w:r>
          </w:p>
        </w:tc>
        <w:tc>
          <w:tcPr>
            <w:tcW w:type="dxa" w:w="2160"/>
          </w:tcPr>
          <w:p>
            <w:r>
              <w:t>FunctionInterceptor -&gt; TraceInstructions -&gt; TraceMemory -&gt; TraceDisassembly</w:t>
            </w:r>
          </w:p>
        </w:tc>
        <w:tc>
          <w:tcPr>
            <w:tcW w:type="dxa" w:w="2160"/>
          </w:tcPr>
          <w:p>
            <w:r>
              <w:t>O código protegido é reescrito em memória e depois marcado como executável, padrão clássico de unpacking</w:t>
            </w:r>
          </w:p>
        </w:tc>
      </w:tr>
      <w:tr>
        <w:tc>
          <w:tcPr>
            <w:tcW w:type="dxa" w:w="2160"/>
          </w:tcPr>
          <w:p>
            <w:r>
              <w:t>7. Execução do código desempacotado</w:t>
            </w:r>
          </w:p>
        </w:tc>
        <w:tc>
          <w:tcPr>
            <w:tcW w:type="dxa" w:w="2160"/>
          </w:tcPr>
          <w:p>
            <w:r>
              <w:t>Desvios indiretos e continuidade em blocos novos</w:t>
            </w:r>
          </w:p>
        </w:tc>
        <w:tc>
          <w:tcPr>
            <w:tcW w:type="dxa" w:w="2160"/>
          </w:tcPr>
          <w:p>
            <w:r>
              <w:t>TraceFcnCall.M2 -&gt; TraceDisassembly -&gt; TraceInstructions</w:t>
            </w:r>
          </w:p>
        </w:tc>
        <w:tc>
          <w:tcPr>
            <w:tcW w:type="dxa" w:w="2160"/>
          </w:tcPr>
          <w:p>
            <w:r>
              <w:t>O fluxo abandona o stub protegido e passa a executar o conteúdo liberado em memória</w:t>
            </w:r>
          </w:p>
        </w:tc>
      </w:tr>
      <w:tr>
        <w:tc>
          <w:tcPr>
            <w:tcW w:type="dxa" w:w="2160"/>
          </w:tcPr>
          <w:p>
            <w:r>
              <w:t>8. Encerramento da amostra</w:t>
            </w:r>
          </w:p>
        </w:tc>
        <w:tc>
          <w:tcPr>
            <w:tcW w:type="dxa" w:w="2160"/>
          </w:tcPr>
          <w:p>
            <w:r>
              <w:t>HeapFree, FatalExit</w:t>
            </w:r>
          </w:p>
        </w:tc>
        <w:tc>
          <w:tcPr>
            <w:tcW w:type="dxa" w:w="2160"/>
          </w:tcPr>
          <w:p>
            <w:r>
              <w:t>FunctionInterceptor -&gt; TraceInstructions</w:t>
            </w:r>
          </w:p>
        </w:tc>
        <w:tc>
          <w:tcPr>
            <w:tcW w:type="dxa" w:w="2160"/>
          </w:tcPr>
          <w:p>
            <w:r>
              <w:t>A execução observada termina com liberação de recursos e finalização do processo</w:t>
            </w:r>
          </w:p>
        </w:tc>
      </w:tr>
    </w:tbl>
    <w:p/>
    <w:p>
      <w:pPr>
        <w:pStyle w:val="Heading1"/>
      </w:pPr>
      <w:r>
        <w:t>4. Ponto final da execução</w:t>
      </w:r>
    </w:p>
    <w:p>
      <w:r>
        <w:t>O ponto final de execução, conforme o resumo fornecido, é caracterizado por chamadas de finalização como HeapFree e FatalExit [1]. Em termos cronológicos, esse é o encerramento do processo monitorado. Em termos analíticos, porém, a identificação do malware ocorre antes desse encerramento, quando a combinação entre técnicas anti-análise, comportamento de desempacotamento em memória e execução de código protegido se torna suficientemente consistente para classificar a amostra como trojan protegido por VMProtect.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ponto final</w:t>
            </w:r>
          </w:p>
        </w:tc>
        <w:tc>
          <w:tcPr>
            <w:tcW w:type="dxa" w:w="2880"/>
          </w:tcPr>
          <w:p>
            <w:r>
              <w:t>Marco observado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</w:tr>
      <w:tr>
        <w:tc>
          <w:tcPr>
            <w:tcW w:type="dxa" w:w="2880"/>
          </w:tcPr>
          <w:p>
            <w:r>
              <w:t>Final de execução</w:t>
            </w:r>
          </w:p>
        </w:tc>
        <w:tc>
          <w:tcPr>
            <w:tcW w:type="dxa" w:w="2880"/>
          </w:tcPr>
          <w:p>
            <w:r>
              <w:t>HeapFree -&gt; FatalExit</w:t>
            </w:r>
          </w:p>
        </w:tc>
        <w:tc>
          <w:tcPr>
            <w:tcW w:type="dxa" w:w="2880"/>
          </w:tcPr>
          <w:p>
            <w:r>
              <w:t>Encerramento da amostra no trace</w:t>
            </w:r>
          </w:p>
        </w:tc>
      </w:tr>
      <w:tr>
        <w:tc>
          <w:tcPr>
            <w:tcW w:type="dxa" w:w="2880"/>
          </w:tcPr>
          <w:p>
            <w:r>
              <w:t>Final analítico</w:t>
            </w:r>
          </w:p>
        </w:tc>
        <w:tc>
          <w:tcPr>
            <w:tcW w:type="dxa" w:w="2880"/>
          </w:tcPr>
          <w:p>
            <w:r>
              <w:t>Confirmação de anti-debug + anti-VM + unpacking + execução protegida</w:t>
            </w:r>
          </w:p>
        </w:tc>
        <w:tc>
          <w:tcPr>
            <w:tcW w:type="dxa" w:w="2880"/>
          </w:tcPr>
          <w:p>
            <w:r>
              <w:t>Momento em que a natureza maliciosa fica caracterizada com segurança</w:t>
            </w:r>
          </w:p>
        </w:tc>
      </w:tr>
    </w:tbl>
    <w:p/>
    <w:p>
      <w:pPr>
        <w:pStyle w:val="Heading1"/>
      </w:pPr>
      <w:r>
        <w:t>5. Identificação do malware</w:t>
      </w:r>
    </w:p>
    <w:p>
      <w:r>
        <w:t>O próprio relatório resume a amostra como um “Trojan 64-bit (Ulise, Casdet, BackdoorX)”, protegida por VMProtect 2.x, com hash SHA-256 36685efcf34c7a7a6f6dd2e48199e4700b5ab8fe3945a50297703dd8daced74f [1]. Essa identificação é coerente com o comportamento observado nos traces: presença de antidebug, técnicas anti-VM/anti-sandbox, evasão temporal, uso de alocação e proteção de memória para desempacotamento e posterior execução do código liberado em memória.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Valor extraído</w:t>
            </w:r>
          </w:p>
        </w:tc>
        <w:tc>
          <w:tcPr>
            <w:tcW w:type="dxa" w:w="2880"/>
          </w:tcPr>
          <w:p>
            <w:r>
              <w:t>Relevância</w:t>
            </w:r>
          </w:p>
        </w:tc>
      </w:tr>
      <w:tr>
        <w:tc>
          <w:tcPr>
            <w:tcW w:type="dxa" w:w="2880"/>
          </w:tcPr>
          <w:p>
            <w:r>
              <w:t>Hash SHA-256</w:t>
            </w:r>
          </w:p>
        </w:tc>
        <w:tc>
          <w:tcPr>
            <w:tcW w:type="dxa" w:w="2880"/>
          </w:tcPr>
          <w:p>
            <w:r>
              <w:t>36685efcf34c7a7a6f6dd2e48199e4700b5ab8fe3945a50297703dd8daced74f</w:t>
            </w:r>
          </w:p>
        </w:tc>
        <w:tc>
          <w:tcPr>
            <w:tcW w:type="dxa" w:w="2880"/>
          </w:tcPr>
          <w:p>
            <w:r>
              <w:t>Identificador único da amostra</w:t>
            </w:r>
          </w:p>
        </w:tc>
      </w:tr>
      <w:tr>
        <w:tc>
          <w:tcPr>
            <w:tcW w:type="dxa" w:w="2880"/>
          </w:tcPr>
          <w:p>
            <w:r>
              <w:t>Classificação</w:t>
            </w:r>
          </w:p>
        </w:tc>
        <w:tc>
          <w:tcPr>
            <w:tcW w:type="dxa" w:w="2880"/>
          </w:tcPr>
          <w:p>
            <w:r>
              <w:t>Trojan 64-bit (Ulise, Casdet, BackdoorX)</w:t>
            </w:r>
          </w:p>
        </w:tc>
        <w:tc>
          <w:tcPr>
            <w:tcW w:type="dxa" w:w="2880"/>
          </w:tcPr>
          <w:p>
            <w:r>
              <w:t>Define a natureza maliciosa reportada</w:t>
            </w:r>
          </w:p>
        </w:tc>
      </w:tr>
      <w:tr>
        <w:tc>
          <w:tcPr>
            <w:tcW w:type="dxa" w:w="2880"/>
          </w:tcPr>
          <w:p>
            <w:r>
              <w:t>Proteção</w:t>
            </w:r>
          </w:p>
        </w:tc>
        <w:tc>
          <w:tcPr>
            <w:tcW w:type="dxa" w:w="2880"/>
          </w:tcPr>
          <w:p>
            <w:r>
              <w:t>VMProtect 2.x</w:t>
            </w:r>
          </w:p>
        </w:tc>
        <w:tc>
          <w:tcPr>
            <w:tcW w:type="dxa" w:w="2880"/>
          </w:tcPr>
          <w:p>
            <w:r>
              <w:t>Explica a ofuscação, o uso de saltos indiretos e o padrão de unpacking</w:t>
            </w:r>
          </w:p>
        </w:tc>
      </w:tr>
      <w:tr>
        <w:tc>
          <w:tcPr>
            <w:tcW w:type="dxa" w:w="2880"/>
          </w:tcPr>
          <w:p>
            <w:r>
              <w:t>Seções relevantes</w:t>
            </w:r>
          </w:p>
        </w:tc>
        <w:tc>
          <w:tcPr>
            <w:tcW w:type="dxa" w:w="2880"/>
          </w:tcPr>
          <w:p>
            <w:r>
              <w:t>.vmp0 e .vmp1</w:t>
            </w:r>
          </w:p>
        </w:tc>
        <w:tc>
          <w:tcPr>
            <w:tcW w:type="dxa" w:w="2880"/>
          </w:tcPr>
          <w:p>
            <w:r>
              <w:t>Indício estrutural de código protegido/virtualizado</w:t>
            </w:r>
          </w:p>
        </w:tc>
      </w:tr>
    </w:tbl>
    <w:p/>
    <w:p>
      <w:pPr>
        <w:pStyle w:val="Heading1"/>
      </w:pPr>
      <w:r>
        <w:t>6. Cadeia de correlação resumida</w:t>
      </w:r>
    </w:p>
    <w:p>
      <w:r>
        <w:t>Em forma resumida, a cadeia lógica de correlação é a seguinte: inicialização do processo e carregamento de bibliotecas; verificação de depuração e ambiente; checagem de latência e sandbox; alocação de memória; mudança de proteção de páginas; execução do código desempacotado; e encerramento. A identificação do malware decorre precisamente da correlação desses eventos entre os diferentes arquivos de log, e não de uma única chamada isolada.</w:t>
      </w:r>
    </w:p>
    <w:p>
      <w:pPr/>
      <w:r>
        <w:t>FunctionInterceptor</w:t>
        <w:br/>
        <w:t>-&gt; TraceFcnCall.M1 / TraceFcnCall.M2</w:t>
        <w:br/>
        <w:t>-&gt; TraceInstructions</w:t>
        <w:br/>
        <w:t>-&gt; TraceMemory</w:t>
        <w:br/>
        <w:t>-&gt; TraceDisassembly</w:t>
        <w:br/>
        <w:br/>
        <w:t>Fluxo comportamental inferido:</w:t>
        <w:br/>
        <w:t>Inicialização -&gt; Anti-debug -&gt; Anti-VM / Anti-sandbox -&gt; Anti-overhead -&gt; LocalAlloc -&gt; VirtualProtect (RW -&gt; RX) -&gt; Execução do código desempacotado -&gt; HeapFree -&gt; FatalExit</w:t>
        <w:br/>
        <w:br/>
        <w:t>Conclusão: comportamento compatível com trojan 64-bit protegido por VMProtect.</w:t>
      </w:r>
    </w:p>
    <w:p>
      <w:pPr>
        <w:pStyle w:val="Heading1"/>
      </w:pPr>
      <w:r>
        <w:t>7. Limitação importante</w:t>
      </w:r>
    </w:p>
    <w:p>
      <w:r>
        <w:t>Como o material entregue ao usuário é um resumo analítico dos traces, e não os logs CDF integrais, não é possível afirmar a partir deste documento os endereços exatos de instrução, os offsets específicos, os timestamps de cada evento ou os argumentos completos de todas as chamadas. Se você quiser, a próxima etapa pode ser a montagem de uma linha do tempo forense mais detalhada, arquivo por arquivo, desde que os CDF brutos estejam disponíveis para extração.</w:t>
      </w:r>
    </w:p>
    <w:p>
      <w:pPr>
        <w:pStyle w:val="Heading1"/>
      </w:pPr>
      <w:r>
        <w:t>Referência</w:t>
      </w:r>
    </w:p>
    <w:p>
      <w:r>
        <w:t>[1] Documento fornecido pelo usuário: “Análise dos Resultados de Execução - Full-Execution-Sample-1.docx”.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