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CCEB" w14:textId="77777777" w:rsidR="00EF6D0A" w:rsidRDefault="00EF6D0A" w:rsidP="00EF6D0A">
      <w:pPr>
        <w:pStyle w:val="NormaleWeb"/>
      </w:pPr>
      <w:r>
        <w:t>Questo codice Python analizza la relazione tra massa molecolare, polarità, tipo di legame e punto di ebollizione di diverse sostanze utilizzando tecniche statistiche e modelli di regressione lineare.</w:t>
      </w:r>
    </w:p>
    <w:p w14:paraId="05D0457E" w14:textId="77777777" w:rsidR="00EF6D0A" w:rsidRDefault="00EF6D0A" w:rsidP="00EF6D0A">
      <w:pPr>
        <w:pStyle w:val="NormaleWeb"/>
      </w:pPr>
      <w:r>
        <w:t xml:space="preserve">All’inizio vengono importate le librerie necessarie: </w:t>
      </w:r>
      <w:r>
        <w:rPr>
          <w:rStyle w:val="CodiceHTML"/>
          <w:rFonts w:eastAsiaTheme="majorEastAsia"/>
        </w:rPr>
        <w:t>pandas</w:t>
      </w:r>
      <w:r>
        <w:t xml:space="preserve"> e </w:t>
      </w:r>
      <w:r>
        <w:rPr>
          <w:rStyle w:val="CodiceHTML"/>
          <w:rFonts w:eastAsiaTheme="majorEastAsia"/>
        </w:rPr>
        <w:t>numpy</w:t>
      </w:r>
      <w:r>
        <w:t xml:space="preserve"> per la gestione dei dati, </w:t>
      </w:r>
      <w:r>
        <w:rPr>
          <w:rStyle w:val="CodiceHTML"/>
          <w:rFonts w:eastAsiaTheme="majorEastAsia"/>
        </w:rPr>
        <w:t>matplotlib</w:t>
      </w:r>
      <w:r>
        <w:t xml:space="preserve"> e </w:t>
      </w:r>
      <w:r>
        <w:rPr>
          <w:rStyle w:val="CodiceHTML"/>
          <w:rFonts w:eastAsiaTheme="majorEastAsia"/>
        </w:rPr>
        <w:t>seaborn</w:t>
      </w:r>
      <w:r>
        <w:t xml:space="preserve"> per i grafici, </w:t>
      </w:r>
      <w:r>
        <w:rPr>
          <w:rStyle w:val="CodiceHTML"/>
          <w:rFonts w:eastAsiaTheme="majorEastAsia"/>
        </w:rPr>
        <w:t>statsmodels</w:t>
      </w:r>
      <w:r>
        <w:t xml:space="preserve">, </w:t>
      </w:r>
      <w:r>
        <w:rPr>
          <w:rStyle w:val="CodiceHTML"/>
          <w:rFonts w:eastAsiaTheme="majorEastAsia"/>
        </w:rPr>
        <w:t>scikit-learn</w:t>
      </w:r>
      <w:r>
        <w:t xml:space="preserve"> e </w:t>
      </w:r>
      <w:r>
        <w:rPr>
          <w:rStyle w:val="CodiceHTML"/>
          <w:rFonts w:eastAsiaTheme="majorEastAsia"/>
        </w:rPr>
        <w:t>scipy</w:t>
      </w:r>
      <w:r>
        <w:t xml:space="preserve"> per le analisi statistiche e la regressione lineare. Successivamente il file CSV contenente il dataset viene caricato da Google Colab e trasformato in un DataFrame (</w:t>
      </w:r>
      <w:r>
        <w:rPr>
          <w:rStyle w:val="CodiceHTML"/>
          <w:rFonts w:eastAsiaTheme="majorEastAsia"/>
        </w:rPr>
        <w:t>df</w:t>
      </w:r>
      <w:r>
        <w:t>).</w:t>
      </w:r>
    </w:p>
    <w:p w14:paraId="22069864" w14:textId="77777777" w:rsidR="00EF6D0A" w:rsidRDefault="00EF6D0A" w:rsidP="00EF6D0A">
      <w:pPr>
        <w:pStyle w:val="NormaleWeb"/>
      </w:pPr>
      <w:r>
        <w:t>Il programma stampa il dataset e calcola la statistica descrittiva delle variabili numeriche, mostrando media, deviazione standard, valori minimi e massimi. In seguito viene eseguita una regressione lineare semplice tra massa molecolare e punto di ebollizione. I risultati mostrano un coefficiente positivo (</w:t>
      </w:r>
      <w:r>
        <w:rPr>
          <w:rStyle w:val="CodiceHTML"/>
          <w:rFonts w:eastAsiaTheme="majorEastAsia"/>
        </w:rPr>
        <w:t>0.9218</w:t>
      </w:r>
      <w:r>
        <w:t>), indicando che all’aumentare della massa molecolare aumenta anche il punto di ebollizione. L’</w:t>
      </w:r>
      <w:r>
        <w:rPr>
          <w:rStyle w:val="CodiceHTML"/>
          <w:rFonts w:eastAsiaTheme="majorEastAsia"/>
        </w:rPr>
        <w:t>R² = 0.6977</w:t>
      </w:r>
      <w:r>
        <w:t xml:space="preserve"> indica che circa il 70% della variabilità del punto di ebollizione è spiegata dalla massa molecolare.</w:t>
      </w:r>
    </w:p>
    <w:p w14:paraId="7210EED8" w14:textId="77777777" w:rsidR="00EF6D0A" w:rsidRDefault="00EF6D0A" w:rsidP="00EF6D0A">
      <w:pPr>
        <w:pStyle w:val="NormaleWeb"/>
      </w:pPr>
      <w:r>
        <w:t>Il codice genera anche diversi grafici: uno scatter plot con la retta di regressione, un istogramma della distribuzione del punto di ebollizione e un boxplot per confrontare sostanze polari e non polari.</w:t>
      </w:r>
    </w:p>
    <w:p w14:paraId="0EA7CF5B" w14:textId="77777777" w:rsidR="00EF6D0A" w:rsidRDefault="00EF6D0A" w:rsidP="00EF6D0A">
      <w:pPr>
        <w:pStyle w:val="NormaleWeb"/>
      </w:pPr>
      <w:r>
        <w:t xml:space="preserve">Successivamente viene effettuata una regressione multipla. La variabile categorica </w:t>
      </w:r>
      <w:r>
        <w:rPr>
          <w:rStyle w:val="CodiceHTML"/>
          <w:rFonts w:eastAsiaTheme="majorEastAsia"/>
        </w:rPr>
        <w:t>Tipo_Legame</w:t>
      </w:r>
      <w:r>
        <w:t xml:space="preserve"> viene trasformata in variabili dummy per poter essere utilizzata nel modello. I risultati mostrano che massa molecolare e polarità influenzano positivamente il punto di ebollizione. In particolare, la polarità ha un effetto molto forte (</w:t>
      </w:r>
      <w:r>
        <w:rPr>
          <w:rStyle w:val="CodiceHTML"/>
          <w:rFonts w:eastAsiaTheme="majorEastAsia"/>
        </w:rPr>
        <w:t>51.4880</w:t>
      </w:r>
      <w:r>
        <w:t xml:space="preserve">). Il modello multiplo presenta un </w:t>
      </w:r>
      <w:r>
        <w:rPr>
          <w:rStyle w:val="CodiceHTML"/>
          <w:rFonts w:eastAsiaTheme="majorEastAsia"/>
        </w:rPr>
        <w:t>R² = 0.8938</w:t>
      </w:r>
      <w:r>
        <w:t>, quindi spiega quasi il 90% della variabilità dei dati.</w:t>
      </w:r>
    </w:p>
    <w:p w14:paraId="56CA8556" w14:textId="77777777" w:rsidR="00EF6D0A" w:rsidRDefault="00EF6D0A" w:rsidP="00EF6D0A">
      <w:pPr>
        <w:pStyle w:val="NormaleWeb"/>
      </w:pPr>
      <w:r>
        <w:t xml:space="preserve">Infine viene eseguito un t-test per confrontare i punti di ebollizione medi di composti polari e non polari. Il valore </w:t>
      </w:r>
      <w:r>
        <w:rPr>
          <w:rStyle w:val="CodiceHTML"/>
          <w:rFonts w:eastAsiaTheme="majorEastAsia"/>
        </w:rPr>
        <w:t>p-value = 0.00580</w:t>
      </w:r>
      <w:r>
        <w:t xml:space="preserve"> è minore di 0.05, indicando una differenza statisticamente significativa: i composti polari hanno punti di ebollizione mediamente più alti rispetto ai composti non polari.</w:t>
      </w:r>
    </w:p>
    <w:p w14:paraId="3F3725F0" w14:textId="77777777" w:rsidR="00F50B3E" w:rsidRDefault="00F50B3E"/>
    <w:sectPr w:rsidR="00F50B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0A"/>
    <w:rsid w:val="002E0AC7"/>
    <w:rsid w:val="0053416A"/>
    <w:rsid w:val="00780F94"/>
    <w:rsid w:val="00BF41FC"/>
    <w:rsid w:val="00EF6D0A"/>
    <w:rsid w:val="00F50B3E"/>
    <w:rsid w:val="00F80E8C"/>
    <w:rsid w:val="00F9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9EF9"/>
  <w15:chartTrackingRefBased/>
  <w15:docId w15:val="{4A69D00E-C70E-4534-8A46-6DB81BD9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6D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6D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6D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6D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6D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6D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6D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6D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6D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6D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6D0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F6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EF6D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697f44-c8cc-4569-acad-9efb48cb835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74538FCE2F19478A4A1387B9AC8722" ma:contentTypeVersion="9" ma:contentTypeDescription="Creare un nuovo documento." ma:contentTypeScope="" ma:versionID="bc0b57a5788b8bc5e603fbe4f3e32b28">
  <xsd:schema xmlns:xsd="http://www.w3.org/2001/XMLSchema" xmlns:xs="http://www.w3.org/2001/XMLSchema" xmlns:p="http://schemas.microsoft.com/office/2006/metadata/properties" xmlns:ns3="52697f44-c8cc-4569-acad-9efb48cb8357" targetNamespace="http://schemas.microsoft.com/office/2006/metadata/properties" ma:root="true" ma:fieldsID="ee6ad02d80fa9c02d59d7b02642af090" ns3:_="">
    <xsd:import namespace="52697f44-c8cc-4569-acad-9efb48cb83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97f44-c8cc-4569-acad-9efb48cb83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C3F03-ECF1-4B19-A0E1-30A3A1CBB834}">
  <ds:schemaRefs>
    <ds:schemaRef ds:uri="http://schemas.microsoft.com/office/2006/metadata/properties"/>
    <ds:schemaRef ds:uri="http://www.w3.org/2000/xmlns/"/>
    <ds:schemaRef ds:uri="52697f44-c8cc-4569-acad-9efb48cb8357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6FDDA90F-BFBB-48B7-ABE5-851AB0C3CA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65E2A6-4AF3-44A2-A99A-18D7164F7FF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2697f44-c8cc-4569-acad-9efb48cb83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Benigni Michele</dc:creator>
  <cp:keywords/>
  <dc:description/>
  <cp:lastModifiedBy>Benigni Margherita</cp:lastModifiedBy>
  <cp:revision>2</cp:revision>
  <dcterms:created xsi:type="dcterms:W3CDTF">2026-05-26T08:04:00Z</dcterms:created>
  <dcterms:modified xsi:type="dcterms:W3CDTF">2026-05-26T08:04:00Z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0x0101004774538FCE2F19478A4A1387B9AC8722</vt:lpwstr>
  </property>
</Properties>
</file>