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i w:val="0"/>
          <w:color w:val="17365D"/>
          <w:sz w:val="40"/>
        </w:rPr>
        <w:t>Tover: лайнэдж данных Ozon и расчёт отчётов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1F4E78"/>
          <w:sz w:val="25"/>
        </w:rPr>
        <w:t>Проверочный документ для финансовой верификации</w:t>
      </w:r>
    </w:p>
    <w:p>
      <w:pPr>
        <w:spacing w:after="160"/>
        <w:pBdr>
          <w:bottom w:val="single" w:sz="6" w:space="5" w:color="1F4E78"/>
        </w:pBdr>
      </w:pPr>
      <w:r>
        <w:rPr>
          <w:rFonts w:ascii="Calibri" w:hAnsi="Calibri" w:eastAsia="Calibri"/>
          <w:b w:val="0"/>
          <w:i w:val="0"/>
          <w:color w:val="5B6573"/>
          <w:sz w:val="17"/>
        </w:rPr>
        <w:t>Срез на 27.07.2026 · репозиторий: commit 4076fb7fd2b27cc98d7c5225f6a455fc4d0580b8 · активная схема Supabase: tover_app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8"/>
              </w:rPr>
              <w:t xml:space="preserve">Главный вывод: 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Экранные отчёты строятся по операциям и складскому регистру Tover. Большая часть данных Ozon сначала сохраняется как зеркало для сопоставления и аудита; сама по себе она не меняет остатки, себестоимость, долг поставщику или отчёт.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1. Назначение и границы проверки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21"/>
        </w:rPr>
        <w:t>Документ описывает подтверждённую на указанном commit логику: от получения данных из Ozon до отображения шести экранных отчётов. Он рассчитан на финансовую сверку, поэтому использует термины «событие», «операция», «остаток» и «стоимость», а не детали реализации.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21"/>
        </w:rPr>
        <w:t>Источник истины для этого документа — текущий код и активные функции базы данных Supabase tover_app, сверенные 27.07.2026; контракт полей — официальная документация Ozon Seller API. Это не утверждение о состоянии отдельного production-развёртывания интерфейса.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21"/>
        </w:rPr>
        <w:t>Учебные примеры ниже не содержат реальных SKU, поставщиков или сумм. Денежные примеры приведены только для проверки формулы.</w:t>
      </w:r>
    </w:p>
    <w:p>
      <w:pPr>
        <w:pStyle w:val="Heading1"/>
        <w:keepNext/>
      </w:pPr>
      <w:r>
        <w:t>2. Упрощённый лайнэдж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690"/>
        <w:gridCol w:w="3100"/>
      </w:tblGrid>
      <w:tr>
        <w:trPr>
          <w:tblHeader w:val="true"/>
          <w:cantSplit/>
        </w:trPr>
        <w:tc>
          <w:tcPr>
            <w:tcW w:type="dxa" w:w="14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Шаг</w:t>
            </w:r>
          </w:p>
        </w:tc>
        <w:tc>
          <w:tcPr>
            <w:tcW w:type="dxa" w:w="469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Что происходит</w:t>
            </w:r>
          </w:p>
        </w:tc>
        <w:tc>
          <w:tcPr>
            <w:tcW w:type="dxa" w:w="3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Финансовый смысл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1. Ozon Seller API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Tover получает справочники и события из разрешённых методов Ozon.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Это внешний первичный источник.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2. Зеркальные данные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Ответ хранится как нормализованное аудиторское зеркало; повторяющиеся записи объединяются по источнику.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Зеркало не является операцией и не меняет отчёты.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3. Кандидат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Только событие с достаточными датой, товаром, складом, количеством и типом может стать кандидатом.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Кандидат ещё не отражён в учёте.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4. Сопоставление и проверки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Товар и склад сопоставляются с объектами Tover; проверяются версия и контрольная сумма доказательства, направление и количество.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Отсекаются неполные, отменённые и неоднозначные события.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5. Подтверждение менеджером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Менеджер подтверждает готовый кандидат. Принятые, игнорируемые и уже проведённые решения не заменяются повторной синхронизацией.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Есть явная точка ответственности пользователя.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6. Операция и складской регистр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Операция создаётся целиком один раз. Затем пересчитываются складские движения, остатки и стоимость.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Только этот слой питает экранные отчёты.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7. Отчёты</w:t>
            </w:r>
          </w:p>
        </w:tc>
        <w:tc>
          <w:tcPr>
            <w:tcW w:type="dxa" w:w="4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Шесть экранов читают операции и складской регистр с выбранными датами, группировками и фильтрами.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Формулы общие; сохранённый отчёт их не меняет.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3. Какие данные Ozon фактически используются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Во всех строках ниже «зеркало» означает: данные доступны для проверки, сопоставления или будущего ручного использования, но не создают складскую или финансовую операцию. Методы сгруппированы только для удобства чтения; перечислены все вызываемые методы Ozon Seller API.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0"/>
        <w:gridCol w:w="2430"/>
        <w:gridCol w:w="2920"/>
        <w:gridCol w:w="1870"/>
      </w:tblGrid>
      <w:tr>
        <w:trPr>
          <w:tblHeader w:val="true"/>
          <w:cantSplit/>
        </w:trPr>
        <w:tc>
          <w:tcPr>
            <w:tcW w:type="dxa" w:w="20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5"/>
              </w:rPr>
              <w:t>Метод Ozon</w:t>
            </w:r>
          </w:p>
        </w:tc>
        <w:tc>
          <w:tcPr>
            <w:tcW w:type="dxa" w:w="243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5"/>
              </w:rPr>
              <w:t>Что запрашивается</w:t>
            </w:r>
          </w:p>
        </w:tc>
        <w:tc>
          <w:tcPr>
            <w:tcW w:type="dxa" w:w="29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5"/>
              </w:rPr>
              <w:t>Сопоставление / фильтр</w:t>
            </w:r>
          </w:p>
        </w:tc>
        <w:tc>
          <w:tcPr>
            <w:tcW w:type="dxa" w:w="187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5"/>
              </w:rPr>
              <w:t>Результат в Tover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Склады</w:t>
              <w:br/>
              <w:t>/v2/warehouse/list</w:t>
              <w:br/>
              <w:t>/v1/warehouse/fbo/seller/list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Список складов продавца и складов FBO: идентификатор, название, тип/признаки склада.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Название склада сопоставляется со складом Tover. Уже заданное вручную сопоставление или игнорирование не перезаписывается.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Справочник и зеркало. Операция не создаётся.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Товары</w:t>
              <w:br/>
              <w:t>/v3/product/list</w:t>
              <w:br/>
              <w:t>/v3/product/info/list</w:t>
              <w:br/>
              <w:t>/v4/product/info/attributes</w:t>
              <w:br/>
              <w:t>/v5/product/info/prices</w:t>
              <w:br/>
              <w:t>/v1/product/info/discounted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Карточки и атрибуты товара, offer_id, SKU, штрихкоды, цены и сведения об уценке.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Автосопоставление с товаром Tover по коду SKU, offer_id, SKU Ozon или штрихкоду; ручное решение сохраняется.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Справочник и зеркало. Цена Ozon не становится складской себестоимостью.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Снимок остатков</w:t>
              <w:br/>
              <w:t>/v4/product/info/stocks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Остатки товара Ozon по доступным полям ответа.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Используется как сверочный снимок. В ответе нет достаточного подтверждённого события для движения Tover.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 Автоинвентаризация не создаётся.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Отправления</w:t>
              <w:br/>
              <w:t>/v4/posting/fbs/list</w:t>
              <w:br/>
              <w:t>/v3/posting/fbo/list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Статус отправления, in_process_at, склад, строки товара, количество и цена сделки.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Продажа возможна только для финального статуса доставки delivered (поддерживается исторический posting_transferred_to_client). Дата операции — in_process_at. Нужны сопоставленные товар и склад, положительное количество.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Кандидат «Продажа», затем — только после подтверждения — операция продажи.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Возвраты FBO/FBS</w:t>
              <w:br/>
              <w:t>/v1/returns/list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Статус возврата, logistic.final_moment, товар, количество, склад и цена строки.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Нужны статус получения продавцом ReceivedBySeller (либо исторический ReturnedToSeller), дата получения, товар, склад и положительное количество.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Кандидат «Возврат», затем подтверждённая операция возврата.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Возвраты rFBS</w:t>
              <w:br/>
              <w:t>/v2/returns/rfbs/list</w:t>
              <w:br/>
              <w:t>/v2/returns/rfbs/get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Список и детали rFBS-возвратов.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Текущая связка ответов не подтверждает одновременно факт получения продавцом и количество, достаточные для автоматического складского события.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 Операция возврата не создаётся.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Неоплаченные юридические товары</w:t>
              <w:br/>
              <w:t>/v1/posting/unpaid-legal/product/list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Сведения по неоплаченным юридическим отправлениям.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Сохраняется для справки; не является подтверждённым приходом, оплатой или продажей Tover.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Начисления</w:t>
              <w:br/>
              <w:t>/v1/finance/accrual/types</w:t>
              <w:br/>
              <w:t>/v1/finance/accrual/by-day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Типы начислений и ежедневные начисления, включая комиссии и логистические суммы.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Начисление имеет идентификатор источника; одинаковые повторы объединяются, конфликтующие повторы помечаются как ошибка источника.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 Не создаёт оплату поставщику, закупку или показатель экранного отчёта.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B2B-документ</w:t>
              <w:br/>
              <w:t>/v1/finance/document-b2b-sales/json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Документ B2B-продаж Ozon.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Зеркальный документ для сверки; не заменяет подтверждённое складское событие и не является операцией Tover.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Финансовые выписки</w:t>
              <w:br/>
              <w:t>/v1/finance/cash-flow-statement/list</w:t>
              <w:br/>
              <w:t>/v1/finance/mutual-settlement</w:t>
              <w:br/>
              <w:t>/v1/finance/products/buyout</w:t>
              <w:br/>
              <w:t>/v1/finance/compensation</w:t>
              <w:br/>
              <w:t>/v1/finance/decompensation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Денежный поток, взаиморасчёты, выкупы, компенсации и декомпенсации Ozon.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Сохраняются как финансовые документы Ozon. Выкуп Ozon не трактуется как закупка у поставщика; выплаты не трактуются как оплата поставщику.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 В шести экранных отчётах не участвует.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Отчёты об уценке</w:t>
              <w:br/>
              <w:t>/v1/report/discounted/create</w:t>
              <w:br/>
              <w:t>/v1/report/info</w:t>
              <w:br/>
              <w:t>/v1/report/list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Служебное создание, проверка статуса и получение отчёта Ozon об уценённых товарах.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Для текущего источника не хватает одновременно подтверждённых количества, склада и даты складского события.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 Не создаёт операцию «Брак».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Вывозы</w:t>
              <w:br/>
              <w:t>/v1/removal/from-stock/list</w:t>
              <w:br/>
              <w:t>/v1/removal/from-supply/list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Вывозы товара со склада и из поставки; для части записей есть utilization_date.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Списание возможно только для вывоза со склада с положительной utilization_date, товаром, складом и положительным количеством. Иные вывозы остаются в зеркале.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Кандидат «Списание», затем подтверждённая операция списания; иначе только зеркало.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Поставки FBO</w:t>
              <w:br/>
              <w:t>/v3/supply-order/list</w:t>
              <w:br/>
              <w:t>/v3/supply-order/get</w:t>
              <w:br/>
              <w:t>/v1/supply-order/bundle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Поставка, её финальная дата и комплектация: товар и количество.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Нужны завершённая поставка, дата завершения, положительное количество и сопоставленный склад назначения. Склад-источник задаётся вручную при подтверждении.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Кандидат «Перемещение», затем подтверждённая операция перемещения.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5"/>
              </w:rPr>
              <w:t>Аналитика запасов</w:t>
              <w:br/>
              <w:t>/v1/analytics/stocks</w:t>
              <w:br/>
              <w:t>/v1/analytics/turnover/stocks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Аналитические остатки и показатели Ozon, включая requested_stock_count.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Это внешний аналитический срез. requested_stock_count — количество в заявках на поставку по контракту Ozon; не переименовывается в «резерв» Tover.</w:t>
            </w:r>
          </w:p>
        </w:tc>
        <w:tc>
          <w:tcPr>
            <w:tcW w:type="dxa" w:w="1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5"/>
              </w:rPr>
              <w:t>Только зеркало. Остатки Tover не корректируются.</w:t>
            </w:r>
          </w:p>
        </w:tc>
      </w:tr>
    </w:tbl>
    <w:p>
      <w:pPr>
        <w:spacing w:after="0" w:before="0"/>
      </w:pPr>
    </w:p>
    <w:p>
      <w:pPr>
        <w:spacing w:after="40"/>
        <w:keepLines/>
      </w:pPr>
      <w:r>
        <w:rPr>
          <w:rFonts w:ascii="Calibri" w:hAnsi="Calibri" w:eastAsia="Calibri"/>
          <w:b w:val="0"/>
          <w:i/>
          <w:color w:val="5B6573"/>
          <w:sz w:val="17"/>
        </w:rPr>
        <w:t>Официальный контракт источника: Ozon Seller API — https://docs.ozon.ru/api/seller/. Методы применяются только для получения или формирования служебного отчёта Ozon; Tover не создаёт через них товарных, денежных или складских изменений в кабинете Ozon.</w:t>
      </w:r>
    </w:p>
    <w:p>
      <w:pPr>
        <w:pStyle w:val="Heading1"/>
        <w:keepNext/>
      </w:pPr>
      <w:r>
        <w:t>4. Четыре автоматически подготавливаемых типа операций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Автоматически подготавливается только кандидат. Операция появляется после подтверждения менеджером и успешного прохождения всех проверок. Для каждого кандидата строки должны иметь положительное количество; если хотя бы одна обязательная часть отсутствует, автоматическая операция не создаётся.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90"/>
        <w:gridCol w:w="2750"/>
        <w:gridCol w:w="2880"/>
        <w:gridCol w:w="1820"/>
      </w:tblGrid>
      <w:tr>
        <w:trPr>
          <w:tblHeader w:val="true"/>
          <w:cantSplit/>
        </w:trPr>
        <w:tc>
          <w:tcPr>
            <w:tcW w:type="dxa" w:w="179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6"/>
              </w:rPr>
              <w:t>Тип</w:t>
            </w:r>
          </w:p>
        </w:tc>
        <w:tc>
          <w:tcPr>
            <w:tcW w:type="dxa" w:w="27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6"/>
              </w:rPr>
              <w:t>Условия источника</w:t>
            </w:r>
          </w:p>
        </w:tc>
        <w:tc>
          <w:tcPr>
            <w:tcW w:type="dxa" w:w="288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6"/>
              </w:rPr>
              <w:t>Что создаётся после подтверждения</w:t>
            </w:r>
          </w:p>
        </w:tc>
        <w:tc>
          <w:tcPr>
            <w:tcW w:type="dxa" w:w="18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6"/>
              </w:rPr>
              <w:t>Граница</w:t>
            </w:r>
          </w:p>
        </w:tc>
      </w:tr>
      <w:tr>
        <w:trPr>
          <w:cantSplit/>
        </w:trPr>
        <w:tc>
          <w:tcPr>
            <w:tcW w:type="dxa" w:w="1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Доставка покупателю → продажа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Финальное отправление FBS/FBO: delivered; дата in_process_at; товар, склад и количество сопоставлены.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Одна продажа с расходом товара со склада. Цена из отправления остаётся ценой сделки.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Отменённое отправление не является продажей.</w:t>
            </w:r>
          </w:p>
        </w:tc>
      </w:tr>
      <w:tr>
        <w:trPr>
          <w:cantSplit/>
        </w:trPr>
        <w:tc>
          <w:tcPr>
            <w:tcW w:type="dxa" w:w="1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Подтверждённый возврат продавцу → возврат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Возврат FBO/FBS: подтверждённое получение продавцом, дата logistic.final_moment, товар, склад и положительное количество.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Возврат с приходом товара на склад. Цена строки — цена сделки, а не новая себестоимость.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rFBS без одновременного доказательства получения и количества не проводится.</w:t>
            </w:r>
          </w:p>
        </w:tc>
      </w:tr>
      <w:tr>
        <w:trPr>
          <w:cantSplit/>
        </w:trPr>
        <w:tc>
          <w:tcPr>
            <w:tcW w:type="dxa" w:w="1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Подтверждённая утилизация → списание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Вывоз со склада с utilization_date, товаром, складом и положительным количеством.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Списание с расходом товара. Дата операции — utilization_date.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Вывоз без utilization_date не является списанием.</w:t>
            </w:r>
          </w:p>
        </w:tc>
      </w:tr>
      <w:tr>
        <w:trPr>
          <w:cantSplit/>
        </w:trPr>
        <w:tc>
          <w:tcPr>
            <w:tcW w:type="dxa" w:w="1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Завершённая поставка FBO → перемещение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Завершённая поставка: дата завершения, строка комплектации с положительным количеством и склад назначения.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Два симметричных движения одного товара и количества: расход со склада-источника и приход на склад Ozon.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Склад-источник выбирается при подтверждении; без него операция не проводится.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5. Контроль перед проведением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190"/>
      </w:tblGrid>
      <w:tr>
        <w:trPr>
          <w:tblHeader w:val="true"/>
          <w:cantSplit/>
        </w:trPr>
        <w:tc>
          <w:tcPr>
            <w:tcW w:type="dxa" w:w="20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Контроль</w:t>
            </w:r>
          </w:p>
        </w:tc>
        <w:tc>
          <w:tcPr>
            <w:tcW w:type="dxa" w:w="719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Сопоставление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Каждый товар и склад должны быть сопоставлены с объектом текущего рабочего пространства Tover. Сопоставление не может вести на чужой или удалённый объект.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Дата и количество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Дата операции должна быть корректной, а количество — положительным. Для перемещения обе стороны имеют одно и то же количество.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Направление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Продажа и списание уменьшают склад; возврат увеличивает склад; перемещение одновременно создаёт расход и приход.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Доказательство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При проведении проверяются версия доказательства (сейчас 1) и его контрольная сумма SHA-256. Нельзя провести изменённые после подтверждения данные.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Подтверждение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Проводится только кандидат со статусом «готов» и явным подтверждением менеджера.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Атомарность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Операция, её строки, складской регистр и ссылка на источник создаются как единое целое. Частично проведённого результата не остаётся.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Повтор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Одна и та же фиксация источника закреплена за одной операцией: повторное проведение возвращает уже созданную операцию, а не дубликат.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Повторная синхронизация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Новые данные могут обновлять только неподтверждённые кандидаты. Принятые, игнорируемые и проведённые решения пользователя не отменяются.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6. Цена сделки и складская себестоимость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21"/>
        </w:rPr>
        <w:t>Цена сделки — цена в отправлении или возврате Ozon. Она сохраняется как доказательство коммерческой операции. Складская себестоимость — стоимость единицы, по которой Tover оценивает остаток и расход в складском регистре. Это разные показатели: цена продажи или возврата не подменяет себестоимость.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0"/>
        <w:gridCol w:w="3790"/>
        <w:gridCol w:w="3530"/>
      </w:tblGrid>
      <w:tr>
        <w:trPr>
          <w:tblHeader w:val="true"/>
          <w:cantSplit/>
        </w:trPr>
        <w:tc>
          <w:tcPr>
            <w:tcW w:type="dxa" w:w="19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Событие</w:t>
            </w:r>
          </w:p>
        </w:tc>
        <w:tc>
          <w:tcPr>
            <w:tcW w:type="dxa" w:w="379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Откуда берётся стоимость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Закупка и оценённая инвентаризация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Приход может задать известную входящую стоимость единицы.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Если до прихода уже были известные остаток и стоимость, применяется средневзвешенная стоимость.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Продажа, списание, возврат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Для расхода или возврата берётся уже существующая стоимость остатка на данном складе.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Цена строки Ozon остаётся ценой сделки и не используется как замена стоимости остатка.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Перемещение и брак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Приход на другой склад/в соответствующий контур переносит стоимость расходной стороны.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Если стоимость исходной стороны неизвестна, она остаётся неизвестной и после переноса.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Производство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Стоимость выпуска — сумма известных стоимостей входящих материалов, делённая на количество выпуска.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Если хотя бы одна входящая стоимость неизвестна, стоимость выпуска также неизвестна.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Средневзвешенная стоимость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(остаток до × стоимость до + приход × стоимость прихода) / (остаток до + приход)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Пример: 10 шт. × 100 + 5 шт. × 160 = 1 800; новая стоимость единицы = 1 800 / 15 = 120.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FDECE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8"/>
              </w:rPr>
              <w:t xml:space="preserve">Правило «стоимость неизвестна»: 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Если для движения или остатка нельзя подтвердить складскую стоимость, денежный показатель возвращается пустым, а не нулём. Ноль означает известную нулевую сумму; пустое значение означает, что результат не следует складывать или интерпретировать как ноль.</w:t>
            </w:r>
          </w:p>
        </w:tc>
      </w:tr>
    </w:tbl>
    <w:p>
      <w:pPr>
        <w:spacing w:after="0" w:before="0"/>
      </w:pPr>
    </w:p>
    <w:p>
      <w:pPr>
        <w:spacing w:after="100"/>
        <w:keepLines/>
      </w:pPr>
      <w:r>
        <w:rPr>
          <w:rFonts w:ascii="Calibri" w:hAnsi="Calibri" w:eastAsia="Calibri"/>
          <w:b w:val="0"/>
          <w:i/>
          <w:color w:val="5B6573"/>
          <w:sz w:val="17"/>
        </w:rPr>
        <w:t>Исторические операции могут хранить прежнюю версию договора о стоимости. Их исторический результат не переписывается автоматически; формулы выше описывают текущий договор стоимости для новых операций.</w:t>
      </w:r>
    </w:p>
    <w:p>
      <w:pPr>
        <w:pStyle w:val="Heading1"/>
        <w:keepNext/>
      </w:pPr>
      <w:r>
        <w:t>7. Формулы шести экранных отчётов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Все интервалы ниже включают обе граничные даты: событие на дате начала и событие на дате окончания входят в расчёт. Если денежная составляющая хотя бы одной включённой строки неизвестна, соответствующий денежный итог остаётся пустым.</w:t>
      </w:r>
    </w:p>
    <w:p>
      <w:pPr>
        <w:pStyle w:val="Heading2"/>
        <w:keepNext/>
      </w:pPr>
      <w:r>
        <w:t>7.1 Остатки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Источник — складской регистр на выбранную дату. Для каждой комбинации товар + склад + статус качества берётся последнее движение с датой не позднее даты отчёта. Затем результаты могут быть сгруппированы по товару, категории, складу, магазину и качеству.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Количество на дату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последнее зафиксированное количество после движения, где дата движения ≤ дата отчёта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В отчёте можно скрыть нулевые остатки и отфильтровать строки с отрицательной историей.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Стоимость остатка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последняя зафиксированная стоимость остатка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Если последняя стоимость неизвестна хотя бы у одного компонента группы, стоимость группы и общий итог пустые.</w:t>
            </w:r>
          </w:p>
        </w:tc>
      </w:tr>
    </w:tbl>
    <w:p>
      <w:pPr>
        <w:spacing w:after="0" w:before="0"/>
      </w:pP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8"/>
        </w:rPr>
        <w:t>Отрицательный остаток помечается отдельно. Признак означает, что по этому товару/складу отрицательное значение было достигнуто хотя бы раз в истории до даты отчёта; он не ограничивается текущим знаком остатка.</w:t>
      </w:r>
    </w:p>
    <w:p>
      <w:pPr>
        <w:pStyle w:val="Heading2"/>
        <w:keepNext/>
      </w:pPr>
      <w:r>
        <w:t>7.2 Движение товаров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Источник — движения за выбранный период. Показаны отдельные приходные и расходные колонки: закупки, продажи, возвраты, списания, перемещения, производство, брак и инвентаризация. Строки можно группировать по товару, складу, магазину и качеству.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Чистое движение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приход − расход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Пример: приход 18 шт. и расход 11 шт. дают чистое движение +7 шт.</w:t>
            </w:r>
          </w:p>
        </w:tc>
      </w:tr>
    </w:tbl>
    <w:p>
      <w:pPr>
        <w:spacing w:after="0" w:before="0"/>
      </w:pP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8"/>
        </w:rPr>
        <w:t>Для денежного чистого движения складываются стоимости приходов и вычитаются стоимости расходов. Если стоимость любой включённой составляющей неизвестна, денежный результат пустой. При отсутствии строк по конкретному виду движения его количество и известная стоимость равны нулю.</w:t>
      </w:r>
    </w:p>
    <w:p>
      <w:pPr>
        <w:pStyle w:val="Heading2"/>
        <w:keepNext/>
      </w:pPr>
      <w:r>
        <w:t>7.3 Продажи в штуках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Источник — только складские движения типов «продажа» (расход) и «возврат» (приход) за период. Это количественный отчёт: он не подменяет выручку Ozon и не использует цену сделки.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Чистые продажи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продажи − возвраты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Пример: 10 продано − 2 возвращено = 8 чистых продаж.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Доля группы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чистые продажи группы / общие чистые продажи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Формула применяется только когда общий итог чистых продаж положительный. Иначе доля каждой группы отображается как 0.</w:t>
            </w:r>
          </w:p>
        </w:tc>
      </w:tr>
    </w:tbl>
    <w:p>
      <w:pPr>
        <w:spacing w:after="0" w:before="0"/>
      </w:pP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8"/>
        </w:rPr>
        <w:t>Группировка: товар, склад или магазин. Пример доли: 8 чистых продаж группы при 20 по всем группам = 40%.</w:t>
      </w:r>
    </w:p>
    <w:p>
      <w:pPr>
        <w:pStyle w:val="Heading2"/>
        <w:keepNext/>
      </w:pPr>
      <w:r>
        <w:t>7.4 Оборачиваемость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Источник — стоимость расхода и стоимость остатков по товару/складу/магазину. В расход для этого отчёта входят продажа, списание и расход брака. Перемещения, возвраты, закупки и инвентаризация не являются расходом для формулы оборачиваемости.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Средний запас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(стоимость накануне начала периода + стоимость на конец периода) / 2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Если на одну из дат движения отсутствуют, для этой стороны берётся 0. Если существующая стоимость неизвестна, средний запас пустой.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Коэффициент оборачиваемости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стоимость расхода / средний запас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Рассчитывается только при известной стоимости и среднем запасе &gt; 0.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Дни оборота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число календарных дней периода включительно / коэффициент оборачиваемости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Рассчитывается только при коэффициенте &gt; 0.</w:t>
            </w:r>
          </w:p>
        </w:tc>
      </w:tr>
    </w:tbl>
    <w:p>
      <w:pPr>
        <w:spacing w:after="0" w:before="0"/>
      </w:pP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8"/>
        </w:rPr>
        <w:t>Пример: начальный запас 1 000, конечный 1 400, средний запас 1 200; расход 2 400, коэффициент 2,0. Для периода из 30 календарных дней дни оборота = 30 / 2,0 = 15.</w:t>
      </w:r>
    </w:p>
    <w:p>
      <w:pPr>
        <w:pStyle w:val="Heading2"/>
        <w:keepNext/>
      </w:pPr>
      <w:r>
        <w:t>7.5 Брак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Источник — движения со статусом качества «брак», а не просто операции с названием «Брак». Отчёт показывает приход брака, расход брака и изменение его остатка; технические копии товара, используемые внутренней моделью, из результата исключаются.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Изменение брака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приход брака − расход брака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Денежное изменение определяется тем же правилом: пусто, если стоимость хотя бы одного включённого движения неизвестна.</w:t>
            </w:r>
          </w:p>
        </w:tc>
      </w:tr>
    </w:tbl>
    <w:p>
      <w:pPr>
        <w:spacing w:after="0" w:before="0"/>
      </w:pP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8"/>
        </w:rPr>
        <w:t>Уценённые или повреждённые сведения Ozon сами по себе не создают брак: текущий источник не даёт достаточного подтверждения события, количества, склада и даты.</w:t>
      </w:r>
    </w:p>
    <w:p>
      <w:pPr>
        <w:pStyle w:val="Heading2"/>
        <w:keepNext/>
      </w:pPr>
      <w:r>
        <w:t>7.6 Задолженность поставщикам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Источник — операции Tover «Закупка» и «Оплата поставщику», а не документы Ozon. Отчёт выводит каждого поставщика рабочего пространства, в том числе без активности.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Закупки по дату отчёта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сумма (количество строки закупки × цена строки), где дата операции ≤ дата отчёта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Если цена строки закупки отсутствует, в этом отчёте она учитывается как 0. Это правило долга, а не правило складской себестоимости.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 xml:space="preserve">Долг  </w:t>
            </w:r>
            <w:r>
              <w:rPr>
                <w:rFonts w:ascii="Calibri" w:hAnsi="Calibri" w:eastAsia="Calibri"/>
                <w:b/>
                <w:i w:val="0"/>
                <w:color w:val="17365D"/>
                <w:sz w:val="21"/>
              </w:rPr>
              <w:t>закупки по дату отчёта − оплаты по дату отчёта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5B6573"/>
                <w:sz w:val="17"/>
              </w:rPr>
              <w:t>Положительный результат — кредиторская задолженность; отрицательный — переплата/дебиторская позиция; ноль — расчёты закрыты.</w:t>
            </w:r>
          </w:p>
        </w:tc>
      </w:tr>
    </w:tbl>
    <w:p>
      <w:pPr>
        <w:spacing w:after="0" w:before="0"/>
      </w:pP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8"/>
        </w:rPr>
        <w:t>Периодные колонки закупок и оплат считают события между выбранными датами включительно и существуют отдельно от итогового долга на дату отчёта. Комиссии, начисления, выплаты, взаиморасчёты и выкупы Ozon не создают закупку или оплату поставщику и сюда не входят.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8"/>
        </w:rPr>
        <w:t>Пример: закупка 10 шт. × 150 = 1 500; оплачено 600; долг = 1 500 − 600 = 900.</w:t>
      </w:r>
    </w:p>
    <w:p>
      <w:pPr>
        <w:pStyle w:val="Heading1"/>
        <w:keepNext/>
      </w:pPr>
      <w:r>
        <w:t>8. Сохранённые отчёты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21"/>
        </w:rPr>
        <w:t>Сохранённый отчёт не вводит новую финансовую формулу. Он хранит выбор одного исходного экранного отчёта, группировки, показателей и фильтров, а затем повторно вызывает тот же расчёт. В текущем конструкторе выбирается одна строковая группировка; разбиения по колонкам не добавляют отдельной логики.</w:t>
      </w:r>
    </w:p>
    <w:p>
      <w:pPr>
        <w:pStyle w:val="Heading1"/>
        <w:keepNext/>
      </w:pPr>
      <w:r>
        <w:t>9. Особые случаи и границы учёта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10"/>
        <w:gridCol w:w="6430"/>
      </w:tblGrid>
      <w:tr>
        <w:trPr>
          <w:tblHeader w:val="true"/>
          <w:cantSplit/>
        </w:trPr>
        <w:tc>
          <w:tcPr>
            <w:tcW w:type="dxa" w:w="281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Ситуация</w:t>
            </w:r>
          </w:p>
        </w:tc>
        <w:tc>
          <w:tcPr>
            <w:tcW w:type="dxa" w:w="643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Учётное последствие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Отменённая отправка Ozon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Сохраняется как игнорируемое аудиторское событие. Продажа и складской расход не создаются.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Промежуточный статус отправления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создаёт операцию и не создаёт кандидата продажи: финальность подтверждается статусом доставки.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Дата продажи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Берётся из in_process_at; дата фактической доставки не подменяет её, поскольку в используемом контракте списка отправлений она не является источником даты операции.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rFBS-возврат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Без одновременно подтверждённых количества и факта получения продавцом остаётся в зеркале.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Возврат FBO/FBS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Проводится только при получении продавцом, положительном количестве, дате получения, товаре и складе.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Вывоз без utilization_date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считается списанием и остаётся только зеркальной записью.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Уценка / повреждение Ozon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создаёт операцию «Брак» и не меняет остаток.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Снимок остатков Ozon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создаёт автоматическую инвентаризацию и не меняет остаток Tover.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Комиссии и взаиморасчёты Ozon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создают оплату поставщику или закупку и сейчас не участвуют в шести экранных отчётах.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Цена продажи/возврата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заменяет складскую себестоимость.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Неизвестная себестоимость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Денежный показатель пустой, а не нулевой.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Отрицательный остаток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Фиксируется после движения; отчёт об остатках отдельно помечает и историческое достижение отрицательного значения.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Повторная синхронизация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отменяет уже принятые, игнорируемые или проведённые решения пользователя.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Повторная фиксация источника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Не создаёт дубликат операции: используется уже существующая связанная операция.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Границы дат</w:t>
            </w:r>
          </w:p>
        </w:tc>
        <w:tc>
          <w:tcPr>
            <w:tcW w:type="dxa" w:w="6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Во всех экранных отчётах начальная и конечная дата включаются в период.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10. Чек-лист финансовой сверки</w:t>
      </w:r>
    </w:p>
    <w:p>
      <w:pPr>
        <w:spacing w:after="100"/>
        <w:keepLines/>
      </w:pPr>
      <w:r>
        <w:rPr>
          <w:rFonts w:ascii="Calibri" w:hAnsi="Calibri" w:eastAsia="Calibri"/>
          <w:b w:val="0"/>
          <w:i w:val="0"/>
          <w:color w:val="1F2937"/>
          <w:sz w:val="19"/>
        </w:rPr>
        <w:t>Чек-лист нужен для выборочной проверки одной операции или агрегата. Сверять следует не только итог на экране, но и цепочку источника до складского регистра.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0"/>
        <w:gridCol w:w="3860"/>
        <w:gridCol w:w="3800"/>
      </w:tblGrid>
      <w:tr>
        <w:trPr>
          <w:tblHeader w:val="true"/>
          <w:cantSplit/>
        </w:trPr>
        <w:tc>
          <w:tcPr>
            <w:tcW w:type="dxa" w:w="158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6"/>
              </w:rPr>
              <w:t>Шаг</w:t>
            </w:r>
          </w:p>
        </w:tc>
        <w:tc>
          <w:tcPr>
            <w:tcW w:type="dxa" w:w="38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6"/>
              </w:rPr>
              <w:t>Что найти</w:t>
            </w:r>
          </w:p>
        </w:tc>
        <w:tc>
          <w:tcPr>
            <w:tcW w:type="dxa" w:w="3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6"/>
              </w:rPr>
              <w:t>Что сверить вручную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1. Найти исходное событие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В зеркале Ozon найдите идентификатор отправления, возврата, вывоза или поставки и его статус, дату, товар, склад, количество.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Убедитесь, что событие относится к одному из четырёх автоматических типов и прошло требуемый финальный статус.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2. Проверить кандидат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Сверьте сопоставленный товар и склад, дату, направление, положительное количество, статус готовности и контрольную сумму доказательства.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Для отменённого или неполного события убедитесь, что кандидат игнорируется либо отсутствует.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3. Сопоставить операцию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После подтверждения найдите одну операцию Tover и её строки. Для перемещения должны быть равные расход и приход.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Повтор источника не должен создать вторую операцию.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4. Пересчитать склад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Проверьте движение: знак количества, остаток после движения и стоимость. Сопоставьте стоимость с предыдущим остатком или с входящей стоимостью закупки.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Если стоимость не подтверждена, ожидайте пустой денежный результат, а не 0.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6"/>
              </w:rPr>
              <w:t>5. Пересчитать отчёт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Выберите период с включёнными границами и примените формулу соответствующего экрана: чистые продажи, чистое движение, средний запас, расход или долг.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Для группового денежного итога проверьте, что ни одна включённая строка не имеет неизвестной стоимости.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11. Основание точности и ограничения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190"/>
      </w:tblGrid>
      <w:tr>
        <w:trPr>
          <w:tblHeader w:val="true"/>
          <w:cantSplit/>
        </w:trPr>
        <w:tc>
          <w:tcPr>
            <w:tcW w:type="dxa" w:w="20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Проверка</w:t>
            </w:r>
          </w:p>
        </w:tc>
        <w:tc>
          <w:tcPr>
            <w:tcW w:type="dxa" w:w="719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7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Код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Сверены маршруты синхронизации Ozon, подготовка кандидатов, проведение операций, расчёт складского регистра и экранные маршруты отчётов на commit 4076fb7fd2b27cc98d7c5225f6a455fc4d0580b8.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База данных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Read-only сверка активных функций Supabase tover_app: проведение кандидата, пересчёт склада, остатки, движение, оборачиваемость, брак и задолженность поставщикам. Проверены, в том числе, неизвестная себестоимость и правила итогов.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Контракт источника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Сверены используемые методы с официальной документацией Ozon Seller API: https://docs.ozon.ru/api/seller/.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Тесты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Текущий запуск unit-тестов: 136 из 136 успешно, 0 ошибок.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7"/>
              </w:rPr>
              <w:t>Не включено</w:t>
            </w:r>
          </w:p>
        </w:tc>
        <w:tc>
          <w:tcPr>
            <w:tcW w:type="dxa" w:w="7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Lines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Технические возможности без действующего подтверждённого источника в текущей синхронизации не описываются как действующий учётный поток. Данные Ozon, оставленные только в зеркале, не приписаны экранным отчётам.</w:t>
            </w:r>
          </w:p>
        </w:tc>
      </w:tr>
    </w:tbl>
    <w:p>
      <w:pPr>
        <w:spacing w:after="0" w:before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rPr>
          <w:cantSplit/>
        </w:trPr>
        <w:tc>
          <w:tcPr>
            <w:tcW w:type="dxa" w:w="9240"/>
            <w:shd w:fill="EDF7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18"/>
              </w:rPr>
              <w:t xml:space="preserve">Как использовать документ: 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Для любой цифры на экране сначала определите её отчёт и период, затем найдите относящиеся операции и движения. Если первичного события Ozon нет среди четырёх подтверждённых потоков, оно не должно автоматически влиять на склад или отчёты.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23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40" w:after="0"/>
    </w:pPr>
    <w:r>
      <w:rPr>
        <w:rFonts w:ascii="Calibri" w:hAnsi="Calibri" w:eastAsia="Calibri"/>
        <w:b w:val="0"/>
        <w:i w:val="0"/>
        <w:color w:val="5B6573"/>
        <w:sz w:val="16"/>
      </w:rPr>
      <w:t>Внутренний проверочный документ · 27.07.2026</w:t>
    </w:r>
    <w:r>
      <w:rPr>
        <w:rFonts w:ascii="Calibri" w:hAnsi="Calibri" w:eastAsia="Calibri"/>
        <w:b w:val="0"/>
        <w:i w:val="0"/>
        <w:color w:val="5B6573"/>
        <w:sz w:val="16"/>
      </w:rPr>
      <w:tab/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40" w:after="0"/>
    </w:pPr>
    <w:r>
      <w:rPr>
        <w:rFonts w:ascii="Calibri" w:hAnsi="Calibri" w:eastAsia="Calibri"/>
        <w:b w:val="0"/>
        <w:i w:val="0"/>
        <w:color w:val="5B6573"/>
        <w:sz w:val="16"/>
      </w:rPr>
      <w:t>Внутренний проверочный документ · 27.07.2026</w:t>
    </w:r>
    <w:r>
      <w:rPr>
        <w:rFonts w:ascii="Calibri" w:hAnsi="Calibri" w:eastAsia="Calibri"/>
        <w:b w:val="0"/>
        <w:i w:val="0"/>
        <w:color w:val="5B6573"/>
        <w:sz w:val="16"/>
      </w:rPr>
      <w:tab/>
      <w:t xml:space="preserve">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5" w:color="C7D0DA"/>
      </w:pBdr>
    </w:pPr>
    <w:r>
      <w:rPr>
        <w:rFonts w:ascii="Calibri" w:hAnsi="Calibri" w:eastAsia="Calibri"/>
        <w:b/>
        <w:i w:val="0"/>
        <w:color w:val="5B6573"/>
        <w:sz w:val="16"/>
      </w:rPr>
      <w:t>TOVER  ·  ЛАЙНЭДЖ ДАННЫХ OZON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5" w:color="C7D0DA"/>
      </w:pBdr>
    </w:pPr>
    <w:r>
      <w:rPr>
        <w:rFonts w:ascii="Calibri" w:hAnsi="Calibri" w:eastAsia="Calibri"/>
        <w:b/>
        <w:i w:val="0"/>
        <w:color w:val="5B6573"/>
        <w:sz w:val="16"/>
      </w:rPr>
      <w:t>TOVER  ·  ЛАЙНЭДЖ ДАННЫХ OZON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/>
      <w:b/>
      <w:bCs/>
      <w:color w:val="5B65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