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90"/>
          <w:sz w:val="56"/>
        </w:rPr>
        <w:t>QOMIT CHECKOUT</w:t>
      </w:r>
    </w:p>
    <w:p>
      <w:pPr>
        <w:spacing w:after="240"/>
        <w:jc w:val="center"/>
      </w:pPr>
      <w:r>
        <w:rPr>
          <w:color w:val="646464"/>
          <w:sz w:val="28"/>
        </w:rPr>
        <w:t>Market Analysis &amp; Strategic Positioning</w:t>
      </w:r>
    </w:p>
    <w:p>
      <w:pPr>
        <w:pStyle w:val="Heading1"/>
      </w:pPr>
      <w:r>
        <w:rPr>
          <w:color w:val="2E5090"/>
          <w:sz w:val="24"/>
        </w:rPr>
        <w:t>EXECUTIVE SUMMARY</w:t>
      </w:r>
    </w:p>
    <w:p>
      <w:pPr>
        <w:spacing w:after="240"/>
        <w:jc w:val="both"/>
      </w:pPr>
      <w:r>
        <w:rPr>
          <w:sz w:val="22"/>
        </w:rPr>
        <w:t>Qomit is the only player addressing 'Checkout Governance' — the unowned intersection of conversion AI + risk management + multi-brand compliance. With $260B in annual lost orders and a $4.6B market growing at 8.4% CAGR, Qomit has a 18-24 month window to dominate before Stripe/Adyen copy the governance layer.</w:t>
      </w:r>
    </w:p>
    <w:p>
      <w:pPr>
        <w:pStyle w:val="Heading1"/>
      </w:pPr>
      <w:r>
        <w:rPr>
          <w:color w:val="2E5090"/>
          <w:sz w:val="24"/>
        </w:rPr>
        <w:t>KEY MARKET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E5090"/>
          </w:tcPr>
          <w:p>
            <w:pPr>
              <w:jc w:val="center"/>
            </w:pPr>
            <w:r>
              <w:rPr>
                <w:b/>
                <w:color w:val="FFFFFF"/>
              </w:rPr>
              <w:t>Market Size (2026)</w:t>
            </w:r>
          </w:p>
        </w:tc>
        <w:tc>
          <w:tcPr>
            <w:tcW w:type="dxa" w:w="3360"/>
            <w:shd w:fill="2E5090"/>
          </w:tcPr>
          <w:p>
            <w:pPr>
              <w:jc w:val="center"/>
            </w:pPr>
            <w:r>
              <w:rPr>
                <w:b/>
                <w:color w:val="FFFFFF"/>
              </w:rPr>
              <w:t>Annual Lost Orders</w:t>
            </w:r>
          </w:p>
        </w:tc>
        <w:tc>
          <w:tcPr>
            <w:tcW w:type="dxa" w:w="3360"/>
            <w:shd w:fill="2E5090"/>
          </w:tcPr>
          <w:p>
            <w:pPr>
              <w:jc w:val="center"/>
            </w:pPr>
            <w:r>
              <w:rPr>
                <w:b/>
                <w:color w:val="FFFFFF"/>
              </w:rPr>
              <w:t>Qomit TAM (5Y)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b/>
                <w:color w:val="2E5090"/>
              </w:rPr>
              <w:t>$4.6B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  <w:color w:val="2E5090"/>
              </w:rPr>
              <w:t>$260B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  <w:color w:val="2E5090"/>
              </w:rPr>
              <w:t>1-1.5B€</w:t>
            </w:r>
          </w:p>
        </w:tc>
      </w:tr>
    </w:tbl>
    <w:p/>
    <w:p>
      <w:pPr>
        <w:pStyle w:val="Heading1"/>
      </w:pPr>
      <w:r>
        <w:rPr>
          <w:color w:val="2E5090"/>
          <w:sz w:val="24"/>
        </w:rPr>
        <w:t>COMPETITIVE LANDSCAPE</w:t>
      </w:r>
    </w:p>
    <w:p>
      <w:pPr>
        <w:spacing w:after="120"/>
      </w:pPr>
      <w:r>
        <w:rPr>
          <w:sz w:val="22"/>
        </w:rPr>
        <w:t>Stripe ($1.9T TPV, +34% YoY), Adyen (+33% YoY), and Checkout.com dominate payment processing but lack governance layers. Riskified leads on fraud AI alone.</w:t>
      </w:r>
    </w:p>
    <w:p>
      <w:pPr>
        <w:spacing w:after="240"/>
      </w:pPr>
      <w:r>
        <w:rPr>
          <w:i/>
          <w:sz w:val="22"/>
        </w:rPr>
        <w:t>Qomit's Unique Position: Only player combining (1) Conversion AI scoring, (2) Adaptive fraud routing, (3) Multi-brand governance — creating a defensible Blue Ocean.</w:t>
      </w:r>
    </w:p>
    <w:p>
      <w:pPr>
        <w:pStyle w:val="Heading1"/>
      </w:pPr>
      <w:r>
        <w:rPr>
          <w:color w:val="2E5090"/>
          <w:sz w:val="24"/>
        </w:rPr>
        <w:t>GO-TO-MARKET STRATEGY</w:t>
      </w:r>
    </w:p>
    <w:p>
      <w:pPr>
        <w:spacing w:after="120"/>
      </w:pPr>
      <w:r>
        <w:rPr>
          <w:b/>
          <w:sz w:val="22"/>
        </w:rPr>
        <w:t>4 Core Pillars:</w:t>
      </w:r>
    </w:p>
    <w:p>
      <w:pPr>
        <w:pStyle w:val="ListBullet"/>
        <w:spacing w:after="60"/>
      </w:pPr>
      <w:r>
        <w:rPr>
          <w:sz w:val="22"/>
        </w:rPr>
        <w:t>1. Positioning — "Stop abandoning revenue at checkout. Govern it."</w:t>
      </w:r>
    </w:p>
    <w:p>
      <w:pPr>
        <w:pStyle w:val="ListBullet"/>
        <w:spacing w:after="60"/>
      </w:pPr>
      <w:r>
        <w:rPr>
          <w:sz w:val="22"/>
        </w:rPr>
        <w:t>2. Targeting — Luxury retailers → Multi-brand groups → Tech buyers → Payment processors</w:t>
      </w:r>
    </w:p>
    <w:p>
      <w:pPr>
        <w:pStyle w:val="ListBullet"/>
        <w:spacing w:after="60"/>
      </w:pPr>
      <w:r>
        <w:rPr>
          <w:sz w:val="22"/>
        </w:rPr>
        <w:t>3. Content — Whitepaper + Benchmarking report + Case studies + Webinars</w:t>
      </w:r>
    </w:p>
    <w:p>
      <w:pPr>
        <w:pStyle w:val="ListBullet"/>
        <w:spacing w:after="60"/>
      </w:pPr>
      <w:r>
        <w:rPr>
          <w:sz w:val="22"/>
        </w:rPr>
        <w:t>4. Channels — LinkedIn + SEM + Events + Strategic partnerships</w:t>
      </w:r>
    </w:p>
    <w:p/>
    <w:p>
      <w:pPr>
        <w:pStyle w:val="Heading1"/>
      </w:pPr>
      <w:r>
        <w:rPr>
          <w:color w:val="2E5090"/>
          <w:sz w:val="24"/>
        </w:rPr>
        <w:t>12-MONTH ROADMAP</w:t>
      </w:r>
    </w:p>
    <w:p>
      <w:pPr>
        <w:pStyle w:val="ListBullet"/>
        <w:spacing w:after="60"/>
      </w:pPr>
      <w:r>
        <w:rPr>
          <w:sz w:val="22"/>
        </w:rPr>
        <w:t>Phase 1 (M1-3): Positioning validation + Sales enablement + PR launch</w:t>
      </w:r>
    </w:p>
    <w:p>
      <w:pPr>
        <w:pStyle w:val="ListBullet"/>
        <w:spacing w:after="60"/>
      </w:pPr>
      <w:r>
        <w:rPr>
          <w:sz w:val="22"/>
        </w:rPr>
        <w:t>Phase 2 (M4-6): Demand gen campaign + Partnership pilots + Sales hiring</w:t>
      </w:r>
    </w:p>
    <w:p>
      <w:pPr>
        <w:pStyle w:val="ListBullet"/>
        <w:spacing w:after="60"/>
      </w:pPr>
      <w:r>
        <w:rPr>
          <w:sz w:val="22"/>
        </w:rPr>
        <w:t>Phase 3 (M7-12): Geographic expansion + Ecosystem partnerships + Case studies</w:t>
      </w:r>
    </w:p>
    <w:p/>
    <w:p>
      <w:pPr>
        <w:pStyle w:val="Heading1"/>
      </w:pPr>
      <w:r>
        <w:rPr>
          <w:color w:val="2E5090"/>
          <w:sz w:val="24"/>
        </w:rPr>
        <w:t>KEY RECOMMENDATIONS</w:t>
      </w:r>
    </w:p>
    <w:p>
      <w:pPr>
        <w:pStyle w:val="ListBullet"/>
        <w:spacing w:after="60"/>
      </w:pPr>
      <w:r>
        <w:rPr>
          <w:sz w:val="22"/>
        </w:rPr>
        <w:t>✓ Validate 'Checkout Governance' positioning with 5-10 customers immediately</w:t>
      </w:r>
    </w:p>
    <w:p>
      <w:pPr>
        <w:pStyle w:val="ListBullet"/>
        <w:spacing w:after="60"/>
      </w:pPr>
      <w:r>
        <w:rPr>
          <w:sz w:val="22"/>
        </w:rPr>
        <w:t>✓ Hire Head of Marketing + 1 Enterprise AE by Month 3</w:t>
      </w:r>
    </w:p>
    <w:p>
      <w:pPr>
        <w:pStyle w:val="ListBullet"/>
        <w:spacing w:after="60"/>
      </w:pPr>
      <w:r>
        <w:rPr>
          <w:sz w:val="22"/>
        </w:rPr>
        <w:t>✓ Launch demand gen (LinkedIn + SEM) by Month 2 with $50K/month budget</w:t>
      </w:r>
    </w:p>
    <w:p>
      <w:pPr>
        <w:pStyle w:val="ListBullet"/>
        <w:spacing w:after="60"/>
      </w:pPr>
      <w:r>
        <w:rPr>
          <w:sz w:val="22"/>
        </w:rPr>
        <w:t>✓ Secure 2-3 partnership pilots by Month 6 (payment processors + platforms)</w:t>
      </w:r>
    </w:p>
    <w:p/>
    <w:p>
      <w:pPr>
        <w:pStyle w:val="Heading1"/>
      </w:pPr>
      <w:r>
        <w:rPr>
          <w:color w:val="2E5090"/>
          <w:sz w:val="24"/>
        </w:rPr>
        <w:t>BOTTOM LINE</w:t>
      </w:r>
    </w:p>
    <w:p>
      <w:pPr>
        <w:spacing w:after="240"/>
        <w:jc w:val="both"/>
      </w:pPr>
      <w:r>
        <w:rPr>
          <w:i/>
          <w:sz w:val="22"/>
        </w:rPr>
        <w:t>Qomit operates in an unoccupied market segment where no incumbent exists. By positioning as 'The Governance Layer for Multi-Brand Commerce' and executing this 12-month strategy, Qomit can capture 1-1.5% market share = 100M€+ ARR in 5 years. Execute now — the 18-24 month window closes fast.</w:t>
      </w:r>
    </w:p>
    <w:p>
      <w:pPr>
        <w:jc w:val="center"/>
      </w:pPr>
      <w:r>
        <w:rPr>
          <w:color w:val="646464"/>
          <w:sz w:val="18"/>
        </w:rPr>
        <w:t>Prepared by: Product Management | Date: September 23, 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