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 (/Problem Statement)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Mental health diagnostics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treatment</w:t>
      </w:r>
      <w:r w:rsidDel="00000000" w:rsidR="00000000" w:rsidRPr="00000000">
        <w:rPr>
          <w:sz w:val="24"/>
          <w:szCs w:val="24"/>
          <w:rtl w:val="0"/>
        </w:rPr>
        <w:t xml:space="preserve"> is not quantitative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Prediction of treatment efficacy earlier in the regiment/which intervention strategy is optimal given the information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Psychiatric disorders are one of the leading causes of disability worldwide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Estimated 30% of adults will experience mood, anxiety, and/or substance abuse disorder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Precision psychiatry medications might be adapted personally to each individual patient with relevant or comparable genetic and imaging characteristics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Diagnosis focused on patients’ own expression, behaviors reported by caregivers and psychiatrists’ evaluations rather than measurable biological pathology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Lack of decisive neurobiological markers and reliance on phenomenological symptoms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Ideas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Utilizing a combination of data (depending on what is available – as much as can be used; particularly interested in speech analysis)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NLP for speech analysis combined with other EHR features (i.e. demographic information and previous intervention strategies tested) into neural network with softmax output layer.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Alternatives Considered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Compare to basic classifier strategy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Compare to simpler statistical method?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Possible Markov chain or graph theory application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Reinforcement learning model (not sure for length of study)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Work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Strong amount of work in mental health diagnostics (i.e. disorder or control) and prediction (i.e. suicide risk), but less work on treatment efficacy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Treatment efficacy work that does exist appears to use more rudimentary prediction techniques compared to diagnostics (mostly just classifiers).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Spreadsheet of related work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