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trained to predict. Cognitive load itself is most commonly operationalised via the NASA Task Load Index (Hart &amp; Staveland, 1988), a multi-dimensional subjective workload measure that serves as the validation target for Head 3 of Stage 2. For the simultaneous prediction of multiple outputs (speed, accuracy, effort from one model), Miazga et al. (2026) provide methodological foundations.</w:t>
      </w:r>
    </w:p>
    <w:p>
      <w:pPr>
        <w:pStyle w:val="Heading2"/>
      </w:pPr>
      <w:r>
        <w:rPr>
          <w:color w:val="1A5276"/>
        </w:rPr>
        <w:t>2.4 Research Gap</w:t>
      </w:r>
    </w:p>
    <w:p>
      <w:r>
        <w:t>No existing work combines: (a) task-independent complexity extraction as an interpretable input layer, (b) task-conditioned behavioural prediction with (c) an explicit coherence constraint between saliency, scanpaths, and cognitive load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a task-conditioned multi-output regression model (Stage 2), which uses task context and an optional user profile to simultaneously predict three interaction quality indicators. The decoupled architecture ensures that Stage 1 outputs are reusable across task contexts and that the saliency module can be replaced independently.</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BMW HMI screenshots. Stage 2 does not retrain or modify UMSI; it operates on the derived scalar features only.</w:t>
      </w:r>
    </w:p>
    <w:p>
      <w:pPr>
        <w:pStyle w:val="Heading3"/>
      </w:pPr>
      <w:r>
        <w:rPr>
          <w:color w:val="1E8449"/>
        </w:rPr>
        <w:t>Stage 2 — Task-Conditioned Multi-Output Regression</w:t>
      </w:r>
    </w:p>
    <w:p>
      <w:r>
        <w:t>Stage 2 is a classical multi-output regression model (Ridge Regression as baseline, XGBoost as primary estimator, cross-validated). It takes the extended feature vector together with a Task Descriptor and an optional User Profile and simultaneously predicts three interaction quality scores.</w:t>
      </w:r>
    </w:p>
    <w:p>
      <w:r>
        <w:t>Input: x ∈ ℝ¹⁹ = [v ∈ ℝ⁸ | s ∈ ℝ⁵ | h ∈ ℝ⁶ (HCEye-calibrated sensitivity features)] + Task Descriptor (categorical: Navigation, Search, Monitoring, Data Entry, Decision) + User Profile (Big Five preset, optional). Note: h is computed directly from the screenshot image using empirical sensitivity coefficients derived from the HCEye dataset — no participant eye-tracking data is required at inference time.</w:t>
      </w:r>
    </w:p>
    <w:tbl>
      <w:tblPr>
        <w:tblStyle w:val="TableGrid"/>
        <w:tblW w:type="auto" w:w="0"/>
        <w:tblLook w:firstColumn="1" w:firstRow="1" w:lastColumn="0" w:lastRow="0" w:noHBand="0" w:noVBand="1" w:val="04A0"/>
      </w:tblPr>
      <w:tblGrid>
        <w:gridCol w:w="3135"/>
        <w:gridCol w:w="3135"/>
        <w:gridCol w:w="3135"/>
      </w:tblGrid>
      <w:tr>
        <w:tc>
          <w:tcPr>
            <w:tcW w:type="dxa" w:w="3685"/>
          </w:tcPr>
          <w:p>
            <w:pPr>
              <w:spacing w:after="40"/>
            </w:pPr>
            <w:r>
              <w:rPr>
                <w:b/>
              </w:rPr>
              <w:t>Output</w:t>
            </w:r>
          </w:p>
        </w:tc>
        <w:tc>
          <w:tcPr>
            <w:tcW w:type="dxa" w:w="2551"/>
          </w:tcPr>
          <w:p>
            <w:pPr>
              <w:spacing w:after="40"/>
            </w:pPr>
            <w:r>
              <w:rPr>
                <w:b/>
              </w:rPr>
              <w:t>Source</w:t>
            </w:r>
          </w:p>
        </w:tc>
        <w:tc>
          <w:tcPr>
            <w:tcW w:type="dxa" w:w="3118"/>
          </w:tcPr>
          <w:p>
            <w:pPr>
              <w:spacing w:after="40"/>
            </w:pPr>
            <w:r>
              <w:rPr>
                <w:b/>
              </w:rPr>
              <w:t>Validation Metric</w:t>
            </w:r>
          </w:p>
        </w:tc>
      </w:tr>
      <w:tr>
        <w:tc>
          <w:tcPr>
            <w:tcW w:type="dxa" w:w="3685"/>
          </w:tcPr>
          <w:p>
            <w:pPr>
              <w:spacing w:after="40"/>
            </w:pPr>
            <w:r>
              <w:t>Search Efficiency + Attention Demand (scalars)</w:t>
            </w:r>
          </w:p>
        </w:tc>
        <w:tc>
          <w:tcPr>
            <w:tcW w:type="dxa" w:w="2551"/>
          </w:tcPr>
          <w:p>
            <w:pPr>
              <w:spacing w:after="40"/>
            </w:pPr>
            <w:r>
              <w:t>Stage 2 regression</w:t>
            </w:r>
          </w:p>
        </w:tc>
        <w:tc>
          <w:tcPr>
            <w:tcW w:type="dxa" w:w="3118"/>
          </w:tcPr>
          <w:p>
            <w:pPr>
              <w:spacing w:after="40"/>
            </w:pPr>
            <w:r>
              <w:t>Correlation with eye-tracking AOI metrics</w:t>
            </w:r>
          </w:p>
        </w:tc>
      </w:tr>
      <w:tr>
        <w:tc>
          <w:tcPr>
            <w:tcW w:type="dxa" w:w="3685"/>
          </w:tcPr>
          <w:p>
            <w:pPr>
              <w:spacing w:after="40"/>
            </w:pPr>
            <w:r>
              <w:t>Cognitive Load Index (0–100)</w:t>
            </w:r>
          </w:p>
        </w:tc>
        <w:tc>
          <w:tcPr>
            <w:tcW w:type="dxa" w:w="2551"/>
          </w:tcPr>
          <w:p>
            <w:pPr>
              <w:spacing w:after="40"/>
            </w:pPr>
            <w:r>
              <w:t>Stage 2 regression</w:t>
            </w:r>
          </w:p>
        </w:tc>
        <w:tc>
          <w:tcPr>
            <w:tcW w:type="dxa" w:w="3118"/>
          </w:tcPr>
          <w:p>
            <w:pPr>
              <w:spacing w:after="40"/>
            </w:pPr>
            <w:r>
              <w:t>Correlation with NASA-TLX</w:t>
            </w:r>
          </w:p>
        </w:tc>
      </w:tr>
    </w:tbl>
    <w:p/>
    <w:p>
      <w:pPr>
        <w:pStyle w:val="ListParagraph"/>
      </w:pPr>
      <w:r>
        <w:t>Spatial attention output (saliency map) is delivered by UMSI — see Saliency Module section above.</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 Exploratory,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saliency prediction (Head 1)</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(Head 3: load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on real data, baseline comparisons (B1–B3)</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et al. (2024). EyeFormer: Predicting personalized scanpaths with transformer-based RL. Proceedings of CHI 2024.</w:t>
      </w:r>
    </w:p>
    <w:p>
      <w:pPr>
        <w:pStyle w:val="ListBullet"/>
        <w:spacing w:after="40"/>
      </w:pPr>
      <w:r>
        <w:t>Jokinen, J. P. P., Sarcar, S., Oulasvirta, A., Silpasuwanchai, C., Wang, Z., &amp; Ren, X. (2020). Adaptive feature guidance: Modelling visual search with graphical layouts. Proceedings of CHI 2020.</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w:t>
      </w:r>
    </w:p>
    <w:p>
      <w:pPr>
        <w:pStyle w:val="ListBullet"/>
        <w:spacing w:after="40"/>
      </w:pPr>
      <w:r>
        <w:t>Ko, M., et al. (2026). Criticmate: Stagewise human–AI co-critique for interface design. Proceedings of CHI 2026.</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Langerak, T., et al. (2024). MARLUI: Multi-agent reinforcement learning for adaptive user interfaces. ACM Transactions on Computer-Human Interaction.</w:t>
      </w:r>
    </w:p>
    <w:p>
      <w:pPr>
        <w:pStyle w:val="ListBullet"/>
        <w:spacing w:after="40"/>
      </w:pPr>
      <w:r>
        <w:t>Lingler, A., et al. (2024). Supporting task switching with reinforcement learning in user interfaces. Proceedings of CHI 2024.</w:t>
      </w:r>
    </w:p>
    <w:p>
      <w:pPr>
        <w:pStyle w:val="ListBullet"/>
        <w:spacing w:after="40"/>
      </w:pPr>
      <w:r>
        <w:t>Lopez-Cardona, A., et al. (2025). Comparative study of scanpath models in information visualization. IEEE VIS 2025.</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Miazga, M. P., et al. (2026). Log2Motion: Synthesizing biomechanical motion from touch interaction logs. Proceedings of CHI 2026.</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Shi, D., et al. (2024). CRTypist: Simulating touchscreen typing behavior via computational rationality. Proceedings of CHI 2024.</w:t>
      </w:r>
    </w:p>
    <w:p>
      <w:pPr>
        <w:pStyle w:val="ListBullet"/>
        <w:spacing w:after="40"/>
      </w:pPr>
      <w:r>
        <w:t>Shi, D., et al. (2025). Chartist: Task-driven eye movement control for chart reading. Proceedings of CHI 2025.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