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 — and propose UMSI++, an improved CNN-based saliency model trained specifically on diverse UI types, which the present pipeline adopts as its spatial attention module.</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designed to estimate. Cognitive load itself is most commonly operationalised via the NASA Task Load Index (Hart &amp; Staveland, 1988), a multi-dimensional subjective workload measure that serves as the validation target for the Cognitive Load Index output of Stage 2.</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drawing>
          <wp:inline xmlns:a="http://schemas.openxmlformats.org/drawingml/2006/main" xmlns:pic="http://schemas.openxmlformats.org/drawingml/2006/picture">
            <wp:extent cx="5400000" cy="2158775"/>
            <wp:docPr id="1" name="Picture 1"/>
            <wp:cNvGraphicFramePr>
              <a:graphicFrameLocks noChangeAspect="1"/>
            </wp:cNvGraphicFramePr>
            <a:graphic>
              <a:graphicData uri="http://schemas.openxmlformats.org/drawingml/2006/picture">
                <pic:pic>
                  <pic:nvPicPr>
                    <pic:cNvPr id="0" name="pipeline-architecture3.png"/>
                    <pic:cNvPicPr/>
                  </pic:nvPicPr>
                  <pic:blipFill>
                    <a:blip r:embed="rId9"/>
                    <a:stretch>
                      <a:fillRect/>
                    </a:stretch>
                  </pic:blipFill>
                  <pic:spPr>
                    <a:xfrm>
                      <a:off x="0" y="0"/>
                      <a:ext cx="5400000" cy="2158775"/>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(Jiang et al., 2023;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automotive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UMSI++ zero-shot saliency transfer validation</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(Cognitive Load Index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Burny, W., &amp; Vanderdonckt, J. (2021). UiLab: A research instrument for user interface evaluation. Proceedings of EICS 2021. https://doi.org/10.1145/3452208.3452212</w:t>
      </w:r>
    </w:p>
    <w:p>
      <w:pPr>
        <w:pStyle w:val="ListBullet"/>
        <w:spacing w:after="40"/>
      </w:pPr>
      <w:r>
        <w:t>Chen, X., Acharya, A., Oulasvirta, A., &amp; Howes, A. (2021). An adaptive model of gaze-based interaction. Proceedings of CHI 2021. https://doi.org/10.1145/3411764.3445177</w:t>
      </w:r>
    </w:p>
    <w:p>
      <w:pPr>
        <w:pStyle w:val="ListBullet"/>
        <w:spacing w:after="40"/>
      </w:pPr>
      <w:r>
        <w:t>Das, A., Wu, Z., Škrjanec, I., &amp; Feit, A. M. (2024). HCEye: Exploring the relationship between cognitive load, saliency, and visual highlighting. Proceedings of ETRA 2024. https://doi.org/10.1145/3655610</w:t>
      </w:r>
    </w:p>
    <w:p>
      <w:pPr>
        <w:pStyle w:val="ListBullet"/>
        <w:spacing w:after="40"/>
      </w:pPr>
      <w:r>
        <w:t>Guo, Z., Jiang, Y., Leiva, L. A., &amp; Oulasvirta, A. (2026). SeekUI: Predicting visual search with reward-augmented vision-language models. Proceedings of CHI 2026. https://doi.org/10.1145/3772318.3791178</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Guo, Z., Tavakoli, H. R., Leiva, L. A., &amp; Oulasvirta, A. (2024). EyeFormer: Predicting personalized scanpaths with transformer-guided reinforcement learning. arXiv:2404.10163.</w:t>
      </w:r>
    </w:p>
    <w:p>
      <w:pPr>
        <w:pStyle w:val="ListBullet"/>
        <w:spacing w:after="40"/>
      </w:pPr>
      <w:r>
        <w:t>Jokinen, J. P. P., Sarcar, S., Oulasvirta, A., Silpasuwanchai, C., Wang, Z., &amp; Ren, X. (2020). Adaptive feature guidance: Modelling visual search with graphical layouts. International Journal of Human-Computer Studies, 136, 102376. https://doi.org/10.1016/j.ijhcs.2019.102376</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Agnew, W., Eslami, M., Heidari, H., &amp; Fox, S. E. (2025). Simulacrum of stories: Evaluating the proximity of LLM-generated qualitative data to human experiences. Proceedings of CHI 2025. https://doi.org/10.1145/3706598</w:t>
      </w:r>
    </w:p>
    <w:p>
      <w:pPr>
        <w:pStyle w:val="ListBullet"/>
        <w:spacing w:after="40"/>
      </w:pPr>
      <w:r>
        <w:t>Ko, J., Choi, J., Morales, C., Kim, D., &amp; Ko, M. (2026). Criticmate: Stagewise human–AI co-critique for interface design. Proceedings of CHI 2026. https://doi.org/10.1145/3772318.3790929</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Kümmerer, M., Wallis, T. S. A., &amp; Bethge, M. (2017). Understanding low- and high-level contributions to fixation prediction. ICCV 2017. https://doi.org/10.1109/ICCV.2017.513</w:t>
      </w:r>
    </w:p>
    <w:p>
      <w:pPr>
        <w:pStyle w:val="ListBullet"/>
        <w:spacing w:after="40"/>
      </w:pPr>
      <w:r>
        <w:t>Langerak, T., Christen, S., Albaba, M., Gebhardt, C., Holz, C., &amp; Hilliges, O. (2024). MARLUI: Multi-agent reinforcement learning for adaptive user interfaces. ACM Transactions on Computer-Human Interaction. https://doi.org/10.1145/3661147</w:t>
      </w:r>
    </w:p>
    <w:p>
      <w:pPr>
        <w:pStyle w:val="ListBullet"/>
        <w:spacing w:after="40"/>
      </w:pPr>
      <w:r>
        <w:t>Lingler, A., Talypova, D., Jokinen, J. P. P., Oulasvirta, A., &amp; Wintersberger, P. (2024). Supporting task switching with reinforcement learning in user interfaces. Proceedings of CHI 2024. https://doi.org/10.1145/3613904.3642063</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Laine, M., Kristhombuge, M., Zhu, Y., Miniukovich, A., Palmas, G.,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Abdulhai, M., Faust, A., &amp; Mataríc, M. (2023). Personality traits in large language models. arXiv. https://doi.org/10.48550/arXiv.2307.00184</w:t>
      </w:r>
    </w:p>
    <w:p>
      <w:pPr>
        <w:pStyle w:val="ListBullet"/>
        <w:spacing w:after="40"/>
      </w:pPr>
      <w:r>
        <w:t>Shannon, C. E. (1948). A mathematical theory of communication. Bell System Technical Journal, 27(3), 379–423. https://doi.org/10.1002/j.1538-7305.1948.tb01338.x</w:t>
      </w:r>
    </w:p>
    <w:p>
      <w:pPr>
        <w:pStyle w:val="ListBullet"/>
        <w:spacing w:after="40"/>
      </w:pPr>
      <w:r>
        <w:t>Shi, D., Zhu, Y., Jokinen, J. P. P., Acharya, A., Putkonen, A., Zhai, S., &amp; Oulasvirta, A. (2024). CRTypist: Simulating touchscreen typing behavior via computational rationality. Proceedings of CHI 2024. https://doi.org/10.1145/3613904.3642918</w:t>
      </w:r>
    </w:p>
    <w:p>
      <w:pPr>
        <w:pStyle w:val="ListBullet"/>
        <w:spacing w:after="40"/>
      </w:pPr>
      <w:r>
        <w:t>Shi, D., Wang, Y., Bai, Y., Bulling, A., &amp; Oulasvirta, A. (2025). Chartist: Task-driven eye movement control for chart reading. Proceedings of CHI 2025. https://doi.org/10.1145/3706598.3713285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Peng, Y.-H., Li, X. Y., Swearngin, A., Bigham, J. P., &amp; Nichols, J. (2024). UIClip: A data-driven model for assessing user interface design. Proceedings of UIST 2024. https://doi.org/10.1145/3654777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