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W., &amp; Vanderdonckt, J. (2021). UiLab: A research instrument for user interface evaluation. Proceedings of EICS 2021. https://doi.org/10.1145/3452208.3452212</w:t>
      </w:r>
    </w:p>
    <w:p>
      <w:pPr>
        <w:pStyle w:val="ListBullet"/>
        <w:spacing w:after="40"/>
      </w:pPr>
      <w:r>
        <w:t>Chen, X., Acharya, A., Oulasvirta, A., &amp; Howes, A. (2021). An adaptive model of gaze-based interaction. Proceedings of CHI 2021. https://doi.org/10.1145/3411764.3445177</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&amp; Bethge, M. (2017). Understanding low- and high-level contributions to fixation prediction. ICCV 2017. https://doi.org/10.1109/ICCV.2017.513</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