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 https://doi.org/10.1145/3706598</w:t>
      </w:r>
    </w:p>
    <w:p>
      <w:pPr>
        <w:pStyle w:val="ListBullet"/>
        <w:spacing w:after="40"/>
      </w:pPr>
      <w:r>
        <w:t>Ko, M., et al. (2026). Criticmate: Stagewise human–AI co-critique for interface design.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 https://doi.org/10.1145/3661147</w:t>
      </w:r>
    </w:p>
    <w:p>
      <w:pPr>
        <w:pStyle w:val="ListBullet"/>
        <w:spacing w:after="40"/>
      </w:pPr>
      <w:r>
        <w:t>Lingler, A., et al. (2024). Supporting task switching with reinforcement learning in user interfaces.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 https://doi.org/10.1145/3613904.3642918</w:t>
      </w:r>
    </w:p>
    <w:p>
      <w:pPr>
        <w:pStyle w:val="ListBullet"/>
        <w:spacing w:after="40"/>
      </w:pPr>
      <w:r>
        <w:t>Shi, D., et al.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