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 — and propose UMSI++, an improved CNN-based saliency model trained specifically on diverse UI types, which the present pipeline adopts as its spatial attention module.</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designed to estimate. Cognitive load itself is most commonly operationalised via the NASA Task Load Index (Hart &amp; Staveland, 1988), a multi-dimensional subjective workload measure that serves as the validation target for the Cognitive Load Index output of Stage 2.</w:t>
      </w:r>
    </w:p>
    <w:p>
      <w:pPr>
        <w:pStyle w:val="Heading2"/>
      </w:pPr>
      <w:r>
        <w:rPr>
          <w:color w:val="1A5276"/>
        </w:rPr>
        <w:t>2.4 Research Gap</w:t>
      </w:r>
    </w:p>
    <w:p>
      <w:r>
        <w:t>No existing work combines: (a) task-independent complexity extraction as an interpretable input layer, (b) task-conditioned behavioural prediction with (c) an explicit post-prediction cross-validation layer to check the behavioural coherence between structural, attentional, and cognitive load outputs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Stage 2, which uses task context and an optional user profile to predict three interaction quality indicators. In the current training-free implementation, Stage 2 predictions are derived from HCEye-calibrated empirical coefficients; once validation study data are available, a trained regression model replaces this component. The decoupled architecture ensures that Stage 1 outputs are reusable across task contexts and that each module can be updated independently.</w:t>
      </w:r>
    </w:p>
    <w:p>
      <w:r>
        <w:drawing>
          <wp:inline xmlns:a="http://schemas.openxmlformats.org/drawingml/2006/main" xmlns:pic="http://schemas.openxmlformats.org/drawingml/2006/picture">
            <wp:extent cx="5400000" cy="2158775"/>
            <wp:docPr id="1" name="Picture 1"/>
            <wp:cNvGraphicFramePr>
              <a:graphicFrameLocks noChangeAspect="1"/>
            </wp:cNvGraphicFramePr>
            <a:graphic>
              <a:graphicData uri="http://schemas.openxmlformats.org/drawingml/2006/picture">
                <pic:pic>
                  <pic:nvPicPr>
                    <pic:cNvPr id="0" name="pipeline-architecture3.png"/>
                    <pic:cNvPicPr/>
                  </pic:nvPicPr>
                  <pic:blipFill>
                    <a:blip r:embed="rId9"/>
                    <a:stretch>
                      <a:fillRect/>
                    </a:stretch>
                  </pic:blipFill>
                  <pic:spPr>
                    <a:xfrm>
                      <a:off x="0" y="0"/>
                      <a:ext cx="5400000" cy="2158775"/>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(Jiang et al., 2023;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automotive HMI screenshots. Stage 2 does not retrain or modify UMSI++; it operates on the derived scalar features only.</w:t>
      </w:r>
    </w:p>
    <w:p>
      <w:pPr>
        <w:pStyle w:val="Heading3"/>
      </w:pPr>
      <w:r>
        <w:rPr>
          <w:color w:val="1E8449"/>
        </w:rPr>
        <w:t>Stage 2 — Task-Conditioned Prediction</w:t>
      </w:r>
    </w:p>
    <w:p>
      <w:r>
        <w:t>Stage 2 converts x ∈ ℝ¹⁹ = [v ∈ ℝ⁸ | s ∈ ℝ⁵ | h ∈ ℝ⁶] + Task Descriptor + User Profile into three interaction quality scores. Note: h is computed directly from the screenshot image using empirical sensitivity coefficients derived from the HCEye dataset — no participant eye-tracking data is required at inference time.</w:t>
      </w:r>
    </w:p>
    <w:p>
      <w:r>
        <w:rPr>
          <w:b/>
        </w:rPr>
        <w:t xml:space="preserve">Current implementation (training-free): </w:t>
      </w:r>
      <w:r>
        <w:t>Predictions are derived directly from the HCEye-calibrated sensitivity features h ∈ ℝ⁶ via empirically grounded coefficient mappings (Das et al., 2024). This requires no training data and is fully functional as a screening tool from day one. Task Descriptor and User Profile apply ordinal modifiers on top of the base prediction.</w:t>
      </w:r>
    </w:p>
    <w:p>
      <w:r>
        <w:rPr>
          <w:b/>
        </w:rPr>
        <w:t xml:space="preserve">Planned extension (requires validation study data): </w:t>
      </w:r>
      <w:r>
        <w:t>Once empirical ground-truth labels are available from the validation study (Option A or C), the coefficient-based predictions are replaced by a trained multi-output regression model (Ridge Regression as baseline, Random Forest and XGBoost as primary estimators, cross-validated). The model architecture is already implemented and the feature vector x ∈ ℝ¹⁹ serves as its input unchanged.</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Output</w:t>
            </w:r>
          </w:p>
        </w:tc>
        <w:tc>
          <w:tcPr>
            <w:tcW w:type="dxa" w:w="3402"/>
          </w:tcPr>
          <w:p>
            <w:pPr>
              <w:spacing w:after="40"/>
            </w:pPr>
            <w:r>
              <w:rPr>
                <w:b/>
              </w:rPr>
              <w:t>Source</w:t>
            </w:r>
          </w:p>
        </w:tc>
        <w:tc>
          <w:tcPr>
            <w:tcW w:type="dxa" w:w="3402"/>
          </w:tcPr>
          <w:p>
            <w:pPr>
              <w:spacing w:after="40"/>
            </w:pPr>
            <w:r>
              <w:rPr>
                <w:b/>
              </w:rPr>
              <w:t>Validation Metric</w:t>
            </w:r>
          </w:p>
        </w:tc>
      </w:tr>
      <w:tr>
        <w:tc>
          <w:tcPr>
            <w:tcW w:type="dxa" w:w="2551"/>
          </w:tcPr>
          <w:p>
            <w:pPr>
              <w:spacing w:after="40"/>
            </w:pPr>
            <w:r>
              <w:t>Saliency Map (2D, spatial attention)</w:t>
            </w:r>
          </w:p>
        </w:tc>
        <w:tc>
          <w:tcPr>
            <w:tcW w:type="dxa" w:w="3402"/>
          </w:tcPr>
          <w:p>
            <w:pPr>
              <w:spacing w:after="40"/>
            </w:pPr>
            <w:r>
              <w:t>UMSI++ — pre-trained, zero-shot</w:t>
            </w:r>
          </w:p>
        </w:tc>
        <w:tc>
          <w:tcPr>
            <w:tcW w:type="dxa" w:w="3402"/>
          </w:tcPr>
          <w:p>
            <w:pPr>
              <w:spacing w:after="40"/>
            </w:pPr>
            <w:r>
              <w:t>AUC-Judd, NSS, SIM, CC (domain transfer)</w:t>
            </w:r>
          </w:p>
        </w:tc>
      </w:tr>
      <w:tr>
        <w:tc>
          <w:tcPr>
            <w:tcW w:type="dxa" w:w="2551"/>
          </w:tcPr>
          <w:p>
            <w:pPr>
              <w:spacing w:after="40"/>
            </w:pPr>
            <w:r>
              <w:t>Search Efficiency + Attention Demand (scalars)</w:t>
            </w:r>
          </w:p>
        </w:tc>
        <w:tc>
          <w:tcPr>
            <w:tcW w:type="dxa" w:w="3402"/>
          </w:tcPr>
          <w:p>
            <w:pPr>
              <w:spacing w:after="40"/>
            </w:pPr>
            <w:r>
              <w:t>HCEye rule-based (current) / Stage 2 regression (planned)</w:t>
            </w:r>
          </w:p>
        </w:tc>
        <w:tc>
          <w:tcPr>
            <w:tcW w:type="dxa" w:w="3402"/>
          </w:tcPr>
          <w:p>
            <w:pPr>
              <w:spacing w:after="40"/>
            </w:pPr>
            <w:r>
              <w:t>Correlation with eye-tracking AOI metrics</w:t>
            </w:r>
          </w:p>
        </w:tc>
      </w:tr>
      <w:tr>
        <w:tc>
          <w:tcPr>
            <w:tcW w:type="dxa" w:w="2551"/>
          </w:tcPr>
          <w:p>
            <w:pPr>
              <w:spacing w:after="40"/>
            </w:pPr>
            <w:r>
              <w:t>Cognitive Load Index (0–100)</w:t>
            </w:r>
          </w:p>
        </w:tc>
        <w:tc>
          <w:tcPr>
            <w:tcW w:type="dxa" w:w="3402"/>
          </w:tcPr>
          <w:p>
            <w:pPr>
              <w:spacing w:after="40"/>
            </w:pPr>
            <w:r>
              <w:t>HCEye rule-based (current) / Stage 2 regression (planned)</w:t>
            </w:r>
          </w:p>
        </w:tc>
        <w:tc>
          <w:tcPr>
            <w:tcW w:type="dxa" w:w="3402"/>
          </w:tcPr>
          <w:p>
            <w:pPr>
              <w:spacing w:after="40"/>
            </w:pPr>
            <w:r>
              <w:t>Correlation with NASA-TLX</w:t>
            </w:r>
          </w:p>
        </w:tc>
      </w:tr>
    </w:tbl>
    <w:p/>
    <w:p>
      <w:r>
        <w:t>UMSI++ is applied without retraining. Stage 2 regression is activated only after validation study data are collected.</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Focused/Conscientious, Exploratory/Open, Social/Extraverted,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UMSI++ zero-shot saliency transfer validation</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(Cognitive Load Index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baseline comparisons B1–B3 (if Option A or C; replaced by expert interview analysis if Option B)</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Burny, W., &amp; Vanderdonckt, J. (2021). UiLab: A research instrument for user interface evaluation. Proceedings of EICS 2021. https://doi.org/10.1145/3452208.3452212</w:t>
      </w:r>
    </w:p>
    <w:p>
      <w:pPr>
        <w:pStyle w:val="ListBullet"/>
        <w:spacing w:after="40"/>
      </w:pPr>
      <w:r>
        <w:t>Chen, X., Acharya, A., Oulasvirta, A., &amp; Howes, A. (2021). An adaptive model of gaze-based interaction. Proceedings of CHI 2021. https://doi.org/10.1145/3411764.3445177</w:t>
      </w:r>
    </w:p>
    <w:p>
      <w:pPr>
        <w:pStyle w:val="ListBullet"/>
        <w:spacing w:after="40"/>
      </w:pPr>
      <w:r>
        <w:t>Das, A., Wu, Z., Škrjanec, I., &amp; Feit, A. M. (2024). HCEye: Exploring the relationship between cognitive load, saliency, and visual highlighting. Proceedings of ETRA 2024. https://doi.org/10.1145/3655610</w:t>
      </w:r>
    </w:p>
    <w:p>
      <w:pPr>
        <w:pStyle w:val="ListBullet"/>
        <w:spacing w:after="40"/>
      </w:pPr>
      <w:r>
        <w:t>Guo, Z., Jiang, Y., Leiva, L. A., &amp; Oulasvirta, A. (2026). SeekUI: Predicting visual search with reward-augmented vision-language models. Proceedings of CHI 2026. https://doi.org/10.1145/3772318.3791178</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M., Zheng, M., &amp; Zhao, Q. (2023). UEyes: Understanding visual saliency across user interface types. Proceedings of CHI 2023. https://doi.org/10.1145/3544548.3581113</w:t>
      </w:r>
    </w:p>
    <w:p>
      <w:pPr>
        <w:pStyle w:val="ListBullet"/>
        <w:spacing w:after="40"/>
      </w:pPr>
      <w:r>
        <w:t>Jiang, Y., Guo, Z., Tavakoli, H. R., Leiva, L. A., &amp; Oulasvirta, A. (2024). EyeFormer: Predicting personalized scanpaths with transformer-guided reinforcement learning. arXiv:2404.10163.</w:t>
      </w:r>
    </w:p>
    <w:p>
      <w:pPr>
        <w:pStyle w:val="ListBullet"/>
        <w:spacing w:after="40"/>
      </w:pPr>
      <w:r>
        <w:t>Jokinen, J. P. P., Sarcar, S., Oulasvirta, A., Silpasuwanchai, C., Wang, Z., &amp; Ren, X. (2020). Adaptive feature guidance: Modelling visual search with graphical layouts. International Journal of Human-Computer Studies, 136, 102376. https://doi.org/10.1016/j.ijhcs.2019.102376</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Agnew, W., Eslami, M., Heidari, H., &amp; Fox, S. E. (2025). Simulacrum of stories: Evaluating the proximity of LLM-generated qualitative data to human experiences. Proceedings of CHI 2025. https://doi.org/10.1145/3706598</w:t>
      </w:r>
    </w:p>
    <w:p>
      <w:pPr>
        <w:pStyle w:val="ListBullet"/>
        <w:spacing w:after="40"/>
      </w:pPr>
      <w:r>
        <w:t>Ko, J., Choi, J., Morales, C., Kim, D., &amp; Ko, M. (2026). Criticmate: Stagewise human–AI co-critique for interface design. Proceedings of CHI 2026. https://doi.org/10.1145/3772318.3790929</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Kümmerer, M., Wallis, T. S. A., &amp; Bethge, M. (2017). Understanding low- and high-level contributions to fixation prediction. ICCV 2017. https://doi.org/10.1109/ICCV.2017.513</w:t>
      </w:r>
    </w:p>
    <w:p>
      <w:pPr>
        <w:pStyle w:val="ListBullet"/>
        <w:spacing w:after="40"/>
      </w:pPr>
      <w:r>
        <w:t>Langerak, T., Christen, S., Albaba, M., Gebhardt, C., Holz, C., &amp; Hilliges, O. (2024). MARLUI: Multi-agent reinforcement learning for adaptive user interfaces. ACM Transactions on Computer-Human Interaction. https://doi.org/10.1145/3661147</w:t>
      </w:r>
    </w:p>
    <w:p>
      <w:pPr>
        <w:pStyle w:val="ListBullet"/>
        <w:spacing w:after="40"/>
      </w:pPr>
      <w:r>
        <w:t>Lingler, A., Talypova, D., Jokinen, J. P. P., Oulasvirta, A., &amp; Wintersberger, P. (2024). Supporting task switching with reinforcement learning in user interfaces. Proceedings of CHI 2024. https://doi.org/10.1145/3613904.3642063</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Laine, M., Kristhombuge, M., Zhu, Y., Miniukovich, A., Palmas, G.,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Abdulhai, M., Faust, A., &amp; Mataríc, M. (2023). Personality traits in large language models. arXiv. https://doi.org/10.48550/arXiv.2307.00184</w:t>
      </w:r>
    </w:p>
    <w:p>
      <w:pPr>
        <w:pStyle w:val="ListBullet"/>
        <w:spacing w:after="40"/>
      </w:pPr>
      <w:r>
        <w:t>Shannon, C. E. (1948). A mathematical theory of communication. Bell System Technical Journal, 27(3), 379–423. https://doi.org/10.1002/j.1538-7305.1948.tb01338.x</w:t>
      </w:r>
    </w:p>
    <w:p>
      <w:pPr>
        <w:pStyle w:val="ListBullet"/>
        <w:spacing w:after="40"/>
      </w:pPr>
      <w:r>
        <w:t>Shi, D., Zhu, Y., Jokinen, J. P. P., Acharya, A., Putkonen, A., Zhai, S., &amp; Oulasvirta, A. (2024). CRTypist: Simulating touchscreen typing behavior via computational rationality. Proceedings of CHI 2024. https://doi.org/10.1145/3613904.3642918</w:t>
      </w:r>
    </w:p>
    <w:p>
      <w:pPr>
        <w:pStyle w:val="ListBullet"/>
        <w:spacing w:after="40"/>
      </w:pPr>
      <w:r>
        <w:t>Shi, D., Wang, Y., Bai, Y., Bulling, A., &amp; Oulasvirta, A. (2025). Chartist: Task-driven eye movement control for chart reading. Proceedings of CHI 2025. https://doi.org/10.1145/3706598.3713285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Peng, Y.-H., Li, X. Y., Swearngin, A., Bigham, J. P., &amp; Nichols, J. (2024). UIClip: A data-driven model for assessing user interface design. Proceedings of UIST 2024. https://doi.org/10.1145/3654777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