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Cognitive load itself is most commonly operationalised via the NASA Task Load Index (Hart &amp; Staveland, 1988), a multi-dimensional subjective workload measure that serves as the validation target for the Cognitive Load Index output of Stage 2.</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3477677"/>
            <wp:docPr id="1" name="Picture 1"/>
            <wp:cNvGraphicFramePr>
              <a:graphicFrameLocks noChangeAspect="1"/>
            </wp:cNvGraphicFramePr>
            <a:graphic>
              <a:graphicData uri="http://schemas.openxmlformats.org/drawingml/2006/picture">
                <pic:pic>
                  <pic:nvPicPr>
                    <pic:cNvPr id="0" name="pipeline_figure.png"/>
                    <pic:cNvPicPr/>
                  </pic:nvPicPr>
                  <pic:blipFill>
                    <a:blip r:embed="rId9"/>
                    <a:stretch>
                      <a:fillRect/>
                    </a:stretch>
                  </pic:blipFill>
                  <pic:spPr>
                    <a:xfrm>
                      <a:off x="0" y="0"/>
                      <a:ext cx="5400000" cy="3477677"/>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BMW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W., &amp; Vanderdonckt, J. (2021). UiLab: A research instrument for user interface evaluation. Proceedings of EICS 2021. https://doi.org/10.1145/3452208.3452212</w:t>
      </w:r>
    </w:p>
    <w:p>
      <w:pPr>
        <w:pStyle w:val="ListBullet"/>
        <w:spacing w:after="40"/>
      </w:pPr>
      <w:r>
        <w:t>Chen, X., Acharya, A., Oulasvirta, A., &amp; Howes, A. (2021). An adaptive model of gaze-based interaction. Proceedings of CHI 2021. https://doi.org/10.1145/3411764.3445177</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et al. (2024). EyeFormer: Predicting personalized scanpaths with transformer-based RL. Proceedings of CHI 2024.</w:t>
      </w:r>
    </w:p>
    <w:p>
      <w:pPr>
        <w:pStyle w:val="ListBullet"/>
        <w:spacing w:after="40"/>
      </w:pPr>
      <w:r>
        <w:t>Jokinen, J. P. P., Sarcar, S., Oulasvirta, A., Silpasuwanchai, C., Wang, Z., &amp; Ren, X. (2020). Adaptive feature guidance: Modelling visual search with graphical layouts. Proceedings of CHI 2020.</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w:t>
      </w:r>
    </w:p>
    <w:p>
      <w:pPr>
        <w:pStyle w:val="ListBullet"/>
        <w:spacing w:after="40"/>
      </w:pPr>
      <w:r>
        <w:t>Ko, M., et al. (2026). Criticmate: Stagewise human–AI co-critique for interface design. Proceedings of CHI 2026.</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&amp; Bethge, M. (2017). Understanding low- and high-level contributions to fixation prediction. ICCV 2017. https://doi.org/10.1109/ICCV.2017.513</w:t>
      </w:r>
    </w:p>
    <w:p>
      <w:pPr>
        <w:pStyle w:val="ListBullet"/>
        <w:spacing w:after="40"/>
      </w:pPr>
      <w:r>
        <w:t>Langerak, T., et al. (2024). MARLUI: Multi-agent reinforcement learning for adaptive user interfaces. ACM Transactions on Computer-Human Interaction.</w:t>
      </w:r>
    </w:p>
    <w:p>
      <w:pPr>
        <w:pStyle w:val="ListBullet"/>
        <w:spacing w:after="40"/>
      </w:pPr>
      <w:r>
        <w:t>Lingler, A., et al. (2024). Supporting task switching with reinforcement learning in user interfaces. Proceedings of CHI 2024.</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et al. (2024). CRTypist: Simulating touchscreen typing behavior via computational rationality. Proceedings of CHI 2024.</w:t>
      </w:r>
    </w:p>
    <w:p>
      <w:pPr>
        <w:pStyle w:val="ListBullet"/>
        <w:spacing w:after="40"/>
      </w:pPr>
      <w:r>
        <w:t>Shi, D., et al. (2025). Chartist: Task-driven eye movement control for chart reading. Proceedings of CHI 2025.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