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 https://doi.org/10.1145/3706598</w:t>
      </w:r>
    </w:p>
    <w:p>
      <w:pPr>
        <w:pStyle w:val="ListBullet"/>
        <w:spacing w:after="40"/>
      </w:pPr>
      <w:r>
        <w:t>Ko, M., et al.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et al. (2024). MARLUI: Multi-agent reinforcement learning for adaptive user interfaces. ACM Transactions on Computer-Human Interaction. https://doi.org/10.1145/3661147</w:t>
      </w:r>
    </w:p>
    <w:p>
      <w:pPr>
        <w:pStyle w:val="ListBullet"/>
        <w:spacing w:after="40"/>
      </w:pPr>
      <w:r>
        <w:t>Lingler, A., et al.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et al. (2024). CRTypist: Simulating touchscreen typing behavior via computational rationality. Proceedings of CHI 2024. https://doi.org/10.1145/3613904.3642918</w:t>
      </w:r>
    </w:p>
    <w:p>
      <w:pPr>
        <w:pStyle w:val="ListBullet"/>
        <w:spacing w:after="40"/>
      </w:pPr>
      <w:r>
        <w:t>Shi, D., et al.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