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coherence constraint between saliency, scanpaths, and cognitive load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itself is the output for Head 1 and is validated directly against eye-tracking fixation densities. Spatial resolution is preserved in the UMSI module; Stage 2 operates on the derived scalar features only.</w:t>
      </w:r>
    </w:p>
    <w:p>
      <w:pPr>
        <w:pStyle w:val="Heading3"/>
      </w:pPr>
      <w:r>
        <w:rPr>
          <w:color w:val="1E8449"/>
        </w:rPr>
        <w:t>Stage 2 — Task-Conditioned Multi-Output Regression</w:t>
      </w:r>
    </w:p>
    <w:p>
      <w:r>
        <w:t>Stage 2 is a classical multi-output regression model (Ridge Regression as baseline, XGBoost as primary estimator, cross-validated). It takes the extended feature vector together with a Task Descriptor and an optional User Profile and simultaneously predicts three interaction quality scores.</w:t>
      </w:r>
    </w:p>
    <w:p>
      <w:r>
        <w:t>Input: x ∈ ℝ¹⁹ = [v ∈ ℝ⁸ | s ∈ ℝ⁵ | h ∈ ℝ⁶ (HCEye sensitivity features)] + Task Descriptor (categorical: Navigation, Search, Monitoring, Data Entry, Decision) + User Profile (Big Five preset, optional).</w:t>
      </w:r>
    </w:p>
    <w:tbl>
      <w:tblPr>
        <w:tblStyle w:val="TableGrid"/>
        <w:tblW w:type="auto" w:w="0"/>
        <w:tblLook w:firstColumn="1" w:firstRow="1" w:lastColumn="0" w:lastRow="0" w:noHBand="0" w:noVBand="1" w:val="04A0"/>
      </w:tblPr>
      <w:tblGrid>
        <w:gridCol w:w="3135"/>
        <w:gridCol w:w="3135"/>
        <w:gridCol w:w="3135"/>
      </w:tblGrid>
      <w:tr>
        <w:tc>
          <w:tcPr>
            <w:tcW w:type="dxa" w:w="1417"/>
          </w:tcPr>
          <w:p>
            <w:pPr>
              <w:spacing w:after="40"/>
            </w:pPr>
            <w:r>
              <w:rPr>
                <w:b/>
              </w:rPr>
              <w:t>Head</w:t>
            </w:r>
          </w:p>
        </w:tc>
        <w:tc>
          <w:tcPr>
            <w:tcW w:type="dxa" w:w="4535"/>
          </w:tcPr>
          <w:p>
            <w:pPr>
              <w:spacing w:after="40"/>
            </w:pPr>
            <w:r>
              <w:rPr>
                <w:b/>
              </w:rPr>
              <w:t>Output</w:t>
            </w:r>
          </w:p>
        </w:tc>
        <w:tc>
          <w:tcPr>
            <w:tcW w:type="dxa" w:w="3402"/>
          </w:tcPr>
          <w:p>
            <w:pPr>
              <w:spacing w:after="40"/>
            </w:pPr>
            <w:r>
              <w:rPr>
                <w:b/>
              </w:rPr>
              <w:t>Validation Metric</w:t>
            </w:r>
          </w:p>
        </w:tc>
      </w:tr>
      <w:tr>
        <w:tc>
          <w:tcPr>
            <w:tcW w:type="dxa" w:w="1417"/>
          </w:tcPr>
          <w:p>
            <w:pPr>
              <w:spacing w:after="40"/>
            </w:pPr>
            <w:r>
              <w:t>Head 1</w:t>
            </w:r>
          </w:p>
        </w:tc>
        <w:tc>
          <w:tcPr>
            <w:tcW w:type="dxa" w:w="4535"/>
          </w:tcPr>
          <w:p>
            <w:pPr>
              <w:spacing w:after="40"/>
            </w:pPr>
            <w:r>
              <w:t>Saliency Map (from UMSI)</w:t>
            </w:r>
          </w:p>
        </w:tc>
        <w:tc>
          <w:tcPr>
            <w:tcW w:type="dxa" w:w="3402"/>
          </w:tcPr>
          <w:p>
            <w:pPr>
              <w:spacing w:after="40"/>
            </w:pPr>
            <w:r>
              <w:t>AUC-Judd, NSS, SIM, CC</w:t>
            </w:r>
          </w:p>
        </w:tc>
      </w:tr>
      <w:tr>
        <w:tc>
          <w:tcPr>
            <w:tcW w:type="dxa" w:w="1417"/>
          </w:tcPr>
          <w:p>
            <w:pPr>
              <w:spacing w:after="40"/>
            </w:pPr>
            <w:r>
              <w:t>Head 2</w:t>
            </w:r>
          </w:p>
        </w:tc>
        <w:tc>
          <w:tcPr>
            <w:tcW w:type="dxa" w:w="4535"/>
          </w:tcPr>
          <w:p>
            <w:pPr>
              <w:spacing w:after="40"/>
            </w:pPr>
            <w:r>
              <w:t>Search Efficiency + Attention Demand (scalars)</w:t>
            </w:r>
          </w:p>
        </w:tc>
        <w:tc>
          <w:tcPr>
            <w:tcW w:type="dxa" w:w="3402"/>
          </w:tcPr>
          <w:p>
            <w:pPr>
              <w:spacing w:after="40"/>
            </w:pPr>
            <w:r>
              <w:t>Correlation with eye-tracking AOI metrics</w:t>
            </w:r>
          </w:p>
        </w:tc>
      </w:tr>
      <w:tr>
        <w:tc>
          <w:tcPr>
            <w:tcW w:type="dxa" w:w="1417"/>
          </w:tcPr>
          <w:p>
            <w:pPr>
              <w:spacing w:after="40"/>
            </w:pPr>
            <w:r>
              <w:t>Head 3</w:t>
            </w:r>
          </w:p>
        </w:tc>
        <w:tc>
          <w:tcPr>
            <w:tcW w:type="dxa" w:w="4535"/>
          </w:tcPr>
          <w:p>
            <w:pPr>
              <w:spacing w:after="40"/>
            </w:pPr>
            <w:r>
              <w:t>Cognitive Load Index (0–100)</w:t>
            </w:r>
          </w:p>
        </w:tc>
        <w:tc>
          <w:tcPr>
            <w:tcW w:type="dxa" w:w="3402"/>
          </w:tcPr>
          <w:p>
            <w:pPr>
              <w:spacing w:after="40"/>
            </w:pPr>
            <w:r>
              <w:t>Correlation with NASA-TLX</w:t>
            </w:r>
          </w:p>
        </w:tc>
      </w:tr>
    </w:tbl>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 Exploratory,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coherence-constrained multi-output model into a GUI evaluation platform, coupling saliency, scanpath, and cognitive load prediction in a single architecture.</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on real data, baseline comparisons (B1–B3)</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