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A., Wu, Z., Škrjanec, I., &amp; Feit, A. M. (2024). HCEye: Exploring the relationship between cognitive load, saliency, and visual highlighting. Proceedings of ETRA 2024. https://doi.org/10.1145/3655610</w:t>
      </w:r>
    </w:p>
    <w:p>
      <w:pPr>
        <w:pStyle w:val="ListBullet"/>
        <w:spacing w:after="40"/>
      </w:pPr>
      <w:r>
        <w:t>Guo, Z., Jiang, Y., Leiva, L. A., &amp; Oulasvirta, A.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Evaluating the proximity of LLM-generated qualitative data to human experiences. Proceedings of CHI 2025. https://doi.org/10.1145/3706598</w:t>
      </w:r>
    </w:p>
    <w:p>
      <w:pPr>
        <w:pStyle w:val="ListBullet"/>
        <w:spacing w:after="40"/>
      </w:pPr>
      <w:r>
        <w:t>Ko, J., Choi, J., Morales, C., Kim, D., &amp; Ko, M.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user interfaces. ACM Transactions on Computer-Human Interaction. https://doi.org/10.1145/3661147</w:t>
      </w:r>
    </w:p>
    <w:p>
      <w:pPr>
        <w:pStyle w:val="ListBullet"/>
        <w:spacing w:after="40"/>
      </w:pPr>
      <w:r>
        <w:t>Lingler, A., Talypova, D., Jokinen, J. P. P., Oulasvirta, A., &amp; Wintersberger, P.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