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coherence constraint between saliency, scanpaths, and cognitive load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simultaneous behavioural predictions. Figure 1 shows the overall data flow. A screenshot first passes through a task-agnostic feature extraction layer (Stage 1), which produces a compact visual feature vector. This vector is then passed to a task-conditioned multi-output regression model (Stage 2), which uses the task context and an optional user profile to simultaneously predict saliency, fixation distribution, and cognitive load. The decoupled architecture ensures that Stage 1 outputs are reusable across task contexts, while Stage 2 is the only component that requires training data.</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Complexity Extraction</w:t>
      </w:r>
    </w:p>
    <w:p>
      <w:r>
        <w:t>Stage 1 computes eight perceptual features from a raw screenshot. All features are derived from established image-analysis models from the GUI evaluation and visual perception literature; the majority are already implemented within the open-source AIM framework (Oulasvirta et al., 2018). Input is a GUI screenshot; output is a feature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AIM /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 UI segmentation</w:t>
            </w:r>
          </w:p>
        </w:tc>
      </w:tr>
    </w:tbl>
    <w:p/>
    <w:p>
      <w:r>
        <w:t>Stage 1 is task-agnostic and directly integrable into the existing AIM infrastructure.</w:t>
      </w:r>
    </w:p>
    <w:p>
      <w:pPr>
        <w:pStyle w:val="Heading3"/>
      </w:pPr>
      <w:r>
        <w:rPr>
          <w:color w:val="1E8449"/>
        </w:rPr>
        <w:t>Stage 2 — Task-Conditioned Multi-Output Prediction</w:t>
      </w:r>
    </w:p>
    <w:p>
      <w:r>
        <w:t>Stage 2 is a multi-output regression model that takes the Stage 1 feature vector together with a Task Descriptor and an optional User Profile and simultaneously predicts three behavioural outputs. The joint training objective couples all three prediction heads through a coherence penalty, which is the central methodological contribution (see below).</w:t>
      </w:r>
    </w:p>
    <w:p>
      <w:r>
        <w:t>Input: v (Stage 1) + Task Descriptor (categorical: Navigation, Search, Monitoring, Data Entry, Decision) + User Profile (Big Five, optional).</w:t>
        <w:br/>
        <w:t>Output: Three simultaneous heads with mutual coherence constraints.</w:t>
      </w:r>
    </w:p>
    <w:p>
      <w:r>
        <w:rPr>
          <w:b/>
          <w:sz w:val="22"/>
        </w:rPr>
        <w:t>L = λ₁·L_sal + λ₂·L_fix + λ₃·L_load + λ_coh·L_coherence</w:t>
      </w:r>
    </w:p>
    <w:p>
      <w:r>
        <w:t>where λ₁, λ₂, λ₃ ≥ 0 are loss weights balancing the contribution of each output head, and λ_coh ≥ 0 controls the strength of the cross-head coherence penalty.</w:t>
      </w:r>
    </w:p>
    <w:tbl>
      <w:tblPr>
        <w:tblStyle w:val="TableGrid"/>
        <w:tblW w:type="auto" w:w="0"/>
        <w:tblLook w:firstColumn="1" w:firstRow="1" w:lastColumn="0" w:lastRow="0" w:noHBand="0" w:noVBand="1" w:val="04A0"/>
      </w:tblPr>
      <w:tblGrid>
        <w:gridCol w:w="3135"/>
        <w:gridCol w:w="3135"/>
        <w:gridCol w:w="3135"/>
      </w:tblGrid>
      <w:tr>
        <w:tc>
          <w:tcPr>
            <w:tcW w:type="dxa" w:w="1417"/>
          </w:tcPr>
          <w:p>
            <w:pPr>
              <w:spacing w:after="40"/>
            </w:pPr>
            <w:r>
              <w:rPr>
                <w:b/>
              </w:rPr>
              <w:t>Head</w:t>
            </w:r>
          </w:p>
        </w:tc>
        <w:tc>
          <w:tcPr>
            <w:tcW w:type="dxa" w:w="4535"/>
          </w:tcPr>
          <w:p>
            <w:pPr>
              <w:spacing w:after="40"/>
            </w:pPr>
            <w:r>
              <w:rPr>
                <w:b/>
              </w:rPr>
              <w:t>Output</w:t>
            </w:r>
          </w:p>
        </w:tc>
        <w:tc>
          <w:tcPr>
            <w:tcW w:type="dxa" w:w="3402"/>
          </w:tcPr>
          <w:p>
            <w:pPr>
              <w:spacing w:after="40"/>
            </w:pPr>
            <w:r>
              <w:rPr>
                <w:b/>
              </w:rPr>
              <w:t>Validation Metric</w:t>
            </w:r>
          </w:p>
        </w:tc>
      </w:tr>
      <w:tr>
        <w:tc>
          <w:tcPr>
            <w:tcW w:type="dxa" w:w="1417"/>
          </w:tcPr>
          <w:p>
            <w:pPr>
              <w:spacing w:after="40"/>
            </w:pPr>
            <w:r>
              <w:t>Head 1</w:t>
            </w:r>
          </w:p>
        </w:tc>
        <w:tc>
          <w:tcPr>
            <w:tcW w:type="dxa" w:w="4535"/>
          </w:tcPr>
          <w:p>
            <w:pPr>
              <w:spacing w:after="40"/>
            </w:pPr>
            <w:r>
              <w:t>Saliency Map</w:t>
            </w:r>
          </w:p>
        </w:tc>
        <w:tc>
          <w:tcPr>
            <w:tcW w:type="dxa" w:w="3402"/>
          </w:tcPr>
          <w:p>
            <w:pPr>
              <w:spacing w:after="40"/>
            </w:pPr>
            <w:r>
              <w:t>AUC-Judd, NSS, SIM, CC</w:t>
            </w:r>
          </w:p>
        </w:tc>
      </w:tr>
      <w:tr>
        <w:tc>
          <w:tcPr>
            <w:tcW w:type="dxa" w:w="1417"/>
          </w:tcPr>
          <w:p>
            <w:pPr>
              <w:spacing w:after="40"/>
            </w:pPr>
            <w:r>
              <w:t>Head 2</w:t>
            </w:r>
          </w:p>
        </w:tc>
        <w:tc>
          <w:tcPr>
            <w:tcW w:type="dxa" w:w="4535"/>
          </w:tcPr>
          <w:p>
            <w:pPr>
              <w:spacing w:after="40"/>
            </w:pPr>
            <w:r>
              <w:t>Fixation Distribution / Scanpath Entropy</w:t>
            </w:r>
          </w:p>
        </w:tc>
        <w:tc>
          <w:tcPr>
            <w:tcW w:type="dxa" w:w="3402"/>
          </w:tcPr>
          <w:p>
            <w:pPr>
              <w:spacing w:after="40"/>
            </w:pPr>
            <w:r>
              <w:t>DTW, TDE</w:t>
            </w:r>
          </w:p>
        </w:tc>
      </w:tr>
      <w:tr>
        <w:tc>
          <w:tcPr>
            <w:tcW w:type="dxa" w:w="1417"/>
          </w:tcPr>
          <w:p>
            <w:pPr>
              <w:spacing w:after="40"/>
            </w:pPr>
            <w:r>
              <w:t>Head 3</w:t>
            </w:r>
          </w:p>
        </w:tc>
        <w:tc>
          <w:tcPr>
            <w:tcW w:type="dxa" w:w="4535"/>
          </w:tcPr>
          <w:p>
            <w:pPr>
              <w:spacing w:after="40"/>
            </w:pPr>
            <w:r>
              <w:t>Cognitive Load Index (0–100)</w:t>
            </w:r>
          </w:p>
        </w:tc>
        <w:tc>
          <w:tcPr>
            <w:tcW w:type="dxa" w:w="3402"/>
          </w:tcPr>
          <w:p>
            <w:pPr>
              <w:spacing w:after="40"/>
            </w:pPr>
            <w:r>
              <w:t>Correlation with NASA-TLX</w:t>
            </w:r>
          </w:p>
        </w:tc>
      </w:tr>
    </w:tbl>
    <w:p/>
    <w:p>
      <w:r>
        <w:t>The coherence term L_coherence penalises physically inconsistent output combinations (e.g., high saliency dispersion combined with low fixation count). The coupling of all three heads is the methodological novelty of this work.</w:t>
      </w:r>
    </w:p>
    <w:p>
      <w:r>
        <w:t>User Profile: LLM-based simulation at Big Five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term (λ_coh = 0)</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coherence-constrained multi-output model into a GUI evaluation platform, coupling saliency, scanpath, and cognitive load prediction in a single architecture.</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on real data, baseline comparisons (B1–B3)</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