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coherence constraint between saliency, scanpaths, and cognitive load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a task-conditioned multi-output regression model (Stage 2), which uses task context and an optional user profile to simultaneously predict three interaction quality indicators. The decoupled architecture ensures that Stage 1 outputs are reusable across task contexts and that the saliency module can be replaced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Multi-Output Regression</w:t>
      </w:r>
    </w:p>
    <w:p>
      <w:r>
        <w:t>Stage 2 is a classical multi-output regression model (Ridge Regression as baseline, XGBoost as primary estimator, cross-validated). It takes the extended feature vector together with a Task Descriptor and an optional User Profile and simultaneously predicts three interaction quality scores.</w:t>
      </w:r>
    </w:p>
    <w:p>
      <w:r>
        <w:t>Input: x ∈ ℝ¹⁹ = [v ∈ ℝ⁸ | s ∈ ℝ⁵ | h ∈ ℝ⁶ (HCEye-calibrated sensitivity features)] + Task Descriptor (categorical: Navigation, Search, Monitoring, Data Entry, Decision) + User Profile (Big Five preset, optional). Note: h is computed directly from the screenshot image using empirical sensitivity coefficients derived from the HCEye dataset — no participant eye-tracking data is required at inference time.</w:t>
      </w:r>
    </w:p>
    <w:tbl>
      <w:tblPr>
        <w:tblStyle w:val="TableGrid"/>
        <w:tblW w:type="auto" w:w="0"/>
        <w:tblLook w:firstColumn="1" w:firstRow="1" w:lastColumn="0" w:lastRow="0" w:noHBand="0" w:noVBand="1" w:val="04A0"/>
      </w:tblPr>
      <w:tblGrid>
        <w:gridCol w:w="3135"/>
        <w:gridCol w:w="3135"/>
        <w:gridCol w:w="3135"/>
      </w:tblGrid>
      <w:tr>
        <w:tc>
          <w:tcPr>
            <w:tcW w:type="dxa" w:w="3402"/>
          </w:tcPr>
          <w:p>
            <w:pPr>
              <w:spacing w:after="40"/>
            </w:pPr>
            <w:r>
              <w:rPr>
                <w:b/>
              </w:rPr>
              <w:t>Output</w:t>
            </w:r>
          </w:p>
        </w:tc>
        <w:tc>
          <w:tcPr>
            <w:tcW w:type="dxa" w:w="3118"/>
          </w:tcPr>
          <w:p>
            <w:pPr>
              <w:spacing w:after="40"/>
            </w:pPr>
            <w:r>
              <w:rPr>
                <w:b/>
              </w:rPr>
              <w:t>Source</w:t>
            </w:r>
          </w:p>
        </w:tc>
        <w:tc>
          <w:tcPr>
            <w:tcW w:type="dxa" w:w="2835"/>
          </w:tcPr>
          <w:p>
            <w:pPr>
              <w:spacing w:after="40"/>
            </w:pPr>
            <w:r>
              <w:rPr>
                <w:b/>
              </w:rPr>
              <w:t>Validation Metric</w:t>
            </w:r>
          </w:p>
        </w:tc>
      </w:tr>
      <w:tr>
        <w:tc>
          <w:tcPr>
            <w:tcW w:type="dxa" w:w="3402"/>
          </w:tcPr>
          <w:p>
            <w:pPr>
              <w:spacing w:after="40"/>
            </w:pPr>
            <w:r>
              <w:t>Saliency Map (2D, spatial attention)</w:t>
            </w:r>
          </w:p>
        </w:tc>
        <w:tc>
          <w:tcPr>
            <w:tcW w:type="dxa" w:w="3118"/>
          </w:tcPr>
          <w:p>
            <w:pPr>
              <w:spacing w:after="40"/>
            </w:pPr>
            <w:r>
              <w:t>UMSI — pre-trained, zero-shot</w:t>
            </w:r>
          </w:p>
        </w:tc>
        <w:tc>
          <w:tcPr>
            <w:tcW w:type="dxa" w:w="2835"/>
          </w:tcPr>
          <w:p>
            <w:pPr>
              <w:spacing w:after="40"/>
            </w:pPr>
            <w:r>
              <w:t>AUC-Judd, NSS, SIM, CC (domain transfer)</w:t>
            </w:r>
          </w:p>
        </w:tc>
      </w:tr>
      <w:tr>
        <w:tc>
          <w:tcPr>
            <w:tcW w:type="dxa" w:w="3402"/>
          </w:tcPr>
          <w:p>
            <w:pPr>
              <w:spacing w:after="40"/>
            </w:pPr>
            <w:r>
              <w:t>Search Efficiency + Attention Demand (scalars)</w:t>
            </w:r>
          </w:p>
        </w:tc>
        <w:tc>
          <w:tcPr>
            <w:tcW w:type="dxa" w:w="3118"/>
          </w:tcPr>
          <w:p>
            <w:pPr>
              <w:spacing w:after="40"/>
            </w:pPr>
            <w:r>
              <w:t>Stage 2 regression — newly trained</w:t>
            </w:r>
          </w:p>
        </w:tc>
        <w:tc>
          <w:tcPr>
            <w:tcW w:type="dxa" w:w="2835"/>
          </w:tcPr>
          <w:p>
            <w:pPr>
              <w:spacing w:after="40"/>
            </w:pPr>
            <w:r>
              <w:t>Correlation with eye-tracking AOI metrics</w:t>
            </w:r>
          </w:p>
        </w:tc>
      </w:tr>
      <w:tr>
        <w:tc>
          <w:tcPr>
            <w:tcW w:type="dxa" w:w="3402"/>
          </w:tcPr>
          <w:p>
            <w:pPr>
              <w:spacing w:after="40"/>
            </w:pPr>
            <w:r>
              <w:t>Cognitive Load Index (0–100)</w:t>
            </w:r>
          </w:p>
        </w:tc>
        <w:tc>
          <w:tcPr>
            <w:tcW w:type="dxa" w:w="3118"/>
          </w:tcPr>
          <w:p>
            <w:pPr>
              <w:spacing w:after="40"/>
            </w:pPr>
            <w:r>
              <w:t>Stage 2 regression — newly trained</w:t>
            </w:r>
          </w:p>
        </w:tc>
        <w:tc>
          <w:tcPr>
            <w:tcW w:type="dxa" w:w="2835"/>
          </w:tcPr>
          <w:p>
            <w:pPr>
              <w:spacing w:after="40"/>
            </w:pPr>
            <w:r>
              <w:t>Correlation with NASA-TLX</w:t>
            </w:r>
          </w:p>
        </w:tc>
      </w:tr>
    </w:tbl>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 Exploratory,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on real data, baseline comparisons (B1–B3)</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