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jc w:val="left"/>
      </w:pPr>
      <w:r>
        <w:rPr>
          <w:rFonts w:ascii="Calibri" w:cs="Calibri" w:eastAsia="Calibri" w:hAnsi="Calibri"/>
          <w:b/>
          <w:bCs/>
          <w:color w:val="1a5fa8"/>
          <w:sz w:val="64"/>
          <w:szCs w:val="64"/>
        </w:rPr>
        <w:t xml:space="preserve">NEMO Fase II v3</w:t>
      </w:r>
    </w:p>
    <w:p>
      <w:pPr>
        <w:spacing w:after="320"/>
        <w:jc w:val="left"/>
      </w:pPr>
      <w:r>
        <w:rPr>
          <w:rFonts w:ascii="Calibri" w:cs="Calibri" w:eastAsia="Calibri" w:hAnsi="Calibri"/>
          <w:color w:val="56554e"/>
          <w:sz w:val="32"/>
          <w:szCs w:val="32"/>
        </w:rPr>
        <w:t xml:space="preserve">Bayesiansk estimert NY-keynesiansk DSGE-modell for norsk åpen økonomi</w:t>
      </w:r>
    </w:p>
    <w:p>
      <w:pPr>
        <w:pBdr>
          <w:bottom w:val="single" w:color="1a5fa8" w:sz="4" w:space="1"/>
        </w:pBdr>
        <w:spacing w:after="160"/>
      </w:pPr>
      <w:r>
        <w:t xml:space="preserve"/>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Rapport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Teknisk dokumentasjon — Fase II</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Versjon</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3.0 (endelig)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Dato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April 2026</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Referansemodell</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Kravik &amp; Mimir (2019), Staff Memo 5/2019</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Metode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Bayesiansk MH-MCMC estimering</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Programvare</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Python (NumPy, SciPy, Pandas) — open source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Status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Fase II fullført</w:t>
            </w:r>
          </w:p>
        </w:tc>
      </w:tr>
    </w:tbl>
    <w:p>
      <w:pPr>
        <w:spacing w:after="400"/>
      </w:pPr>
      <w:r>
        <w:t xml:space="preserve"/>
      </w:r>
    </w:p>
    <w:p>
      <w:pPr>
        <w:spacing w:after="120"/>
        <w:jc w:val="both"/>
      </w:pPr>
      <w:r>
        <w:t xml:space="preserve">Dette dokumentet gir en fullstendig teknisk fremstilling av NEMO Fase II v3 — en estimert ny-keynesiansk DSGE-modell for norsk åpen økonomi. Dokumentet dekker modellstruktur og likningssystem, datagrunnlag og transformasjoner, estimeringsmetodikk og resultater, impulsresponsanalyse, og et interaktivt HTML-dashbord for analyse og presentasjon.</w:t>
      </w:r>
    </w:p>
    <w:p>
      <w:r>
        <w:br w:type="page"/>
      </w:r>
    </w:p>
    <w:p>
      <w:pPr>
        <w:pStyle w:val="Heading1"/>
        <w:spacing w:after="120" w:before="360"/>
      </w:pPr>
      <w:r>
        <w:rPr>
          <w:b/>
          <w:bCs/>
        </w:rPr>
        <w:t xml:space="preserve">Innholdsfortegnelse</w:t>
      </w:r>
    </w:p>
    <w:p>
      <w:pPr>
        <w:tabs>
          <w:tab w:val="right" w:pos="9026"/>
        </w:tabs>
        <w:spacing w:after="60"/>
      </w:pPr>
      <w:r>
        <w:rPr>
          <w:sz w:val="22"/>
          <w:szCs w:val="22"/>
        </w:rPr>
        <w:t xml:space="preserve">1  Introduksjon og oversikt</w:t>
      </w:r>
      <w:r>
        <w:t xml:space="preserve">3</w:t>
      </w:r>
    </w:p>
    <w:p>
      <w:pPr>
        <w:tabs>
          <w:tab w:val="right" w:pos="9026"/>
        </w:tabs>
        <w:spacing w:after="60"/>
      </w:pPr>
      <w:r>
        <w:rPr>
          <w:sz w:val="22"/>
          <w:szCs w:val="22"/>
        </w:rPr>
        <w:t xml:space="preserve">2  Modellstruktur</w:t>
      </w:r>
      <w:r>
        <w:t xml:space="preserve">4</w:t>
      </w:r>
    </w:p>
    <w:p>
      <w:pPr>
        <w:tabs>
          <w:tab w:val="right" w:pos="9026"/>
        </w:tabs>
        <w:spacing w:after="60"/>
      </w:pPr>
      <w:r>
        <w:rPr>
          <w:sz w:val="22"/>
          <w:szCs w:val="22"/>
        </w:rPr>
        <w:t xml:space="preserve">  2.1  Sektorer og forenklinger</w:t>
      </w:r>
      <w:r>
        <w:t xml:space="preserve">4</w:t>
      </w:r>
    </w:p>
    <w:p>
      <w:pPr>
        <w:tabs>
          <w:tab w:val="right" w:pos="9026"/>
        </w:tabs>
        <w:spacing w:after="60"/>
      </w:pPr>
      <w:r>
        <w:rPr>
          <w:sz w:val="22"/>
          <w:szCs w:val="22"/>
        </w:rPr>
        <w:t xml:space="preserve">  2.2  Husholdninger</w:t>
      </w:r>
      <w:r>
        <w:t xml:space="preserve">4</w:t>
      </w:r>
    </w:p>
    <w:p>
      <w:pPr>
        <w:tabs>
          <w:tab w:val="right" w:pos="9026"/>
        </w:tabs>
        <w:spacing w:after="60"/>
      </w:pPr>
      <w:r>
        <w:rPr>
          <w:sz w:val="22"/>
          <w:szCs w:val="22"/>
        </w:rPr>
        <w:t xml:space="preserve">  2.3  Produksjon og prissetting</w:t>
      </w:r>
      <w:r>
        <w:t xml:space="preserve">5</w:t>
      </w:r>
    </w:p>
    <w:p>
      <w:pPr>
        <w:tabs>
          <w:tab w:val="right" w:pos="9026"/>
        </w:tabs>
        <w:spacing w:after="60"/>
      </w:pPr>
      <w:r>
        <w:rPr>
          <w:sz w:val="22"/>
          <w:szCs w:val="22"/>
        </w:rPr>
        <w:t xml:space="preserve">  2.4  Boligsektor</w:t>
      </w:r>
      <w:r>
        <w:t xml:space="preserve">5</w:t>
      </w:r>
    </w:p>
    <w:p>
      <w:pPr>
        <w:tabs>
          <w:tab w:val="right" w:pos="9026"/>
        </w:tabs>
        <w:spacing w:after="60"/>
      </w:pPr>
      <w:r>
        <w:rPr>
          <w:sz w:val="22"/>
          <w:szCs w:val="22"/>
        </w:rPr>
        <w:t xml:space="preserve">  2.5  Finansiell sektor</w:t>
      </w:r>
      <w:r>
        <w:t xml:space="preserve">6</w:t>
      </w:r>
    </w:p>
    <w:p>
      <w:pPr>
        <w:tabs>
          <w:tab w:val="right" w:pos="9026"/>
        </w:tabs>
        <w:spacing w:after="60"/>
      </w:pPr>
      <w:r>
        <w:rPr>
          <w:sz w:val="22"/>
          <w:szCs w:val="22"/>
        </w:rPr>
        <w:t xml:space="preserve">  2.6  Utenlandssektor og valutakurs</w:t>
      </w:r>
      <w:r>
        <w:t xml:space="preserve">6</w:t>
      </w:r>
    </w:p>
    <w:p>
      <w:pPr>
        <w:tabs>
          <w:tab w:val="right" w:pos="9026"/>
        </w:tabs>
        <w:spacing w:after="60"/>
      </w:pPr>
      <w:r>
        <w:rPr>
          <w:sz w:val="22"/>
          <w:szCs w:val="22"/>
        </w:rPr>
        <w:t xml:space="preserve">  2.7  Pengepolitisk regel</w:t>
      </w:r>
      <w:r>
        <w:t xml:space="preserve">7</w:t>
      </w:r>
    </w:p>
    <w:p>
      <w:pPr>
        <w:tabs>
          <w:tab w:val="right" w:pos="9026"/>
        </w:tabs>
        <w:spacing w:after="60"/>
      </w:pPr>
      <w:r>
        <w:rPr>
          <w:sz w:val="22"/>
          <w:szCs w:val="22"/>
        </w:rPr>
        <w:t xml:space="preserve">  2.8  Markedsklarering</w:t>
      </w:r>
      <w:r>
        <w:t xml:space="preserve">7</w:t>
      </w:r>
    </w:p>
    <w:p>
      <w:pPr>
        <w:tabs>
          <w:tab w:val="right" w:pos="9026"/>
        </w:tabs>
        <w:spacing w:after="60"/>
      </w:pPr>
      <w:r>
        <w:rPr>
          <w:sz w:val="22"/>
          <w:szCs w:val="22"/>
        </w:rPr>
        <w:t xml:space="preserve">  2.9  Sjokkprosesser</w:t>
      </w:r>
      <w:r>
        <w:t xml:space="preserve">8</w:t>
      </w:r>
    </w:p>
    <w:p>
      <w:pPr>
        <w:tabs>
          <w:tab w:val="right" w:pos="9026"/>
        </w:tabs>
        <w:spacing w:after="60"/>
      </w:pPr>
      <w:r>
        <w:rPr>
          <w:sz w:val="22"/>
          <w:szCs w:val="22"/>
        </w:rPr>
        <w:t xml:space="preserve">3  Løsning av modellen</w:t>
      </w:r>
      <w:r>
        <w:t xml:space="preserve">8</w:t>
      </w:r>
    </w:p>
    <w:p>
      <w:pPr>
        <w:tabs>
          <w:tab w:val="right" w:pos="9026"/>
        </w:tabs>
        <w:spacing w:after="60"/>
      </w:pPr>
      <w:r>
        <w:rPr>
          <w:sz w:val="22"/>
          <w:szCs w:val="22"/>
        </w:rPr>
        <w:t xml:space="preserve">4  Datagrunnlag</w:t>
      </w:r>
      <w:r>
        <w:t xml:space="preserve">9</w:t>
      </w:r>
    </w:p>
    <w:p>
      <w:pPr>
        <w:tabs>
          <w:tab w:val="right" w:pos="9026"/>
        </w:tabs>
        <w:spacing w:after="60"/>
      </w:pPr>
      <w:r>
        <w:rPr>
          <w:sz w:val="22"/>
          <w:szCs w:val="22"/>
        </w:rPr>
        <w:t xml:space="preserve">  4.1  Observerte variabler</w:t>
      </w:r>
      <w:r>
        <w:t xml:space="preserve">9</w:t>
      </w:r>
    </w:p>
    <w:p>
      <w:pPr>
        <w:tabs>
          <w:tab w:val="right" w:pos="9026"/>
        </w:tabs>
        <w:spacing w:after="60"/>
      </w:pPr>
      <w:r>
        <w:rPr>
          <w:sz w:val="22"/>
          <w:szCs w:val="22"/>
        </w:rPr>
        <w:t xml:space="preserve">  4.2  Datakilder og transformasjoner</w:t>
      </w:r>
      <w:r>
        <w:t xml:space="preserve">9</w:t>
      </w:r>
    </w:p>
    <w:p>
      <w:pPr>
        <w:tabs>
          <w:tab w:val="right" w:pos="9026"/>
        </w:tabs>
        <w:spacing w:after="60"/>
      </w:pPr>
      <w:r>
        <w:rPr>
          <w:sz w:val="22"/>
          <w:szCs w:val="22"/>
        </w:rPr>
        <w:t xml:space="preserve">  4.3  COVID-hull</w:t>
      </w:r>
      <w:r>
        <w:t xml:space="preserve">10</w:t>
      </w:r>
    </w:p>
    <w:p>
      <w:pPr>
        <w:tabs>
          <w:tab w:val="right" w:pos="9026"/>
        </w:tabs>
        <w:spacing w:after="60"/>
      </w:pPr>
      <w:r>
        <w:rPr>
          <w:sz w:val="22"/>
          <w:szCs w:val="22"/>
        </w:rPr>
        <w:t xml:space="preserve">5  Estimeringsmetodikk</w:t>
      </w:r>
      <w:r>
        <w:t xml:space="preserve">10</w:t>
      </w:r>
    </w:p>
    <w:p>
      <w:pPr>
        <w:tabs>
          <w:tab w:val="right" w:pos="9026"/>
        </w:tabs>
        <w:spacing w:after="60"/>
      </w:pPr>
      <w:r>
        <w:rPr>
          <w:sz w:val="22"/>
          <w:szCs w:val="22"/>
        </w:rPr>
        <w:t xml:space="preserve">  5.1  Bayesiansk estimering</w:t>
      </w:r>
      <w:r>
        <w:t xml:space="preserve">10</w:t>
      </w:r>
    </w:p>
    <w:p>
      <w:pPr>
        <w:tabs>
          <w:tab w:val="right" w:pos="9026"/>
        </w:tabs>
        <w:spacing w:after="60"/>
      </w:pPr>
      <w:r>
        <w:rPr>
          <w:sz w:val="22"/>
          <w:szCs w:val="22"/>
        </w:rPr>
        <w:t xml:space="preserve">  5.2  Metropolis-Hastings MCMC</w:t>
      </w:r>
      <w:r>
        <w:t xml:space="preserve">11</w:t>
      </w:r>
    </w:p>
    <w:p>
      <w:pPr>
        <w:tabs>
          <w:tab w:val="right" w:pos="9026"/>
        </w:tabs>
        <w:spacing w:after="60"/>
      </w:pPr>
      <w:r>
        <w:rPr>
          <w:sz w:val="22"/>
          <w:szCs w:val="22"/>
        </w:rPr>
        <w:t xml:space="preserve">  5.3  Prior-spesifikasjon</w:t>
      </w:r>
      <w:r>
        <w:t xml:space="preserve">11</w:t>
      </w:r>
    </w:p>
    <w:p>
      <w:pPr>
        <w:tabs>
          <w:tab w:val="right" w:pos="9026"/>
        </w:tabs>
        <w:spacing w:after="60"/>
      </w:pPr>
      <w:r>
        <w:rPr>
          <w:sz w:val="22"/>
          <w:szCs w:val="22"/>
        </w:rPr>
        <w:t xml:space="preserve">  5.4  Kalman-filter likelihood</w:t>
      </w:r>
      <w:r>
        <w:t xml:space="preserve">12</w:t>
      </w:r>
    </w:p>
    <w:p>
      <w:pPr>
        <w:tabs>
          <w:tab w:val="right" w:pos="9026"/>
        </w:tabs>
        <w:spacing w:after="60"/>
      </w:pPr>
      <w:r>
        <w:rPr>
          <w:sz w:val="22"/>
          <w:szCs w:val="22"/>
        </w:rPr>
        <w:t xml:space="preserve">6  Estimeringsresultater</w:t>
      </w:r>
      <w:r>
        <w:t xml:space="preserve">13</w:t>
      </w:r>
    </w:p>
    <w:p>
      <w:pPr>
        <w:tabs>
          <w:tab w:val="right" w:pos="9026"/>
        </w:tabs>
        <w:spacing w:after="60"/>
      </w:pPr>
      <w:r>
        <w:rPr>
          <w:sz w:val="22"/>
          <w:szCs w:val="22"/>
        </w:rPr>
        <w:t xml:space="preserve">  6.1  Konvergens</w:t>
      </w:r>
      <w:r>
        <w:t xml:space="preserve">13</w:t>
      </w:r>
    </w:p>
    <w:p>
      <w:pPr>
        <w:tabs>
          <w:tab w:val="right" w:pos="9026"/>
        </w:tabs>
        <w:spacing w:after="60"/>
      </w:pPr>
      <w:r>
        <w:rPr>
          <w:sz w:val="22"/>
          <w:szCs w:val="22"/>
        </w:rPr>
        <w:t xml:space="preserve">  6.2  Posterior-oppsummering</w:t>
      </w:r>
      <w:r>
        <w:t xml:space="preserve">13</w:t>
      </w:r>
    </w:p>
    <w:p>
      <w:pPr>
        <w:tabs>
          <w:tab w:val="right" w:pos="9026"/>
        </w:tabs>
        <w:spacing w:after="60"/>
      </w:pPr>
      <w:r>
        <w:rPr>
          <w:sz w:val="22"/>
          <w:szCs w:val="22"/>
        </w:rPr>
        <w:t xml:space="preserve">  6.3  Faglig tolkning</w:t>
      </w:r>
      <w:r>
        <w:t xml:space="preserve">14</w:t>
      </w:r>
    </w:p>
    <w:p>
      <w:pPr>
        <w:tabs>
          <w:tab w:val="right" w:pos="9026"/>
        </w:tabs>
        <w:spacing w:after="60"/>
      </w:pPr>
      <w:r>
        <w:rPr>
          <w:sz w:val="22"/>
          <w:szCs w:val="22"/>
        </w:rPr>
        <w:t xml:space="preserve">7  Impulsresponsanalyse</w:t>
      </w:r>
      <w:r>
        <w:t xml:space="preserve">15</w:t>
      </w:r>
    </w:p>
    <w:p>
      <w:pPr>
        <w:tabs>
          <w:tab w:val="right" w:pos="9026"/>
        </w:tabs>
        <w:spacing w:after="60"/>
      </w:pPr>
      <w:r>
        <w:rPr>
          <w:sz w:val="22"/>
          <w:szCs w:val="22"/>
        </w:rPr>
        <w:t xml:space="preserve">8  Forecast Error Variance Decomposition</w:t>
      </w:r>
      <w:r>
        <w:t xml:space="preserve">16</w:t>
      </w:r>
    </w:p>
    <w:p>
      <w:pPr>
        <w:tabs>
          <w:tab w:val="right" w:pos="9026"/>
        </w:tabs>
        <w:spacing w:after="60"/>
      </w:pPr>
      <w:r>
        <w:rPr>
          <w:sz w:val="22"/>
          <w:szCs w:val="22"/>
        </w:rPr>
        <w:t xml:space="preserve">9  Historisk dekomposisjon</w:t>
      </w:r>
      <w:r>
        <w:t xml:space="preserve">17</w:t>
      </w:r>
    </w:p>
    <w:p>
      <w:pPr>
        <w:tabs>
          <w:tab w:val="right" w:pos="9026"/>
        </w:tabs>
        <w:spacing w:after="60"/>
      </w:pPr>
      <w:r>
        <w:rPr>
          <w:sz w:val="22"/>
          <w:szCs w:val="22"/>
        </w:rPr>
        <w:t xml:space="preserve">10  Rentebane og fremskrivning</w:t>
      </w:r>
      <w:r>
        <w:t xml:space="preserve">17</w:t>
      </w:r>
    </w:p>
    <w:p>
      <w:pPr>
        <w:tabs>
          <w:tab w:val="right" w:pos="9026"/>
        </w:tabs>
        <w:spacing w:after="60"/>
      </w:pPr>
      <w:r>
        <w:rPr>
          <w:sz w:val="22"/>
          <w:szCs w:val="22"/>
        </w:rPr>
        <w:t xml:space="preserve">11  Dashbord og visualisering</w:t>
      </w:r>
      <w:r>
        <w:t xml:space="preserve">18</w:t>
      </w:r>
    </w:p>
    <w:p>
      <w:pPr>
        <w:tabs>
          <w:tab w:val="right" w:pos="9026"/>
        </w:tabs>
        <w:spacing w:after="60"/>
      </w:pPr>
      <w:r>
        <w:rPr>
          <w:sz w:val="22"/>
          <w:szCs w:val="22"/>
        </w:rPr>
        <w:t xml:space="preserve">12  Begrensninger og videre arbeid</w:t>
      </w:r>
      <w:r>
        <w:t xml:space="preserve">19</w:t>
      </w:r>
    </w:p>
    <w:p>
      <w:pPr>
        <w:tabs>
          <w:tab w:val="right" w:pos="9026"/>
        </w:tabs>
        <w:spacing w:after="60"/>
      </w:pPr>
      <w:r>
        <w:rPr>
          <w:sz w:val="22"/>
          <w:szCs w:val="22"/>
        </w:rPr>
        <w:t xml:space="preserve">Referanser  </w:t>
      </w:r>
      <w:r>
        <w:t xml:space="preserve">20</w:t>
      </w:r>
    </w:p>
    <w:p>
      <w:r>
        <w:br w:type="page"/>
      </w:r>
    </w:p>
    <w:p>
      <w:pPr>
        <w:pStyle w:val="Heading1"/>
        <w:spacing w:after="120" w:before="360"/>
      </w:pPr>
      <w:r>
        <w:rPr>
          <w:b/>
          <w:bCs/>
        </w:rPr>
        <w:t xml:space="preserve">1  Introduksjon og oversikt</w:t>
      </w:r>
    </w:p>
    <w:p>
      <w:pPr>
        <w:spacing w:after="120"/>
        <w:jc w:val="both"/>
      </w:pPr>
      <w:r>
        <w:t xml:space="preserve">NEMO Fase II v3 er en bayesiansk estimert ny-keynesiansk DSGE-modell (Dynamic Stochastic General Equilibrium) for norsk åpen økonomi. Modellen er bygget over Kravik og Mimir (2019), Norges Banks NEMO-rammeverk (Norwegian Economy MOdel), og estimert på norske kvartalsvise data 2001K2–2025K3 med et COVID-hull for perioden 2020K1–2021K4.</w:t>
      </w:r>
    </w:p>
    <w:p>
      <w:pPr>
        <w:spacing w:after="120"/>
        <w:jc w:val="both"/>
      </w:pPr>
      <w:r>
        <w:t xml:space="preserve">Modellen er utviklet i to faser. Fase I etablerte en forenklet pedagogisk kjernemodell med 17 tilstandsvariable og 7 sjokk. Fase II utvidet modellen til 48 tilstandsvariable og 13 sjokk, inkluderte en boligblokk, finansiell sektor med heterogene husholdninger, og gjennomførte fullstendig bayesiansk estimering via Metropolis-Hastings MCMC.</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Egenskap</w:t>
            </w:r>
          </w:p>
        </w:tc>
        <w:tc>
          <w:tcPr>
            <w:tcW w:type="dxa" w:w="3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Fase I</w:t>
            </w:r>
          </w:p>
        </w:tc>
        <w:tc>
          <w:tcPr>
            <w:tcW w:type="dxa" w:w="30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Fase II v3</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Tilstandsvariable</w:t>
            </w:r>
          </w:p>
        </w:tc>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17</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48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Strukturelle sjokk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13</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Observerte variabler</w:t>
            </w:r>
          </w:p>
        </w:tc>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Boligsektor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Nei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Ja</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Finansiell sektor</w:t>
            </w:r>
          </w:p>
        </w:tc>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Nei</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(heterogene husholdninger)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Estimering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Kalibrert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Bayesiansk MH-MCMC</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COVID-håndtering</w:t>
            </w:r>
          </w:p>
        </w:tc>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Hull 2020K1–2021K4</w:t>
            </w:r>
          </w:p>
        </w:tc>
      </w:tr>
    </w:tbl>
    <w:p>
      <w:pPr>
        <w:spacing w:after="160"/>
      </w:pPr>
      <w:r>
        <w:t xml:space="preserve"/>
      </w:r>
    </w:p>
    <w:p>
      <w:pPr>
        <w:spacing w:after="120"/>
        <w:jc w:val="both"/>
      </w:pPr>
      <w:r>
        <w:t xml:space="preserve">Formålet med modellen er å analysere pengepolitiske transmisjonsmekanismer, identifisere historiske sjokk-bidrag til norsk økonomi, og produsere betingede fremskrivninger av rente, inflasjon og BNP-vekst. Modellen er ikke ment som en offisiell prognosetabell.</w:t>
      </w:r>
    </w:p>
    <w:p>
      <w:r>
        <w:br w:type="page"/>
      </w:r>
    </w:p>
    <w:p>
      <w:pPr>
        <w:pStyle w:val="Heading1"/>
        <w:spacing w:after="120" w:before="360"/>
      </w:pPr>
      <w:r>
        <w:rPr>
          <w:b/>
          <w:bCs/>
        </w:rPr>
        <w:t xml:space="preserve">2  Modellstruktur</w:t>
      </w:r>
    </w:p>
    <w:p>
      <w:pPr>
        <w:spacing w:after="120"/>
        <w:jc w:val="both"/>
      </w:pPr>
      <w:r>
        <w:t xml:space="preserve">Alle variable i log-linearisert form representerer prosentvise log-avvik fra deterministisk steady state: x̂_t = log(X_t) − log(X_ss). Modellen er løst i første ordens perturbation rundt en deterministisk steady state.</w:t>
      </w:r>
    </w:p>
    <w:p>
      <w:pPr>
        <w:pStyle w:val="Heading2"/>
        <w:spacing w:after="80" w:before="240"/>
      </w:pPr>
      <w:r>
        <w:t xml:space="preserve">2.1  Sektorer og forenklinger fra NEMO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Sektor</w:t>
            </w:r>
          </w:p>
        </w:tc>
        <w:tc>
          <w:tcPr>
            <w:tcW w:type="dxa" w:w="1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Inkludert</w:t>
            </w:r>
          </w:p>
        </w:tc>
        <w:tc>
          <w:tcPr>
            <w:tcW w:type="dxa" w:w="37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Merknad</w:t>
            </w:r>
          </w:p>
        </w:tc>
      </w:tr>
      <w:tr>
        <w:trPr>
          <w:tblHeader w:val="false"/>
        </w:trPr>
        <w:tc>
          <w:tcPr>
            <w:tcW w:type="dxa" w:w="3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Husholdninger (sparere og låntakere)</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(fullt)</w:t>
            </w:r>
          </w:p>
        </w:tc>
        <w:tc>
          <w:tcPr>
            <w:tcW w:type="dxa" w:w="37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Heterogene — Gerali et al. (2010)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Mellomvareprodusenter (Rotemberg)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Ja (fullt)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φ_PQ = 669</w:t>
            </w:r>
          </w:p>
        </w:tc>
      </w:tr>
      <w:tr>
        <w:trPr>
          <w:tblHeader w:val="false"/>
        </w:trPr>
        <w:tc>
          <w:tcPr>
            <w:tcW w:type="dxa" w:w="3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Sluttvareprodusenter (CES)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(fullt)</w:t>
            </w:r>
          </w:p>
        </w:tc>
        <w:tc>
          <w:tcPr>
            <w:tcW w:type="dxa" w:w="37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Kapital og investering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Justeringskostnader φ_I1=12.54, φ_I2=165.66</w:t>
            </w:r>
          </w:p>
        </w:tc>
      </w:tr>
      <w:tr>
        <w:trPr>
          <w:tblHeader w:val="false"/>
        </w:trPr>
        <w:tc>
          <w:tcPr>
            <w:tcW w:type="dxa" w:w="3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Boligsektor (Tobin Q)</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(ny i v3)</w:t>
            </w:r>
          </w:p>
        </w:tc>
        <w:tc>
          <w:tcPr>
            <w:tcW w:type="dxa" w:w="37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θ_H=0.05, Gelain et al. (2018)</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Banksektor (spreads)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Forenklet — LIBOR-spread mekanisme</w:t>
            </w:r>
          </w:p>
        </w:tc>
      </w:tr>
      <w:tr>
        <w:trPr>
          <w:tblHeader w:val="false"/>
        </w:trPr>
        <w:tc>
          <w:tcPr>
            <w:tcW w:type="dxa" w:w="3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Oljesektor</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(forenklet)</w:t>
            </w:r>
          </w:p>
        </w:tc>
        <w:tc>
          <w:tcPr>
            <w:tcW w:type="dxa" w:w="37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Eksogen oljepris AR(1)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Utenlandssektor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Ja (fullt)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UIP, eksportelastistiteter</w:t>
            </w:r>
          </w:p>
        </w:tc>
      </w:tr>
      <w:tr>
        <w:trPr>
          <w:tblHeader w:val="false"/>
        </w:trPr>
        <w:tc>
          <w:tcPr>
            <w:tcW w:type="dxa" w:w="35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Pengepolitikk</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Ja (fullt)</w:t>
            </w:r>
          </w:p>
        </w:tc>
        <w:tc>
          <w:tcPr>
            <w:tcW w:type="dxa" w:w="37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Mimicking rule (Taylors regel)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Fiskal sektor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Forenklet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Handlingsregel — transfer til husholdninger</w:t>
            </w:r>
          </w:p>
        </w:tc>
      </w:tr>
    </w:tbl>
    <w:p>
      <w:pPr>
        <w:pStyle w:val="Heading2"/>
        <w:spacing w:after="80" w:before="240"/>
      </w:pPr>
      <w:r>
        <w:t xml:space="preserve">2.2  Husholdninger</w:t>
      </w:r>
    </w:p>
    <w:p>
      <w:pPr>
        <w:spacing w:after="120"/>
        <w:jc w:val="both"/>
      </w:pPr>
      <w:r>
        <w:t xml:space="preserve">Modellen har to typer husholdninger: sparere (W) som har tilgang til finansmarkedene, og låntakere (NW) som er begrenset av en LTV-betingelse (Loan-to-Value). Andelen låntakere er ω = 0.35.</w:t>
      </w:r>
    </w:p>
    <w:p>
      <w:pPr>
        <w:pStyle w:val="Heading3"/>
        <w:spacing w:after="60" w:before="160"/>
      </w:pPr>
      <w:r>
        <w:t xml:space="preserve">Spareres Euler-likning</w:t>
      </w:r>
    </w:p>
    <w:p>
      <w:pPr>
        <w:spacing w:after="80" w:before="80"/>
        <w:ind w:left="720"/>
      </w:pPr>
      <w:r>
        <w:rPr>
          <w:rFonts w:ascii="Courier New" w:cs="Courier New" w:eastAsia="Courier New" w:hAnsi="Courier New"/>
          <w:i w:val="false"/>
          <w:iCs w:val="false"/>
          <w:sz w:val="20"/>
          <w:szCs w:val="20"/>
        </w:rPr>
        <w:t xml:space="preserve">ĉ_W,t = h_c·ĉ_W,t−1/(1+h_c) + E_t[ĉ_W,t+1]/(1+h_c) − [(1−h_c)/((1+h_c)·σ)]·(î_D,t − E_t[π̂_t+1])</w:t>
      </w:r>
    </w:p>
    <w:p>
      <w:pPr>
        <w:spacing w:after="120"/>
        <w:jc w:val="both"/>
      </w:pPr>
      <w:r>
        <w:t xml:space="preserve">der h_c = 0.989 (estimert habitpersistens), σ = 2.0 (risikoaversjon, kalibrert), î_D,t = innskuddsrente (log-avvik).</w:t>
      </w:r>
    </w:p>
    <w:p>
      <w:pPr>
        <w:pStyle w:val="Heading3"/>
        <w:spacing w:after="60" w:before="160"/>
      </w:pPr>
      <w:r>
        <w:t xml:space="preserve">Låntakeres budsjettbetingelse og kollateral</w:t>
      </w:r>
    </w:p>
    <w:p>
      <w:pPr>
        <w:spacing w:after="80" w:before="80"/>
        <w:ind w:left="720"/>
      </w:pPr>
      <w:r>
        <w:rPr>
          <w:rFonts w:ascii="Courier New" w:cs="Courier New" w:eastAsia="Courier New" w:hAnsi="Courier New"/>
          <w:i w:val="false"/>
          <w:iCs w:val="false"/>
          <w:sz w:val="20"/>
          <w:szCs w:val="20"/>
        </w:rPr>
        <w:t xml:space="preserve">ĉ_NW,t = (1−m_H)·(ŵ_t + l̂_t) − m_H·î_L,t + m_H·b̂_NW,t</w:t>
      </w:r>
    </w:p>
    <w:p>
      <w:pPr>
        <w:spacing w:after="80" w:before="80"/>
        <w:ind w:left="720"/>
      </w:pPr>
      <w:r>
        <w:rPr>
          <w:rFonts w:ascii="Courier New" w:cs="Courier New" w:eastAsia="Courier New" w:hAnsi="Courier New"/>
          <w:i w:val="false"/>
          <w:iCs w:val="false"/>
          <w:sz w:val="20"/>
          <w:szCs w:val="20"/>
        </w:rPr>
        <w:t xml:space="preserve">b̂_NW,t ≤ m_H·(q̂_H,t + ĥ_NW,t)   [bindende kollateralbetingelse]</w:t>
      </w:r>
    </w:p>
    <w:p>
      <w:pPr>
        <w:spacing w:after="120"/>
        <w:jc w:val="both"/>
      </w:pPr>
      <w:r>
        <w:t xml:space="preserve">der m_H = 0.80 (LTV-grense, kalibrert), ŵ_t = reallønnsindeks, l̂_t = sysselsetting.</w:t>
      </w:r>
    </w:p>
    <w:p>
      <w:pPr>
        <w:pStyle w:val="Heading2"/>
        <w:spacing w:after="80" w:before="240"/>
      </w:pPr>
      <w:r>
        <w:t xml:space="preserve">2.3  Produksjon og prissetting</w:t>
      </w:r>
    </w:p>
    <w:p>
      <w:pPr>
        <w:pStyle w:val="Heading3"/>
        <w:spacing w:after="60" w:before="160"/>
      </w:pPr>
      <w:r>
        <w:t xml:space="preserve">Produktfunksjon</w:t>
      </w:r>
    </w:p>
    <w:p>
      <w:pPr>
        <w:spacing w:after="80" w:before="80"/>
        <w:ind w:left="720"/>
      </w:pPr>
      <w:r>
        <w:rPr>
          <w:rFonts w:ascii="Courier New" w:cs="Courier New" w:eastAsia="Courier New" w:hAnsi="Courier New"/>
          <w:i w:val="false"/>
          <w:iCs w:val="false"/>
          <w:sz w:val="20"/>
          <w:szCs w:val="20"/>
        </w:rPr>
        <w:t xml:space="preserve">ŷ_t = â_t + α_K·k̂_t−1 + (1−α_K)·l̂_t</w:t>
      </w:r>
    </w:p>
    <w:p>
      <w:pPr>
        <w:spacing w:after="120"/>
        <w:jc w:val="both"/>
      </w:pPr>
      <w:r>
        <w:t xml:space="preserve">der α_K = 0.256 (kapitalandel, kalibrert), â_t = TFP-sjokk (AR(1)).</w:t>
      </w:r>
    </w:p>
    <w:p>
      <w:pPr>
        <w:pStyle w:val="Heading3"/>
        <w:spacing w:after="60" w:before="160"/>
      </w:pPr>
      <w:r>
        <w:t xml:space="preserve">NK Phillips-kurve (Rotemberg prisjusteringskostnader)</w:t>
      </w:r>
    </w:p>
    <w:p>
      <w:pPr>
        <w:spacing w:after="80" w:before="80"/>
        <w:ind w:left="720"/>
      </w:pPr>
      <w:r>
        <w:rPr>
          <w:rFonts w:ascii="Courier New" w:cs="Courier New" w:eastAsia="Courier New" w:hAnsi="Courier New"/>
          <w:i w:val="false"/>
          <w:iCs w:val="false"/>
          <w:sz w:val="20"/>
          <w:szCs w:val="20"/>
        </w:rPr>
        <w:t xml:space="preserve">π̂_t = β·E_t[π̂_t+1] + κ_P·m̂c_t + κ_M·(r̂er_t + π̂*_t) + ε_P,t</w:t>
      </w:r>
    </w:p>
    <w:p>
      <w:pPr>
        <w:spacing w:after="120"/>
        <w:jc w:val="both"/>
      </w:pPr>
      <w:r>
        <w:t xml:space="preserve">κ_P = (1−α_M)·(φ_PQ)^(−1) tilsvarer Rotemberg-parameteren φ_PQ = 669. κ_M er importandelen i CPI-indeksen.</w:t>
      </w:r>
    </w:p>
    <w:p>
      <w:pPr>
        <w:pStyle w:val="Heading3"/>
        <w:spacing w:after="60" w:before="160"/>
      </w:pPr>
      <w:r>
        <w:t xml:space="preserve">Kapitalakkumulering og investeringsjusteringskostnader</w:t>
      </w:r>
    </w:p>
    <w:p>
      <w:pPr>
        <w:spacing w:after="80" w:before="80"/>
        <w:ind w:left="720"/>
      </w:pPr>
      <w:r>
        <w:rPr>
          <w:rFonts w:ascii="Courier New" w:cs="Courier New" w:eastAsia="Courier New" w:hAnsi="Courier New"/>
          <w:i w:val="false"/>
          <w:iCs w:val="false"/>
          <w:sz w:val="20"/>
          <w:szCs w:val="20"/>
        </w:rPr>
        <w:t xml:space="preserve">k̂_t = (1−δ)·k̂_t−1 + δ·[1 + φ_I1·(1 + φ_I2·Δq̂_K,t)]·î_nv,t</w:t>
      </w:r>
    </w:p>
    <w:p>
      <w:pPr>
        <w:spacing w:after="120"/>
        <w:jc w:val="both"/>
      </w:pPr>
      <w:r>
        <w:t xml:space="preserve">δ = 0.011 per kvartal. φ_I1 = 12.54, φ_I2 = 165.66 (kalibrert fra K&amp;M 2019).</w:t>
      </w:r>
    </w:p>
    <w:p>
      <w:pPr>
        <w:pStyle w:val="Heading2"/>
        <w:spacing w:after="80" w:before="240"/>
      </w:pPr>
      <w:r>
        <w:t xml:space="preserve">2.4  Boligsektor</w:t>
      </w:r>
    </w:p>
    <w:p>
      <w:pPr>
        <w:spacing w:after="120"/>
        <w:jc w:val="both"/>
      </w:pPr>
      <w:r>
        <w:t xml:space="preserve">Boligblokken er ny i v3 og er implementert som en Tobin Q-likning for boligpris med mean-reversion og et strukturelt boligprissjokk (preferansesjokk):</w:t>
      </w:r>
    </w:p>
    <w:p>
      <w:pPr>
        <w:spacing w:after="80" w:before="80"/>
        <w:ind w:left="720"/>
      </w:pPr>
      <w:r>
        <w:rPr>
          <w:rFonts w:ascii="Courier New" w:cs="Courier New" w:eastAsia="Courier New" w:hAnsi="Courier New"/>
          <w:i w:val="false"/>
          <w:iCs w:val="false"/>
          <w:sz w:val="20"/>
          <w:szCs w:val="20"/>
        </w:rPr>
        <w:t xml:space="preserve">q̂_H,t + (î_D,t − π̂_t) + θ_H·ĥ_W,t = (1−δ_H)·E_t[q̂_H,t+1] − E_t[π̂_t+1] + ε_H,t</w:t>
      </w:r>
    </w:p>
    <w:p>
      <w:pPr>
        <w:spacing w:after="120"/>
        <w:jc w:val="both"/>
      </w:pPr>
      <w:r>
        <w:t xml:space="preserve">der θ_H = 0.05 (mean-reversion parameter, Gelain et al. 2018), δ_H = 0.010 (boligkapitalavskrivning). Boligprissjokket ε_H,t følger AR(1) med estimert ρ_H = 0.801.</w:t>
      </w:r>
    </w:p>
    <w:p>
      <w:pPr>
        <w:spacing w:after="120"/>
        <w:jc w:val="both"/>
      </w:pPr>
      <w:r>
        <w:t xml:space="preserve">Boligpris påvirker låntakernes kollateralbetingelse direkte og skaper en kredittakselerator-kanal: høyere boligpriser øker lånegrunnlaget, stimulerer konsum hos låntakere, og øker BNP.</w:t>
      </w:r>
    </w:p>
    <w:p>
      <w:pPr>
        <w:pStyle w:val="Heading2"/>
        <w:spacing w:after="80" w:before="240"/>
      </w:pPr>
      <w:r>
        <w:t xml:space="preserve">2.5  Finansiell sektor</w:t>
      </w:r>
    </w:p>
    <w:p>
      <w:pPr>
        <w:spacing w:after="120"/>
        <w:jc w:val="both"/>
      </w:pPr>
      <w:r>
        <w:t xml:space="preserve">Bankens innskuddsrente og utlånsrente er bundet til styringsrenten med rentespread-mekanisme inspirert av Gerali et al. (2010):</w:t>
      </w:r>
    </w:p>
    <w:p>
      <w:pPr>
        <w:spacing w:after="80" w:before="80"/>
        <w:ind w:left="720"/>
      </w:pPr>
      <w:r>
        <w:rPr>
          <w:rFonts w:ascii="Courier New" w:cs="Courier New" w:eastAsia="Courier New" w:hAnsi="Courier New"/>
          <w:i w:val="false"/>
          <w:iCs w:val="false"/>
          <w:sz w:val="20"/>
          <w:szCs w:val="20"/>
        </w:rPr>
        <w:t xml:space="preserve">î_D,t = î_R,t − spread_D</w:t>
      </w:r>
    </w:p>
    <w:p>
      <w:pPr>
        <w:spacing w:after="80" w:before="80"/>
        <w:ind w:left="720"/>
      </w:pPr>
      <w:r>
        <w:rPr>
          <w:rFonts w:ascii="Courier New" w:cs="Courier New" w:eastAsia="Courier New" w:hAnsi="Courier New"/>
          <w:i w:val="false"/>
          <w:iCs w:val="false"/>
          <w:sz w:val="20"/>
          <w:szCs w:val="20"/>
        </w:rPr>
        <w:t xml:space="preserve">î_L,NW,t = î_R,t + spread_L</w:t>
      </w:r>
    </w:p>
    <w:p>
      <w:pPr>
        <w:spacing w:after="120"/>
        <w:jc w:val="both"/>
      </w:pPr>
      <w:r>
        <w:t xml:space="preserve">Der spread_D og spread_L styres av bankkapital-dekning. Risikopremiesjokket ε_rp,t (estimert σ_rp = 0.016, ρ_rp = 0.802) kan tolkes som et kombinert sjokk til finansielle vilkår og valutamarkedet.</w:t>
      </w:r>
    </w:p>
    <w:p>
      <w:pPr>
        <w:pStyle w:val="Heading2"/>
        <w:spacing w:after="80" w:before="240"/>
      </w:pPr>
      <w:r>
        <w:t xml:space="preserve">2.6  Utenlandssektor og valutakurs</w:t>
      </w:r>
    </w:p>
    <w:p>
      <w:pPr>
        <w:pStyle w:val="Heading3"/>
        <w:spacing w:after="60" w:before="160"/>
      </w:pPr>
      <w:r>
        <w:t xml:space="preserve">Udekket renteparitet (UIP) med risikopremie</w:t>
      </w:r>
    </w:p>
    <w:p>
      <w:pPr>
        <w:spacing w:after="80" w:before="80"/>
        <w:ind w:left="720"/>
      </w:pPr>
      <w:r>
        <w:rPr>
          <w:rFonts w:ascii="Courier New" w:cs="Courier New" w:eastAsia="Courier New" w:hAnsi="Courier New"/>
          <w:i w:val="false"/>
          <w:iCs w:val="false"/>
          <w:sz w:val="20"/>
          <w:szCs w:val="20"/>
        </w:rPr>
        <w:t xml:space="preserve">E_t[r̂er_t+1] = r̂er_t + (î_D,t − π̂_t) − (î*_t − π̂*_t) + ε_rp,t</w:t>
      </w:r>
    </w:p>
    <w:p>
      <w:pPr>
        <w:spacing w:after="120"/>
        <w:jc w:val="both"/>
      </w:pPr>
      <w:r>
        <w:t xml:space="preserve">Positiv r̂er_t betyr depresiering av NOK. Risikopremiesjokket er den viktigste singlekilden til kortsiktig valutavolatilitet (FEVD-andel ~76% ved h=1).</w:t>
      </w:r>
    </w:p>
    <w:p>
      <w:pPr>
        <w:pStyle w:val="Heading3"/>
        <w:spacing w:after="60" w:before="160"/>
      </w:pPr>
      <w:r>
        <w:t xml:space="preserve">Eksport og import</w:t>
      </w:r>
    </w:p>
    <w:p>
      <w:pPr>
        <w:spacing w:after="80" w:before="80"/>
        <w:ind w:left="720"/>
      </w:pPr>
      <w:r>
        <w:rPr>
          <w:rFonts w:ascii="Courier New" w:cs="Courier New" w:eastAsia="Courier New" w:hAnsi="Courier New"/>
          <w:i w:val="false"/>
          <w:iCs w:val="false"/>
          <w:sz w:val="20"/>
          <w:szCs w:val="20"/>
        </w:rPr>
        <w:t xml:space="preserve">x̂_t = η_X·r̂er_t + ŷ*_t</w:t>
      </w:r>
    </w:p>
    <w:p>
      <w:pPr>
        <w:spacing w:after="80" w:before="80"/>
        <w:ind w:left="720"/>
      </w:pPr>
      <w:r>
        <w:rPr>
          <w:rFonts w:ascii="Courier New" w:cs="Courier New" w:eastAsia="Courier New" w:hAnsi="Courier New"/>
          <w:i w:val="false"/>
          <w:iCs w:val="false"/>
          <w:sz w:val="20"/>
          <w:szCs w:val="20"/>
        </w:rPr>
        <w:t xml:space="preserve">m̂_t = −η_M·(p̂_M,t − p̂_t) + ŷ_D,t</w:t>
      </w:r>
    </w:p>
    <w:p>
      <w:pPr>
        <w:pStyle w:val="Heading2"/>
        <w:spacing w:after="80" w:before="240"/>
      </w:pPr>
      <w:r>
        <w:t xml:space="preserve">2.7  Pengepolitisk regel</w:t>
      </w:r>
    </w:p>
    <w:p>
      <w:pPr>
        <w:spacing w:after="120"/>
        <w:jc w:val="both"/>
      </w:pPr>
      <w:r>
        <w:t xml:space="preserve">Modellen bruker NEMOs mimicking rule, som approksimerer en fremoverskuende tapsminimerende politikk via en tilbakeskuende Taylor-regel:</w:t>
      </w:r>
    </w:p>
    <w:p>
      <w:pPr>
        <w:spacing w:after="80" w:before="80"/>
        <w:ind w:left="720"/>
      </w:pPr>
      <w:r>
        <w:rPr>
          <w:rFonts w:ascii="Courier New" w:cs="Courier New" w:eastAsia="Courier New" w:hAnsi="Courier New"/>
          <w:i w:val="false"/>
          <w:iCs w:val="false"/>
          <w:sz w:val="20"/>
          <w:szCs w:val="20"/>
        </w:rPr>
        <w:t xml:space="preserve">î_R,t = ψ_R·î_R,t−1 + (1−ψ_R)·[ψ_P1·π̂_t + ψ_Y·ŷ_t + ψ_S·r̂er_t] + ε_i,t</w:t>
      </w:r>
    </w:p>
    <w:p>
      <w:pPr>
        <w:spacing w:after="120"/>
        <w:jc w:val="both"/>
      </w:pPr>
      <w:r>
        <w:t xml:space="preserve">Estimerte parametere: ψ_R = 0.960 (renteglatting), ψ_P1 = 0.262 (inflasjonsvekt), ψ_Y = 0.259 (produksjonsvekt). ψ_S = 0.07 (kalibrert).</w:t>
      </w:r>
    </w:p>
    <w:p>
      <w:pPr>
        <w:spacing w:after="120"/>
        <w:jc w:val="both"/>
      </w:pPr>
      <w:r>
        <w:t xml:space="preserve">Merk at ψ_R = 0.960 er høyere enn K&amp;M (2019) sin estimat (0.666). Dette reflekterer Norges Banks gradvise rentehevinger 2022–2024 som fremstår som svært regelbundet med høy glatting i estimeringsdata. Sensitivitetsanalyse for ψ_R er tilgjengelig i dashbordet.</w:t>
      </w:r>
    </w:p>
    <w:p>
      <w:pPr>
        <w:pStyle w:val="Heading2"/>
        <w:spacing w:after="80" w:before="240"/>
      </w:pPr>
      <w:r>
        <w:t xml:space="preserve">2.8  Markedsklarering</w:t>
      </w:r>
    </w:p>
    <w:p>
      <w:pPr>
        <w:spacing w:after="80" w:before="80"/>
        <w:ind w:left="720"/>
      </w:pPr>
      <w:r>
        <w:rPr>
          <w:rFonts w:ascii="Courier New" w:cs="Courier New" w:eastAsia="Courier New" w:hAnsi="Courier New"/>
          <w:i w:val="false"/>
          <w:iCs w:val="false"/>
          <w:sz w:val="20"/>
          <w:szCs w:val="20"/>
        </w:rPr>
        <w:t xml:space="preserve">ŷ_t = (C/Y)·ĉ_t + (I/Y)·î_nv,t + (G/Y)·ĝ_t + (X/Y)·x̂_t − (M/Y)·m̂_t</w:t>
      </w:r>
    </w:p>
    <w:p>
      <w:pPr>
        <w:spacing w:after="120"/>
        <w:jc w:val="both"/>
      </w:pPr>
      <w:r>
        <w:t xml:space="preserve">Steady-state-andeler kalibrert fra nasjonalregnskapsdata (2001–2019 gjennomsnitt): C/Y ≈ 0.54, I/Y ≈ 0.21, G/Y ≈ 0.22, X/Y ≈ 0.41, M/Y ≈ 0.38.</w:t>
      </w:r>
    </w:p>
    <w:p>
      <w:pPr>
        <w:pStyle w:val="Heading2"/>
        <w:spacing w:after="80" w:before="240"/>
      </w:pPr>
      <w:r>
        <w:t xml:space="preserve">2.9  Sjokkprosesser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000"/>
        <w:gridCol w:w="1200"/>
        <w:gridCol w:w="2026"/>
      </w:tblGrid>
      <w:tr>
        <w:trPr>
          <w:tblHeader/>
        </w:trPr>
        <w:tc>
          <w:tcPr>
            <w:tcW w:type="dxa" w:w="2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Sjokk</w:t>
            </w:r>
          </w:p>
        </w:tc>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Variabel</w:t>
            </w:r>
          </w:p>
        </w:tc>
        <w:tc>
          <w:tcPr>
            <w:tcW w:type="dxa" w:w="1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ρ (est.)</w:t>
            </w:r>
          </w:p>
        </w:tc>
        <w:tc>
          <w:tcPr>
            <w:tcW w:type="dxa" w:w="20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σ (est.)</w:t>
            </w:r>
          </w:p>
        </w:tc>
      </w:tr>
      <w:tr>
        <w:trPr>
          <w:tblHeader w:val="false"/>
        </w:trPr>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TFP (â)</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Produktivitet</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0.706</w:t>
            </w:r>
          </w:p>
        </w:tc>
        <w:tc>
          <w:tcPr>
            <w:tcW w:type="dxa" w:w="2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0.006 (fast)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Konsum (ε_C)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Preferanse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0.792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0.0198</w:t>
            </w:r>
          </w:p>
        </w:tc>
      </w:tr>
      <w:tr>
        <w:trPr>
          <w:tblHeader w:val="false"/>
        </w:trPr>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Prismarkup (ε_P)</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Kostnad</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IID</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w:t>
            </w:r>
          </w:p>
        </w:tc>
        <w:tc>
          <w:tcPr>
            <w:tcW w:type="dxa" w:w="2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0.0060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Oljepris (ε_O)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Oljepris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0.386</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0.1059</w:t>
            </w:r>
          </w:p>
        </w:tc>
      </w:tr>
      <w:tr>
        <w:trPr>
          <w:tblHeader w:val="false"/>
        </w:trPr>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Internasjonal ettersp. (ε_Ys)</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Utenlandsk BNP</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0.823</w:t>
            </w:r>
          </w:p>
        </w:tc>
        <w:tc>
          <w:tcPr>
            <w:tcW w:type="dxa" w:w="2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0.0059</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Risikopremie (ε_rp)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Finansielle vilkår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0.802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0.0161</w:t>
            </w:r>
          </w:p>
        </w:tc>
      </w:tr>
      <w:tr>
        <w:trPr>
          <w:tblHeader w:val="false"/>
        </w:trPr>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Pengepolitikk (ε_i)</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Politikkavvik</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IID</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w:t>
            </w:r>
          </w:p>
        </w:tc>
        <w:tc>
          <w:tcPr>
            <w:tcW w:type="dxa" w:w="2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Bolig (ε_H)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Boligpreferanse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AR(1)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0.801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0.0139</w:t>
            </w:r>
          </w:p>
        </w:tc>
      </w:tr>
    </w:tbl>
    <w:p>
      <w:pPr>
        <w:spacing w:after="120"/>
        <w:jc w:val="both"/>
      </w:pPr>
      <w:r>
        <w:t xml:space="preserve">TFP-sjokkets standardavvik er kalibrert fast til K&amp;M (2019)-verdien fordi σ_A er svakt identifisert i data når boligblokken er aktiv. Alle andre sjokk er fritt estimert.</w:t>
      </w:r>
    </w:p>
    <w:p>
      <w:r>
        <w:br w:type="page"/>
      </w:r>
    </w:p>
    <w:p>
      <w:pPr>
        <w:pStyle w:val="Heading1"/>
        <w:spacing w:after="120" w:before="360"/>
      </w:pPr>
      <w:r>
        <w:rPr>
          <w:b/>
          <w:bCs/>
        </w:rPr>
        <w:t xml:space="preserve">3  Løsning av modellen</w:t>
      </w:r>
    </w:p>
    <w:p>
      <w:pPr>
        <w:spacing w:after="120"/>
        <w:jc w:val="both"/>
      </w:pPr>
      <w:r>
        <w:t xml:space="preserve">Modellen er løst i første ordens linearisering ved Blanchard-Kahn-metoden. Systemet skrives på formen:</w:t>
      </w:r>
    </w:p>
    <w:p>
      <w:pPr>
        <w:spacing w:after="80" w:before="80"/>
        <w:ind w:left="720"/>
      </w:pPr>
      <w:r>
        <w:rPr>
          <w:rFonts w:ascii="Courier New" w:cs="Courier New" w:eastAsia="Courier New" w:hAnsi="Courier New"/>
          <w:i w:val="false"/>
          <w:iCs w:val="false"/>
          <w:sz w:val="20"/>
          <w:szCs w:val="20"/>
        </w:rPr>
        <w:t xml:space="preserve">G_0·z_t = G_1·z_t−1 + Ψ·ε_t + Π·η_t</w:t>
      </w:r>
    </w:p>
    <w:p>
      <w:pPr>
        <w:spacing w:after="120"/>
        <w:jc w:val="both"/>
      </w:pPr>
      <w:r>
        <w:t xml:space="preserve">der z_t er vektoren av tilstandsvariable (48 dimensjoner), ε_t er strukturelle sjokk (13 dimensjoner), og η_t er forventningsfeil.</w:t>
      </w:r>
    </w:p>
    <w:p>
      <w:pPr>
        <w:spacing w:after="120"/>
        <w:jc w:val="both"/>
      </w:pPr>
      <w:r>
        <w:t xml:space="preserve">Blanchard-Kahn-betingelsen krever at antall eigenvalues innenfor enhetssirkelen tilsvarer antall forhåndsdeterminerte variable, og at antall eigenvalues utenfor enhetssirkelen tilsvarer antall fremoverskuende variable. Løsningen gir tilstandsromformen:</w:t>
      </w:r>
    </w:p>
    <w:p>
      <w:pPr>
        <w:spacing w:after="80" w:before="80"/>
        <w:ind w:left="720"/>
      </w:pPr>
      <w:r>
        <w:rPr>
          <w:rFonts w:ascii="Courier New" w:cs="Courier New" w:eastAsia="Courier New" w:hAnsi="Courier New"/>
          <w:i w:val="false"/>
          <w:iCs w:val="false"/>
          <w:sz w:val="20"/>
          <w:szCs w:val="20"/>
        </w:rPr>
        <w:t xml:space="preserve">z_t = T·z_t−1 + R·ε_t</w:t>
      </w:r>
    </w:p>
    <w:p>
      <w:pPr>
        <w:spacing w:after="120"/>
        <w:jc w:val="both"/>
      </w:pPr>
      <w:r>
        <w:t xml:space="preserve">Estimert modell: max|eig(T)| = 0.9889 (stabilt, BK-betingelse oppfylt). Kalibrert modell: max|eig(T)| = 0.9976.</w:t>
      </w:r>
    </w:p>
    <w:p>
      <w:pPr>
        <w:spacing w:after="120"/>
        <w:jc w:val="both"/>
      </w:pPr>
      <w:r>
        <w:t xml:space="preserve">Implementering er gjort i Python (NumPy/SciPy) uten bruk av DYNARE. Løsningsalgoritmen bruker QZ-dekomposisjon (scipy.linalg.ordqz) med en stabil/ustabil sortering av eigenvalue-par.</w:t>
      </w:r>
    </w:p>
    <w:p>
      <w:r>
        <w:br w:type="page"/>
      </w:r>
    </w:p>
    <w:p>
      <w:pPr>
        <w:pStyle w:val="Heading1"/>
        <w:spacing w:after="120" w:before="360"/>
      </w:pPr>
      <w:r>
        <w:rPr>
          <w:b/>
          <w:bCs/>
        </w:rPr>
        <w:t xml:space="preserve">4  Datagrunnlag</w:t>
      </w:r>
    </w:p>
    <w:p>
      <w:pPr>
        <w:pStyle w:val="Heading2"/>
        <w:spacing w:after="80" w:before="240"/>
      </w:pPr>
      <w:r>
        <w:t xml:space="preserve">4.1  Observerte variabler (14 serier)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200"/>
        <w:gridCol w:w="2526"/>
      </w:tblGrid>
      <w:tr>
        <w:trPr>
          <w:tblHeader/>
        </w:trPr>
        <w:tc>
          <w:tcPr>
            <w:tcW w:type="dxa" w:w="23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Variabel</w:t>
            </w:r>
          </w:p>
        </w:tc>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Kilde</w:t>
            </w:r>
          </w:p>
        </w:tc>
        <w:tc>
          <w:tcPr>
            <w:tcW w:type="dxa" w:w="2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Kode/tabell</w:t>
            </w:r>
          </w:p>
        </w:tc>
        <w:tc>
          <w:tcPr>
            <w:tcW w:type="dxa" w:w="25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Transformasjon</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 fastland</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NR 09190</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Privat konsum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NR 09190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Investering (FN)</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NR 09190</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Eksport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NR 09190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Import</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NR 09190</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03013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Δlog × 4 × 100,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Lønnsvekst</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09786 (interp.)</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4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Styringsrente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Norges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Nivå / 4,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NIBOR 3M</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10701</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Nivå / 4,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NOK/EUR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Norges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API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Oljepris Brent</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FRED</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DCOILBRENTEU</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Handelspartner-BNP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DEU/USA/SWE/FRA/GBR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HP-gap, demeaned</w:t>
            </w:r>
          </w:p>
        </w:tc>
      </w:tr>
      <w:tr>
        <w:trPr>
          <w:tblHeader w:val="false"/>
        </w:trPr>
        <w:tc>
          <w:tcPr>
            <w:tcW w:type="dxa" w:w="23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Boligprisindeks</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SSB</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07230 (interp.)</w:t>
            </w:r>
          </w:p>
        </w:tc>
        <w:tc>
          <w:tcPr>
            <w:tcW w:type="dxa" w:w="25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Kredittvekst-proxy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Konstruert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0.6·Δlog(bolig)+0.4·Δlog(lønn)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Δlog × 100, demeaned</w:t>
            </w:r>
          </w:p>
        </w:tc>
      </w:tr>
    </w:tbl>
    <w:p>
      <w:pPr>
        <w:pStyle w:val="Heading2"/>
        <w:spacing w:after="80" w:before="240"/>
      </w:pPr>
      <w:r>
        <w:t xml:space="preserve">4.2  Datahåndtering</w:t>
      </w:r>
    </w:p>
    <w:p>
      <w:pPr>
        <w:spacing w:after="120"/>
        <w:jc w:val="both"/>
      </w:pPr>
      <w:r>
        <w:t xml:space="preserve">Alle serier er demeaned (trekker fra aritmetisk gjennomsnitt over estimeringsperioden) for å håndtere deterministic drift. Serier som ikke finnes på kvartalsfrekvens (lønn, boligprisindeks) er interpolert fra månedlig til kvartalsfrekvens via gjennomsnitt over kvartalsmånedene. Handelspartner-BNP er konstruert som handelsandels-vektet gjennomsnitt av BNP-gap (HP-filtrert) for Tysklands, USAs, Sveriges, Frankrikes og Storbritannias BNP.</w:t>
      </w:r>
    </w:p>
    <w:p>
      <w:pPr>
        <w:spacing w:after="120"/>
        <w:jc w:val="both"/>
      </w:pPr>
      <w:r>
        <w:t xml:space="preserve">Observasjonslikningen er H·z_t der H er en (14 × 48)-matrise som kobler latente tilstandsvariable til observerte variabler. Noen observerte variabler mapper til multiple latente variable (f.eks. styringsrente og NIBOR begge mapper til I_R-tilstanden).</w:t>
      </w:r>
    </w:p>
    <w:p>
      <w:pPr>
        <w:pStyle w:val="Heading2"/>
        <w:spacing w:after="80" w:before="240"/>
      </w:pPr>
      <w:r>
        <w:t xml:space="preserve">4.3  COVID-hull</w:t>
      </w:r>
    </w:p>
    <w:p>
      <w:pPr>
        <w:spacing w:after="120"/>
        <w:jc w:val="both"/>
      </w:pPr>
      <w:r>
        <w:t xml:space="preserve">Perioden 2020K1–2021K4 er ekskludert fra estimeringslikheten. Kalman-filteret kjøres i to separate blokker: 2001K2–2019K4 (T_pre = 75 kvartaler) og 2022K1–2025K3 (T_post = 15 kvartaler). Begge blokker bidrar til log-likelihood summen. COVID-hullet er nødvendig fordi BNP- og sysselsettingsdata i denne perioden er drevet av ikke-strukturelle faktorer (nedstenging, sektorforstyrrelser) som modellens strukturelle sjokk ikke er ment å fange opp.</w:t>
      </w:r>
    </w:p>
    <w:p>
      <w:r>
        <w:br w:type="page"/>
      </w:r>
    </w:p>
    <w:p>
      <w:pPr>
        <w:pStyle w:val="Heading1"/>
        <w:spacing w:after="120" w:before="360"/>
      </w:pPr>
      <w:r>
        <w:rPr>
          <w:b/>
          <w:bCs/>
        </w:rPr>
        <w:t xml:space="preserve">5  Estimeringsmetodikk</w:t>
      </w:r>
    </w:p>
    <w:p>
      <w:pPr>
        <w:pStyle w:val="Heading2"/>
        <w:spacing w:after="80" w:before="240"/>
      </w:pPr>
      <w:r>
        <w:t xml:space="preserve">5.1  Bayesiansk estimering — overordnet</w:t>
      </w:r>
    </w:p>
    <w:p>
      <w:pPr>
        <w:spacing w:after="120"/>
        <w:jc w:val="both"/>
      </w:pPr>
      <w:r>
        <w:t xml:space="preserve">Estimering følger An og Schorfheide (2007). Vi søker posterior-fordelingen:</w:t>
      </w:r>
    </w:p>
    <w:p>
      <w:pPr>
        <w:spacing w:after="80" w:before="80"/>
        <w:ind w:left="720"/>
      </w:pPr>
      <w:r>
        <w:rPr>
          <w:rFonts w:ascii="Courier New" w:cs="Courier New" w:eastAsia="Courier New" w:hAnsi="Courier New"/>
          <w:i w:val="false"/>
          <w:iCs w:val="false"/>
          <w:sz w:val="20"/>
          <w:szCs w:val="20"/>
        </w:rPr>
        <w:t xml:space="preserve">p(θ|Y) ∝ L(Y|θ) · p(θ)</w:t>
      </w:r>
    </w:p>
    <w:p>
      <w:pPr>
        <w:spacing w:after="120"/>
        <w:jc w:val="both"/>
      </w:pPr>
      <w:r>
        <w:t xml:space="preserve">der L(Y|θ) er Kalman-filter-likheten og p(θ) er priorfordelingen over parametervektoren θ (17 fritt estimerte parametere). Posterior utforskes via Metropolis-Hastings MCMC.</w:t>
      </w:r>
    </w:p>
    <w:p>
      <w:pPr>
        <w:pStyle w:val="Heading2"/>
        <w:spacing w:after="80" w:before="240"/>
      </w:pPr>
      <w:r>
        <w:t xml:space="preserve">5.2  Metropolis-Hastings MCMC</w:t>
      </w:r>
    </w:p>
    <w:p>
      <w:pPr>
        <w:spacing w:after="120"/>
        <w:jc w:val="both"/>
      </w:pPr>
      <w:r>
        <w:t xml:space="preserve">Vi benytter en selvkalibrerende Random-Walk Metropolis-Hastings-algoritme:</w:t>
      </w:r>
    </w:p>
    <w:p>
      <w:pPr>
        <w:pStyle w:val="ListParagraph"/>
        <w:numPr>
          <w:ilvl w:val="0"/>
          <w:numId w:val="2"/>
        </w:numPr>
        <w:spacing w:after="60"/>
      </w:pPr>
      <w:r>
        <w:t xml:space="preserve">Proposal: θ* = θ_{n-1} + (2.38/√d)·Σ^(1/2)·u, der u ~ N(0, I) og d = 17 (antall parametere)</w:t>
      </w:r>
    </w:p>
    <w:p>
      <w:pPr>
        <w:pStyle w:val="ListParagraph"/>
        <w:numPr>
          <w:ilvl w:val="0"/>
          <w:numId w:val="2"/>
        </w:numPr>
        <w:spacing w:after="60"/>
      </w:pPr>
      <w:r>
        <w:t xml:space="preserve">Akseptansbetingelse: min{1, p(θ*|Y)/p(θ_{n-1}|Y)}</w:t>
      </w:r>
    </w:p>
    <w:p>
      <w:pPr>
        <w:pStyle w:val="ListParagraph"/>
        <w:numPr>
          <w:ilvl w:val="0"/>
          <w:numId w:val="2"/>
        </w:numPr>
        <w:spacing w:after="60"/>
      </w:pPr>
      <w:r>
        <w:t xml:space="preserve">Adaptiv skalering: scale justeres hvert 500. trekk for å holde akseptansraten i [20%, 28%]</w:t>
      </w:r>
    </w:p>
    <w:p>
      <w:pPr>
        <w:pStyle w:val="ListParagraph"/>
        <w:numPr>
          <w:ilvl w:val="0"/>
          <w:numId w:val="2"/>
        </w:numPr>
        <w:spacing w:after="60"/>
      </w:pPr>
      <w:r>
        <w:t xml:space="preserve">Burn-in: 20 000 trekk (adaptiv)</w:t>
      </w:r>
    </w:p>
    <w:p>
      <w:pPr>
        <w:pStyle w:val="ListParagraph"/>
        <w:numPr>
          <w:ilvl w:val="0"/>
          <w:numId w:val="2"/>
        </w:numPr>
        <w:spacing w:after="60"/>
      </w:pPr>
      <w:r>
        <w:t xml:space="preserve">Produksjon: 200 000 trekk med fast proposal</w:t>
      </w:r>
    </w:p>
    <w:p>
      <w:pPr>
        <w:pStyle w:val="ListParagraph"/>
        <w:numPr>
          <w:ilvl w:val="0"/>
          <w:numId w:val="2"/>
        </w:numPr>
        <w:spacing w:after="60"/>
      </w:pPr>
      <w:r>
        <w:t xml:space="preserve">Konvergenskriterium: Gelman-Rubin PSRF &lt; 1.10 for alle parametere</w:t>
      </w:r>
    </w:p>
    <w:p>
      <w:pPr>
        <w:spacing w:after="80"/>
      </w:pPr>
      <w:r>
        <w:t xml:space="preserve"/>
      </w:r>
    </w:p>
    <w:p>
      <w:pPr>
        <w:spacing w:after="120"/>
        <w:jc w:val="both"/>
      </w:pPr>
      <w:r>
        <w:t xml:space="preserve">Kjøretid: ~2 timer på én CPU-kjerne. Algoritmen inkluderer automatisk rekalibrering (inntil 5 runder) dersom PSRF-kravet ikke er nådd etter burn-in.</w:t>
      </w:r>
    </w:p>
    <w:p>
      <w:pPr>
        <w:pStyle w:val="Heading2"/>
        <w:spacing w:after="80" w:before="240"/>
      </w:pPr>
      <w:r>
        <w:t xml:space="preserve">5.3  Prior-spesifikasjon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800"/>
        <w:gridCol w:w="800"/>
        <w:gridCol w:w="1200"/>
        <w:gridCol w:w="2828"/>
      </w:tblGrid>
      <w:tr>
        <w:trPr>
          <w:tblHeader/>
        </w:trPr>
        <w:tc>
          <w:tcPr>
            <w:tcW w:type="dxa" w:w="1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Prior-type</w:t>
            </w:r>
          </w:p>
        </w:tc>
        <w:tc>
          <w:tcPr>
            <w:tcW w:type="dxa" w:w="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μ / a</w:t>
            </w:r>
          </w:p>
        </w:tc>
        <w:tc>
          <w:tcPr>
            <w:tcW w:type="dxa" w:w="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σ / b</w:t>
            </w:r>
          </w:p>
        </w:tc>
        <w:tc>
          <w:tcPr>
            <w:tcW w:type="dxa" w:w="1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Støtte</w:t>
            </w:r>
          </w:p>
        </w:tc>
        <w:tc>
          <w:tcPr>
            <w:tcW w:type="dxa" w:w="2828"/>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Begrunnelse</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ρ_A, ρ_C, ρ_O, ρ_Ys, ρ_rp, ρ_H</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Beta(2.0, 0.5)</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0.80</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0.20</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 0.9995]</w:t>
            </w:r>
          </w:p>
        </w:tc>
        <w:tc>
          <w:tcPr>
            <w:tcW w:type="dxa" w:w="2828"/>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Persistens — mellom 0 og 1</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σ_C, σ_P, σ_O, σ_Ys, σ_rp, σ_i, σ_H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Inv-Gamma(2.0, sc)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K&amp;M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(0, 1)</w:t>
            </w:r>
          </w:p>
        </w:tc>
        <w:tc>
          <w:tcPr>
            <w:tcW w:type="dxa" w:w="2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Sjokk-std — positiv</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ψ_R</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Beta(4.0, 2.0)</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0.67</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0.16</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[0.30, 0.99]</w:t>
            </w:r>
          </w:p>
        </w:tc>
        <w:tc>
          <w:tcPr>
            <w:tcW w:type="dxa" w:w="2828"/>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Renteglatting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ψ_P1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Normal(0.29, 0.10)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0.29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[0.05, 1.50]</w:t>
            </w:r>
          </w:p>
        </w:tc>
        <w:tc>
          <w:tcPr>
            <w:tcW w:type="dxa" w:w="2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Inflasjonsvekt</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ψ_Y</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Normal(0.24, 0.05)</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0.24</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0.05</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 0.80]</w:t>
            </w:r>
          </w:p>
        </w:tc>
        <w:tc>
          <w:tcPr>
            <w:tcW w:type="dxa" w:w="2828"/>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BNP-vekt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Beta(4.0, 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0.94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[0.30, 0.9995]</w:t>
            </w:r>
          </w:p>
        </w:tc>
        <w:tc>
          <w:tcPr>
            <w:tcW w:type="dxa" w:w="2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Habit — nær 1</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σ_A</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FAST = 0.006</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2828"/>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Svakt identifisert</w:t>
            </w:r>
          </w:p>
        </w:tc>
      </w:tr>
    </w:tbl>
    <w:p>
      <w:pPr>
        <w:pStyle w:val="Heading2"/>
        <w:spacing w:after="80" w:before="240"/>
      </w:pPr>
      <w:r>
        <w:t xml:space="preserve">5.4  Kalman-filter likelihood</w:t>
      </w:r>
    </w:p>
    <w:p>
      <w:pPr>
        <w:spacing w:after="120"/>
        <w:jc w:val="both"/>
      </w:pPr>
      <w:r>
        <w:t xml:space="preserve">Log-likelihood beregnes via Kalman-filteret på tilstandsromformen z_t = T·z_t−1 + R·ε_t, y_t = H·z_t + v_t, der v_t ~ N(0, S_v):</w:t>
      </w:r>
    </w:p>
    <w:p>
      <w:pPr>
        <w:spacing w:after="80" w:before="80"/>
        <w:ind w:left="720"/>
      </w:pPr>
      <w:r>
        <w:rPr>
          <w:rFonts w:ascii="Courier New" w:cs="Courier New" w:eastAsia="Courier New" w:hAnsi="Courier New"/>
          <w:i w:val="false"/>
          <w:iCs w:val="false"/>
          <w:sz w:val="20"/>
          <w:szCs w:val="20"/>
        </w:rPr>
        <w:t xml:space="preserve">L(Y|θ) = Σ_t [−(n_obs/2)·log(2π) − (1/2)·log|S_t| − (1/2)·ν_t'·S_t^{−1}·ν_t]</w:t>
      </w:r>
    </w:p>
    <w:p>
      <w:pPr>
        <w:spacing w:after="120"/>
        <w:jc w:val="both"/>
      </w:pPr>
      <w:r>
        <w:t xml:space="preserve">der ν_t = y_t − H·ẑ_{t|t−1} er prediksjonsfeilvektoren og S_t = H·P_{t|t−1}·H' + S_v er prediksjonskovariansen. Initialkovariansen P_0 settes til den stasjonære diskrete Lyapunov-løsningen.</w:t>
      </w:r>
    </w:p>
    <w:p>
      <w:pPr>
        <w:spacing w:after="120"/>
        <w:jc w:val="both"/>
      </w:pPr>
      <w:r>
        <w:t xml:space="preserve">Målefeilkovariansen S_v er diagonal med fast skalering basert på rimelig antagelse om målefeil per variabel (typisk 0.5–5% av variabelens standardavvik i data). Dette er en standard forenkling i DSGE-estimering.</w:t>
      </w:r>
    </w:p>
    <w:p>
      <w:r>
        <w:br w:type="page"/>
      </w:r>
    </w:p>
    <w:p>
      <w:pPr>
        <w:pStyle w:val="Heading1"/>
        <w:spacing w:after="120" w:before="360"/>
      </w:pPr>
      <w:r>
        <w:rPr>
          <w:b/>
          <w:bCs/>
        </w:rPr>
        <w:t xml:space="preserve">6  Estimeringsresultater</w:t>
      </w:r>
    </w:p>
    <w:p>
      <w:pPr>
        <w:pStyle w:val="Heading2"/>
        <w:spacing w:after="80" w:before="240"/>
      </w:pPr>
      <w:r>
        <w:t xml:space="preserve">6.1  Konvergens</w:t>
      </w:r>
    </w:p>
    <w:p>
      <w:pPr>
        <w:spacing w:after="120"/>
        <w:jc w:val="both"/>
      </w:pPr>
      <w:r>
        <w:t xml:space="preserve">200 000 produksjonstrekkninger etter 20 000 burn-in. Alle 17 estimerte parametere konvergerte med PSRF &lt; 1.01: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Diagnose</w:t>
            </w:r>
          </w:p>
        </w:tc>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Verdi</w:t>
            </w:r>
          </w:p>
        </w:tc>
        <w:tc>
          <w:tcPr>
            <w:tcW w:type="dxa" w:w="40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Krav</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Max PSRF</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1.005</w:t>
            </w:r>
          </w:p>
        </w:tc>
        <w:tc>
          <w:tcPr>
            <w:tcW w:type="dxa" w:w="4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&lt; 1.10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Min 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662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&gt; 200 (anbefalt)</w:t>
            </w:r>
          </w:p>
        </w:tc>
      </w:tr>
      <w:tr>
        <w:trPr>
          <w:tblHeader w:val="false"/>
        </w:trPr>
        <w:tc>
          <w:tcPr>
            <w:tcW w:type="dxa" w:w="3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Akseptansrate</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21.7%</w:t>
            </w:r>
          </w:p>
        </w:tc>
        <w:tc>
          <w:tcPr>
            <w:tcW w:type="dxa" w:w="4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20–28%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Antall rekalibreringer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 5</w:t>
            </w:r>
          </w:p>
        </w:tc>
      </w:tr>
    </w:tbl>
    <w:p>
      <w:pPr>
        <w:pStyle w:val="Heading2"/>
        <w:spacing w:after="80" w:before="240"/>
      </w:pPr>
      <w:r>
        <w:t xml:space="preserve">6.2  Posterior-oppsummering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900"/>
        <w:gridCol w:w="900"/>
        <w:gridCol w:w="1200"/>
        <w:gridCol w:w="800"/>
        <w:gridCol w:w="926"/>
      </w:tblGrid>
      <w:tr>
        <w:trPr>
          <w:tblHeader/>
        </w:trPr>
        <w:tc>
          <w:tcPr>
            <w:tcW w:type="dxa" w:w="11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Gruppe</w:t>
            </w:r>
          </w:p>
        </w:tc>
        <w:tc>
          <w:tcPr>
            <w:tcW w:type="dxa" w:w="1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K&amp;M 2019</w:t>
            </w:r>
          </w:p>
        </w:tc>
        <w:tc>
          <w:tcPr>
            <w:tcW w:type="dxa" w:w="9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Post. mean</w:t>
            </w:r>
          </w:p>
        </w:tc>
        <w:tc>
          <w:tcPr>
            <w:tcW w:type="dxa" w:w="9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Post. std</w:t>
            </w:r>
          </w:p>
        </w:tc>
        <w:tc>
          <w:tcPr>
            <w:tcW w:type="dxa" w:w="1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[5%, 95%]</w:t>
            </w:r>
          </w:p>
        </w:tc>
        <w:tc>
          <w:tcPr>
            <w:tcW w:type="dxa" w:w="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PSRF</w:t>
            </w:r>
          </w:p>
        </w:tc>
        <w:tc>
          <w:tcPr>
            <w:tcW w:type="dxa" w:w="9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ESS</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ρ_A</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0.804</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0.706</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0.208</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[0.28, 0.95]</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1.002</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882</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ρ_C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0.725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0.792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0.217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[0.33,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1.004</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802</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ρ_O</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0.874</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0.386</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0.105</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[0.21, 0.56]</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1.000</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900</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ρ_Ys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0.783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[0.70, 0.93]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1127</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ρ_rp</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0.737</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0.802</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0.214</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[0.34, 1.00]</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706</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ρ_H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Persistens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0.694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[0.36,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1.004</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1049</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σ_C</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0.0300</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0.0198</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0.0041</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[0.013, 0.027]</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1.003</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662</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0.0790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0.1059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[0.092, 0.122]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899</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σ_Ys</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0.0110</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0.0059</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0.0008</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[0.005, 0.007]</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1016</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σ_rp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0.0161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[0.014, 0.019]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1.005</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825</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σ_i</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0.0003</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0.0003</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0.00002</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[0.00024, 0.00032]</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1036</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[0.005, 0.007]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1.001</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1048</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σ_H</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0.0500</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0.0139</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0.0011</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[0.012, 0.016]</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1.003</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1216</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ψ_R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Pengepol.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0.666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0.960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[0.939, 0.978]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1.003</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744</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ψ_P1</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Pengepol.</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0.292</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0.262</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[0.125, 0.410]</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1.003</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767</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ψ_Y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Pengepol.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0.242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0.259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[0.183, 0.337]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1.000</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1517</w:t>
            </w:r>
          </w:p>
        </w:tc>
      </w:tr>
      <w:tr>
        <w:trPr>
          <w:tblHeader w:val="false"/>
        </w:trPr>
        <w:tc>
          <w:tcPr>
            <w:tcW w:type="dxa" w:w="11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h_c</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Husholdning</w:t>
            </w:r>
          </w:p>
        </w:tc>
        <w:tc>
          <w:tcPr>
            <w:tcW w:type="dxa" w:w="1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0.938</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0.989</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0.002</w:t>
            </w:r>
          </w:p>
        </w:tc>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[0.985, 0.993]</w:t>
            </w:r>
          </w:p>
        </w:tc>
        <w:tc>
          <w:tcPr>
            <w:tcW w:type="dxa" w:w="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1.002</w:t>
            </w:r>
          </w:p>
        </w:tc>
        <w:tc>
          <w:tcPr>
            <w:tcW w:type="dxa" w:w="9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667</w:t>
            </w:r>
          </w:p>
        </w:tc>
      </w:tr>
      <w:tr>
        <w:trPr>
          <w:tblHeader w:val="false"/>
        </w:trP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Sjokk-std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 (FAST)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1.000</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w:t>
            </w:r>
          </w:p>
        </w:tc>
      </w:tr>
    </w:tbl>
    <w:p>
      <w:pPr>
        <w:pStyle w:val="Heading2"/>
        <w:spacing w:after="80" w:before="240"/>
      </w:pPr>
      <w:r>
        <w:t xml:space="preserve">6.3  Faglig tolkning av sentrale avvik fra K&amp;M (2019)</w:t>
      </w:r>
    </w:p>
    <w:p>
      <w:pPr>
        <w:spacing w:after="120"/>
        <w:jc w:val="both"/>
      </w:pPr>
      <w:r>
        <w:t xml:space="preserve">Tabellen under oppsummerer de mest faglig interessante avvikene mellom K&amp;M (2019) og vår estimering. Alle avvikene er statistisk signifikante i den forstand at K&amp;M-verdiene faller utenfor 90% kredibilitetsintervall.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5826"/>
      </w:tblGrid>
      <w:tr>
        <w:trPr>
          <w:tblHeader/>
        </w:trPr>
        <w:tc>
          <w:tcPr>
            <w:tcW w:type="dxa" w:w="14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Parameter</w:t>
            </w:r>
          </w:p>
        </w:tc>
        <w:tc>
          <w:tcPr>
            <w:tcW w:type="dxa" w:w="9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K&amp;M 2019</w:t>
            </w:r>
          </w:p>
        </w:tc>
        <w:tc>
          <w:tcPr>
            <w:tcW w:type="dxa" w:w="9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Estimert</w:t>
            </w:r>
          </w:p>
        </w:tc>
        <w:tc>
          <w:tcPr>
            <w:tcW w:type="dxa" w:w="58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Fortolkning</w:t>
            </w:r>
          </w:p>
        </w:tc>
      </w:tr>
      <w:tr>
        <w:trPr>
          <w:tblHeader w:val="false"/>
        </w:trPr>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ψ_R = 0.960</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0.666</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0.960</w:t>
            </w:r>
          </w:p>
        </w:tc>
        <w:tc>
          <w:tcPr>
            <w:tcW w:type="dxa" w:w="58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Post-COVID gradvise rentehevinger drives av høy renteglatting. Halverings-tid mot SS: ~17 kvartaler. K&amp;M estimerte på data 2001–2017 der Norges Bank var mer reaktiv.</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ρ_O = 0.386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0.874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0.386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Oljeprissjokk er kortvarige i norske data 2001–2025. Trolig reflekterer 2014–2016 oljepriskollaps med rask gjeninnhenting, samt COVID-2020 nedgang.</w:t>
            </w:r>
          </w:p>
        </w:tc>
      </w:tr>
      <w:tr>
        <w:trPr>
          <w:tblHeader w:val="false"/>
        </w:trPr>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σ_rp = 0.016</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0.006</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0.016</w:t>
            </w:r>
          </w:p>
        </w:tc>
        <w:tc>
          <w:tcPr>
            <w:tcW w:type="dxa" w:w="58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Risikopremiesjokk er 2.7× større enn K&amp;M. Modellen trenger store valuta-sjokk for å forklare NOK-volatiliteten — sannsynligvis kompenserer for manglende oljeformue-kanal.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σ_H = 0.014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0.014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Boligprissjokk er vesentlig mindre volatile i norske data enn K&amp;M antok. Norsk boligmarked har vært relativt stabilt i estimeringsperioden sammenlignet med internasjonale data.</w:t>
            </w:r>
          </w:p>
        </w:tc>
      </w:tr>
      <w:tr>
        <w:trPr>
          <w:tblHeader w:val="false"/>
        </w:trPr>
        <w:tc>
          <w:tcPr>
            <w:tcW w:type="dxa" w:w="1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h_c = 0.989</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0.938</w:t>
            </w:r>
          </w:p>
        </w:tc>
        <w:tc>
          <w:tcPr>
            <w:tcW w:type="dxa" w:w="9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0.989</w:t>
            </w:r>
          </w:p>
        </w:tc>
        <w:tc>
          <w:tcPr>
            <w:tcW w:type="dxa" w:w="58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Svært høy habitpersistens. Husholdningers konsumsvar er ekstremt treget — konsum endres knapt på kort sikt. Plausibelt for norsk økonomi med høy buffer-sparing.</w:t>
            </w:r>
          </w:p>
        </w:tc>
      </w:tr>
    </w:tbl>
    <w:p>
      <w:r>
        <w:br w:type="page"/>
      </w:r>
    </w:p>
    <w:p>
      <w:pPr>
        <w:pStyle w:val="Heading1"/>
        <w:spacing w:after="120" w:before="360"/>
      </w:pPr>
      <w:r>
        <w:rPr>
          <w:b/>
          <w:bCs/>
        </w:rPr>
        <w:t xml:space="preserve">7  Impulsresponsanalyse</w:t>
      </w:r>
    </w:p>
    <w:p>
      <w:pPr>
        <w:spacing w:after="120"/>
        <w:jc w:val="both"/>
      </w:pPr>
      <w:r>
        <w:t xml:space="preserve">Impulsresponer (IRF) viser modellvariablenes respons over tid på ett enkelt strukturelt sjokk av størrelse 1 standardavvik (sigma_k). IRF-er er beregnet for estimert modell (posterior mean) og kalibrert modell (K&amp;M 2019), samt 90% bootstrap kredibilitetsintervaller fra 200 tilfeldige trekk fra posterior.</w:t>
      </w:r>
    </w:p>
    <w:p>
      <w:pPr>
        <w:spacing w:after="120"/>
        <w:jc w:val="both"/>
      </w:pPr>
      <w:r>
        <w:t xml:space="preserve">IRF-enheter: log-%-avvik fra steady state for reale variable (BNP, konsum, investering, RER, boligpris), og prosentpoeng annualisert for rente og inflasjon.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Sjokk</w:t>
            </w:r>
          </w:p>
        </w:tc>
        <w:tc>
          <w:tcPr>
            <w:tcW w:type="dxa" w:w="2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Størrelse</w:t>
            </w:r>
          </w:p>
        </w:tc>
        <w:tc>
          <w:tcPr>
            <w:tcW w:type="dxa" w:w="50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Nøkkelfunn (estimert modell)</w:t>
            </w:r>
          </w:p>
        </w:tc>
      </w:tr>
      <w:tr>
        <w:trPr>
          <w:tblHeader w:val="false"/>
        </w:trP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Pengepolitikk (ε_i)</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+0.0003 (1σ) = ~0.25pp ann.</w:t>
            </w:r>
          </w:p>
        </w:tc>
        <w:tc>
          <w:tcPr>
            <w:tcW w:type="dxa" w:w="5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 faller med ~0.10% ved t=1. Inflasjon ned ~0.05pp. Boligpris ned ~0.26% (kraftig, via kollateral). Renten faller tilbake med halvtid ~17 kv.</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Oljepris (ε_O)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+0.106 (1σ) = ~10% oljeprissjokk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BNP opp ~0.09% ved t=1. Effekt dempes raskt pga. ρ_O=0.386 (halvtid ~1.2 kv). K&amp;M vs. estimert: stor forskjell i vedvarighet.</w:t>
            </w:r>
          </w:p>
        </w:tc>
      </w:tr>
      <w:tr>
        <w:trPr>
          <w:tblHeader w:val="false"/>
        </w:trP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Risikopremie (ε_rp)</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+0.016 (1σ) = ~1pp risikopremie</w:t>
            </w:r>
          </w:p>
        </w:tc>
        <w:tc>
          <w:tcPr>
            <w:tcW w:type="dxa" w:w="5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NOK svekkes (~0.37% RER). Positiv BNP-effekt på kort sikt via eksportkonkurranseevne. Inflasjon opp via importkanal.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Prismarkup (ε_P)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 (1σ) = ~0.3pp kostnadssjokk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Stagflasjon: inflasjon opp ~0.7pp (ann.), BNP ned (kumulativt t=1–8). Pris-jokket er IID — engangsdrevet.</w:t>
            </w:r>
          </w:p>
        </w:tc>
      </w:tr>
      <w:tr>
        <w:trPr>
          <w:tblHeader w:val="false"/>
        </w:trP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Boligsjokk (ε_H)</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+0.014 (1σ) = direkte 1σ preferanse</w:t>
            </w:r>
          </w:p>
        </w:tc>
        <w:tc>
          <w:tcPr>
            <w:tcW w:type="dxa" w:w="5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Boligpris opp ~9.9% (stor pga. sjokknormalisering til full σ_H). BNP opp via kollateralkanal.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Internasjonal ettersp. (ε_Ys)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+0.006 (1σ) = ~1% gap-sjokk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BNP opp via eksportkanal. Renten opp pga. inflasjonspresset. Vedvarende pga. ρ_Ys=0.823.</w:t>
            </w:r>
          </w:p>
        </w:tc>
      </w:tr>
      <w:tr>
        <w:trPr>
          <w:tblHeader w:val="false"/>
        </w:trP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TFP (ε_A)</w:t>
            </w:r>
          </w:p>
        </w:tc>
        <w:tc>
          <w:tcPr>
            <w:tcW w:type="dxa" w:w="2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+0.006 (fast σ) = ~0.6%</w:t>
            </w:r>
          </w:p>
        </w:tc>
        <w:tc>
          <w:tcPr>
            <w:tcW w:type="dxa" w:w="5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 opp. Inflasjon ned (lavere marginalkostnader). σ_A fast kalibrert.</w:t>
            </w:r>
          </w:p>
        </w:tc>
      </w:tr>
    </w:tbl>
    <w:p>
      <w:pPr>
        <w:spacing w:after="120"/>
        <w:jc w:val="both"/>
      </w:pPr>
      <w:r>
        <w:t xml:space="preserve">Merk at boligsjokkets responsstørrelse ikke er direkte sammenlignbar med øvrige sjokk fordi σ_H er vesentlig større enn f.eks. σ_i i absolutt forstand. IRF-er i dashbordet normaliseres til sjokkenes faktiske sigma-verdier for å sikre FEVD-beregningene er korrekt normalisert.</w:t>
      </w:r>
    </w:p>
    <w:p>
      <w:r>
        <w:br w:type="page"/>
      </w:r>
    </w:p>
    <w:p>
      <w:pPr>
        <w:pStyle w:val="Heading1"/>
        <w:spacing w:after="120" w:before="360"/>
      </w:pPr>
      <w:r>
        <w:rPr>
          <w:b/>
          <w:bCs/>
        </w:rPr>
        <w:t xml:space="preserve">8  Forecast Error Variance Decomposition (FEVD)</w:t>
      </w:r>
    </w:p>
    <w:p>
      <w:pPr>
        <w:spacing w:after="120"/>
        <w:jc w:val="both"/>
      </w:pPr>
      <w:r>
        <w:t xml:space="preserve">FEVD angir andelen av total prediksjonsvarians ved horisont h som skyldes hvert strukturelt sjokk:</w:t>
      </w:r>
    </w:p>
    <w:p>
      <w:pPr>
        <w:spacing w:after="80" w:before="80"/>
        <w:ind w:left="720"/>
      </w:pPr>
      <w:r>
        <w:rPr>
          <w:rFonts w:ascii="Courier New" w:cs="Courier New" w:eastAsia="Courier New" w:hAnsi="Courier New"/>
          <w:i w:val="false"/>
          <w:iCs w:val="false"/>
          <w:sz w:val="20"/>
          <w:szCs w:val="20"/>
        </w:rPr>
        <w:t xml:space="preserve">FEVD(h, j, k) = σ²_k · Σ_{s=0}^{h-1} [IRF_k(s,j)]²  /  Σ_k σ²_k · Σ_{s=0}^{h-1} [IRF_k(s,j)]²</w:t>
      </w:r>
    </w:p>
    <w:p>
      <w:pPr>
        <w:spacing w:after="120"/>
        <w:jc w:val="both"/>
      </w:pPr>
      <w:r>
        <w:t xml:space="preserve">Normalisering med σ²_k er avgjørende — uten dette vil sjokk med stor normalisert sjokkstørrelse kunstig dominere. FEVD beregnes for estimert modell (posterior mean) med σ_k = posterior mean standardavvik.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00"/>
        <w:gridCol w:w="600"/>
        <w:gridCol w:w="600"/>
        <w:gridCol w:w="600"/>
        <w:gridCol w:w="3426"/>
      </w:tblGrid>
      <w:tr>
        <w:trPr>
          <w:tblHeader/>
        </w:trPr>
        <w:tc>
          <w:tcPr>
            <w:tcW w:type="dxa" w:w="1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Variabel</w:t>
            </w:r>
          </w:p>
        </w:tc>
        <w:tc>
          <w:tcPr>
            <w:tcW w:type="dxa" w:w="1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Sjokk</w:t>
            </w:r>
          </w:p>
        </w:tc>
        <w:tc>
          <w:tcPr>
            <w:tcW w:type="dxa" w:w="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h=1</w:t>
            </w:r>
          </w:p>
        </w:tc>
        <w:tc>
          <w:tcPr>
            <w:tcW w:type="dxa" w:w="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h=4</w:t>
            </w:r>
          </w:p>
        </w:tc>
        <w:tc>
          <w:tcPr>
            <w:tcW w:type="dxa" w:w="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h=8</w:t>
            </w:r>
          </w:p>
        </w:tc>
        <w:tc>
          <w:tcPr>
            <w:tcW w:type="dxa" w:w="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h=20</w:t>
            </w:r>
          </w:p>
        </w:tc>
        <w:tc>
          <w:tcPr>
            <w:tcW w:type="dxa" w:w="34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Tolkning</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BNP-gap</w:t>
            </w:r>
          </w:p>
        </w:tc>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Risikopremie</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76%</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24%</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24%</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24%</w:t>
            </w:r>
          </w:p>
        </w:tc>
        <w:tc>
          <w:tcPr>
            <w:tcW w:type="dxa" w:w="34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Dominerer kortsiktig via finansielle kanaler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BNP-gap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Oljepris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64%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63%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63%</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Dominerer mellomlang sikt — oljeavhengighet</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BNP-gap</w:t>
            </w:r>
          </w:p>
        </w:tc>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Konsum</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15%</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6%</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6%</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6%</w:t>
            </w:r>
          </w:p>
        </w:tc>
        <w:tc>
          <w:tcPr>
            <w:tcW w:type="dxa" w:w="34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Moderat rolle alle horisonter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KPI-inflasjon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Prismarkup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99%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98%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98%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98%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Dominerer fullstendig — direkte Phillips-kurve-kanal</w:t>
            </w:r>
          </w:p>
        </w:tc>
      </w:tr>
      <w:tr>
        <w:trPr>
          <w:tblHeader w:val="false"/>
        </w:trPr>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Boligpris-gap</w:t>
            </w:r>
          </w:p>
        </w:tc>
        <w:tc>
          <w:tcPr>
            <w:tcW w:type="dxa" w:w="1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Boligsjokk</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83%</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83%</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83%</w:t>
            </w:r>
          </w:p>
        </w:tc>
        <w:tc>
          <w:tcPr>
            <w:tcW w:type="dxa" w:w="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83%</w:t>
            </w:r>
          </w:p>
        </w:tc>
        <w:tc>
          <w:tcPr>
            <w:tcW w:type="dxa" w:w="34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Direkte preferansesjokk til boligmarked</w:t>
            </w:r>
          </w:p>
        </w:tc>
      </w:tr>
    </w:tbl>
    <w:p>
      <w:pPr>
        <w:spacing w:after="120"/>
      </w:pPr>
      <w:r>
        <w:t xml:space="preserve"/>
      </w:r>
    </w:p>
    <w:p>
      <w:pPr>
        <w:spacing w:after="120"/>
        <w:jc w:val="both"/>
      </w:pPr>
      <w:r>
        <w:t xml:space="preserve">Prismarkup-sjokkets dominans i KPI-FEVD (~99%) er et korrekt modellresultat, ikke en feil. I NK DSGE-modeller drives inflasjonsvariasjonen primært av kostnadssjokk via Phillips-kurven. Andre sjokk påvirker KPI indirekte via produksjonsgap, valutakurs og lønninger — med vesentlig svakere IRF. Kravik og Mimir (2019) rapporterer tilsvarende mønster. Merk at FEVD sier noe om modellens struktur (hva som driver prediksjonsfeil), ikke nødvendigvis om hva som faktisk drev inflasjon historisk i en bestemt periode.</w:t>
      </w:r>
    </w:p>
    <w:p>
      <w:r>
        <w:br w:type="page"/>
      </w:r>
    </w:p>
    <w:p>
      <w:pPr>
        <w:pStyle w:val="Heading1"/>
        <w:spacing w:after="120" w:before="360"/>
      </w:pPr>
      <w:r>
        <w:rPr>
          <w:b/>
          <w:bCs/>
        </w:rPr>
        <w:t xml:space="preserve">9  Historisk dekomposisjon</w:t>
      </w:r>
    </w:p>
    <w:p>
      <w:pPr>
        <w:spacing w:after="120"/>
        <w:jc w:val="both"/>
      </w:pPr>
      <w:r>
        <w:t xml:space="preserve">Historisk dekomposisjon forsøker å svare på spørsmålet: hvilke strukturelle sjokk drev observert utvikling i norsk økonomi i periode t? Implementasjonen i dette prosjektet er approksimert og bør tolkes med forsiktighet.</w:t>
      </w:r>
    </w:p>
    <w:p>
      <w:pPr>
        <w:spacing w:after="120"/>
        <w:jc w:val="both"/>
      </w:pPr>
      <w:r>
        <w:t xml:space="preserve">Metode: Vi bruker RTS Kalman-smoother (Rauch-Tung-Striebel) til å beregne den bakover-glattede tilstandsvektoren ẑ_{t|T} for alle t. Strukturelle sjokk-bidrag approksimeres fra smoother-residualer:</w:t>
      </w:r>
    </w:p>
    <w:p>
      <w:pPr>
        <w:spacing w:after="80" w:before="80"/>
        <w:ind w:left="720"/>
      </w:pPr>
      <w:r>
        <w:rPr>
          <w:rFonts w:ascii="Courier New" w:cs="Courier New" w:eastAsia="Courier New" w:hAnsi="Courier New"/>
          <w:i w:val="false"/>
          <w:iCs w:val="false"/>
          <w:sz w:val="20"/>
          <w:szCs w:val="20"/>
        </w:rPr>
        <w:t xml:space="preserve">η_t = ẑ_{t|T} − T·ẑ_{t−1|T}     (reduced-form innovasjon ved t)</w:t>
      </w:r>
    </w:p>
    <w:p>
      <w:pPr>
        <w:spacing w:after="80" w:before="80"/>
        <w:ind w:left="720"/>
      </w:pPr>
      <w:r>
        <w:rPr>
          <w:rFonts w:ascii="Courier New" w:cs="Courier New" w:eastAsia="Courier New" w:hAnsi="Courier New"/>
          <w:i w:val="false"/>
          <w:iCs w:val="false"/>
          <w:sz w:val="20"/>
          <w:szCs w:val="20"/>
        </w:rPr>
        <w:t xml:space="preserve">ε̂_{k,t} ≈ (r_k'η_t) / (r_k'r_k)   (projeksjonsbasert sjokk-identifikasjon)</w:t>
      </w:r>
    </w:p>
    <w:p>
      <w:pPr>
        <w:spacing w:after="120"/>
        <w:jc w:val="both"/>
      </w:pPr>
      <w:r>
        <w:t xml:space="preserve">der r_k = R[:,k] er k-te kolonne i sjokkmatrisen.</w:t>
      </w:r>
    </w:p>
    <w:p>
      <w:pPr>
        <w:spacing w:after="120"/>
        <w:jc w:val="both"/>
      </w:pPr>
      <w:r>
        <w:t xml:space="preserve">Begrensning: Projeksjonsmetoden er en tilnærming. Bidragene summerer til modellimplisert serie H·ẑ_{t|T}, ikke til observert serie. Restleddet (ikke-forklart del) er inkludert eksplisitt i dashbordet. En korrekt historisk dekomposisjon krever full strukturell sjokkidentifikasjon og er planlagt som fremtidig utvidelse.</w:t>
      </w:r>
    </w:p>
    <w:p>
      <w:r>
        <w:br w:type="page"/>
      </w:r>
    </w:p>
    <w:p>
      <w:pPr>
        <w:pStyle w:val="Heading1"/>
        <w:spacing w:after="120" w:before="360"/>
      </w:pPr>
      <w:r>
        <w:rPr>
          <w:b/>
          <w:bCs/>
        </w:rPr>
        <w:t xml:space="preserve">10  Rentebane og fremskrivning</w:t>
      </w:r>
    </w:p>
    <w:p>
      <w:pPr>
        <w:spacing w:after="120"/>
        <w:jc w:val="both"/>
      </w:pPr>
      <w:r>
        <w:t xml:space="preserve">Modellen produserer en sjokk-betinget rentebane som fremskriver fra siste Kalman-filtrerte tilstand med hensyn til aktive strukturelle sjokk.</w:t>
      </w:r>
    </w:p>
    <w:p>
      <w:pPr>
        <w:pStyle w:val="Heading2"/>
        <w:spacing w:after="80" w:before="240"/>
      </w:pPr>
      <w:r>
        <w:t xml:space="preserve">10.1  Metode</w:t>
      </w:r>
    </w:p>
    <w:p>
      <w:pPr>
        <w:spacing w:after="120"/>
        <w:jc w:val="both"/>
      </w:pPr>
      <w:r>
        <w:t xml:space="preserve">Fremskrivningsformelen dekomponerer banen i to ledd:</w:t>
      </w:r>
    </w:p>
    <w:p>
      <w:pPr>
        <w:spacing w:after="80" w:before="80"/>
        <w:ind w:left="720"/>
      </w:pPr>
      <w:r>
        <w:rPr>
          <w:rFonts w:ascii="Courier New" w:cs="Courier New" w:eastAsia="Courier New" w:hAnsi="Courier New"/>
          <w:i w:val="false"/>
          <w:iCs w:val="false"/>
          <w:sz w:val="20"/>
          <w:szCs w:val="20"/>
        </w:rPr>
        <w:t xml:space="preserve">z_{T+h} = T^h·z_T  +  Σ_k ε̂_{k,T} · Σ_{s=0}^{h-1} ρ_k^{h-1-s} · T^s·r_k</w:t>
      </w:r>
    </w:p>
    <w:p>
      <w:pPr>
        <w:spacing w:after="120"/>
        <w:jc w:val="both"/>
      </w:pPr>
      <w:r>
        <w:t xml:space="preserve">Første ledd er ren gap-lukking uten nye sjokk (tilsvarer null-sjokk-baseline). Andre ledd er bidragene fra aktive strukturelle sjokk ved siste kvartal (T), der hvert sjokk fases ut med sin AR-persistens ρ_k.</w:t>
      </w:r>
    </w:p>
    <w:p>
      <w:pPr>
        <w:spacing w:after="120"/>
        <w:jc w:val="both"/>
      </w:pPr>
      <w:r>
        <w:t xml:space="preserve">Nivå-konvertering: Modellens gap-variabler konverteres til observerbare nivåenheter via SS + gap + offset. Offsettet er kalibrert slik at prognosen starter fra faktisk observert verdi ved siste tidspunkt (rente = 4.22% p.a., KPI y/y = 3.40%, BNP-vekst = 0.44% ann.).</w:t>
      </w:r>
    </w:p>
    <w:p>
      <w:pPr>
        <w:pStyle w:val="Heading2"/>
        <w:spacing w:after="80" w:before="240"/>
      </w:pPr>
      <w:r>
        <w:t xml:space="preserve">10.2  Usikkerhetsbånd</w:t>
      </w:r>
    </w:p>
    <w:p>
      <w:pPr>
        <w:spacing w:after="120"/>
        <w:jc w:val="both"/>
      </w:pPr>
      <w:r>
        <w:t xml:space="preserve">Prognosebånd beregnes fra modellens prediksjonskovariansmatrise:</w:t>
      </w:r>
    </w:p>
    <w:p>
      <w:pPr>
        <w:spacing w:after="80" w:before="80"/>
        <w:ind w:left="720"/>
      </w:pPr>
      <w:r>
        <w:rPr>
          <w:rFonts w:ascii="Courier New" w:cs="Courier New" w:eastAsia="Courier New" w:hAnsi="Courier New"/>
          <w:i w:val="false"/>
          <w:iCs w:val="false"/>
          <w:sz w:val="20"/>
          <w:szCs w:val="20"/>
        </w:rPr>
        <w:t xml:space="preserve">P(h) = Σ_{k=0}^{h-1} T^k · RQR' · (T^k)'   (kumulert fra P(0)=0)</w:t>
      </w:r>
    </w:p>
    <w:p>
      <w:pPr>
        <w:spacing w:after="120"/>
        <w:jc w:val="both"/>
      </w:pPr>
      <w:r>
        <w:t xml:space="preserve">Usikkerhetsviftene er ±1σ og ±2σ fra P(h)[variabel, variabel]^(1/2). Disse reflekterer modellens iboende sjokkusikkerhet, ikke parameterusikkerhet.</w:t>
      </w:r>
    </w:p>
    <w:p>
      <w:pPr>
        <w:pStyle w:val="Heading2"/>
        <w:spacing w:after="80" w:before="240"/>
      </w:pPr>
      <w:r>
        <w:t xml:space="preserve">10.3  Taylor-regel vs tapsfunksjon</w:t>
      </w:r>
    </w:p>
    <w:p>
      <w:pPr>
        <w:spacing w:after="120"/>
        <w:jc w:val="both"/>
      </w:pPr>
      <w:r>
        <w:t xml:space="preserve">Viktig: Rentebanen er basert på en tilbakeskuende mimicking rule (Taylor-regel), ikke en fremoverskuende tapsminimerende funksjon slik Norges Bank bruker i MPR. En tapsfunksjon L = Var(π) + λ·Var(y) + μ·Var(Δi) minimert over fremskrivningshorisonten ville gi en mer dynamisk og premissgivende bane. Dette er planlagt som fremtidig utvidelse.</w:t>
      </w:r>
    </w:p>
    <w:p>
      <w:pPr>
        <w:pStyle w:val="Heading2"/>
        <w:spacing w:after="80" w:before="240"/>
      </w:pPr>
      <w:r>
        <w:t xml:space="preserve">10.4  Sensitivitetsanalyse for ψ_R</w:t>
      </w:r>
    </w:p>
    <w:p>
      <w:pPr>
        <w:spacing w:after="120"/>
        <w:jc w:val="both"/>
      </w:pPr>
      <w:r>
        <w:t xml:space="preserve">Dashbordet inkluderer en interaktiv slider for renteglatting ψ_R. Referanseverdier: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026"/>
      </w:tblGrid>
      <w:tr>
        <w:trPr>
          <w:tblHeader/>
        </w:trPr>
        <w:tc>
          <w:tcPr>
            <w:tcW w:type="dxa" w:w="1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ψ_R</w:t>
            </w:r>
          </w:p>
        </w:tc>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Kilde</w:t>
            </w:r>
          </w:p>
        </w:tc>
        <w:tc>
          <w:tcPr>
            <w:tcW w:type="dxa" w:w="2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Halverings-tid mot SS</w:t>
            </w:r>
          </w:p>
        </w:tc>
        <w:tc>
          <w:tcPr>
            <w:tcW w:type="dxa" w:w="30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Kv.1-kutt (fra 4.22%)</w:t>
            </w:r>
          </w:p>
        </w:tc>
      </w:tr>
      <w:tr>
        <w:trPr>
          <w:tblHeader w:val="false"/>
        </w:trPr>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0.666</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K&amp;M (2019)</w:t>
            </w:r>
          </w:p>
        </w:tc>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1.7 kvartaler</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−0.56 pp</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Typisk litteratur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3.1 kvartaler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−0.34 pp</w:t>
            </w:r>
          </w:p>
        </w:tc>
      </w:tr>
      <w:tr>
        <w:trPr>
          <w:tblHeader w:val="false"/>
        </w:trPr>
        <w:tc>
          <w:tcPr>
            <w:tcW w:type="dxa" w:w="1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0.850</w:t>
            </w:r>
          </w:p>
        </w:tc>
        <w:tc>
          <w:tcPr>
            <w:tcW w:type="dxa" w:w="20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Moderat</w:t>
            </w:r>
          </w:p>
        </w:tc>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4.3 kvartaler</w:t>
            </w:r>
          </w:p>
        </w:tc>
        <w:tc>
          <w:tcPr>
            <w:tcW w:type="dxa" w:w="30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−0.25 pp</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0.960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Vår estimering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17.0 kvartaler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−0.07 pp</w:t>
            </w:r>
          </w:p>
        </w:tc>
      </w:tr>
    </w:tbl>
    <w:p>
      <w:r>
        <w:br w:type="page"/>
      </w:r>
    </w:p>
    <w:p>
      <w:pPr>
        <w:pStyle w:val="Heading1"/>
        <w:spacing w:after="120" w:before="360"/>
      </w:pPr>
      <w:r>
        <w:rPr>
          <w:b/>
          <w:bCs/>
        </w:rPr>
        <w:t xml:space="preserve">11  Dashbord og visualisering</w:t>
      </w:r>
    </w:p>
    <w:p>
      <w:pPr>
        <w:spacing w:after="120"/>
        <w:jc w:val="both"/>
      </w:pPr>
      <w:r>
        <w:t xml:space="preserve">Et interaktivt HTML-dashbord (nemo_fase2_v3_dashbord.html) er utarbeidet for analyse og presentasjon. Dashbordet er selvstendige — alle data er inlined i HTML-filen og krever ingen server eller Python-installasjon.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Fane</w:t>
            </w:r>
          </w:p>
        </w:tc>
        <w:tc>
          <w:tcPr>
            <w:tcW w:type="dxa" w:w="66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pPr>
              <w:spacing w:after="0"/>
            </w:pPr>
            <w:r>
              <w:rPr>
                <w:b/>
                <w:bCs/>
                <w:color w:val="FFFFFF"/>
                <w:sz w:val="20"/>
                <w:szCs w:val="20"/>
              </w:rPr>
              <w:t xml:space="preserve">Innhold</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Impulssvar</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IRF for 7 sjokk. Kalibrert vs. estimert med 90% bootstrap KI. Sjokk-notater forklarer mekanismer bak kontraintuitive responser.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Historisk dekomposisjon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Observert vs. modellimplisert (H·ẑ_t). Sjokk-dekomposisjon (approks.). FEVD for BNP, KPI og boligpris med pedagogisk forklaring.</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Rentebane og fremskrivning</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Sjokk-betinget fremskrivning i observerbare nivåenheter. Aktive sjokk-panel. Sjokk-bidrag til rentebanen. Interaktiv ψ_R-slider (hurtigvalg K&amp;M/Normal/Estimert).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Fortegnssjekk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15 IRF-fortegnskrav. Modell- og estimeringsstatistikk. Kumulativ BNP-respons-søyle.</w:t>
            </w:r>
          </w:p>
        </w:tc>
      </w:tr>
      <w:tr>
        <w:trPr>
          <w:tblHeader w:val="false"/>
        </w:trP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Estimering</w:t>
            </w:r>
          </w:p>
        </w:tc>
        <w:tc>
          <w:tcPr>
            <w:tcW w:type="dxa" w:w="6626"/>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pPr>
            <w:r>
              <w:rPr>
                <w:b w:val="false"/>
                <w:bCs w:val="false"/>
                <w:color w:val="000000"/>
                <w:sz w:val="20"/>
                <w:szCs w:val="20"/>
              </w:rPr>
              <w:t xml:space="preserve">Posterior-tabell med PSRF og ESS. Normalapproksimasjoner til posterior. PSRF-søylediagram.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Modellstruktur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Kalibrerte vs. estimerte parametere. Nøkkellikninger. Datakilder.</w:t>
            </w:r>
          </w:p>
        </w:tc>
      </w:tr>
    </w:tbl>
    <w:p>
      <w:pPr>
        <w:spacing w:after="120"/>
        <w:jc w:val="both"/>
      </w:pPr>
      <w:r>
        <w:t xml:space="preserve">Enhetene er konsistente gjennom hele dashbordet: IRF-fanen bruker gap-enheter (%-avvik fra SS / pp ann.), mens rentebane-fanen bruker observerbare nivåenheter (% p.a., % år/år, % ann.).</w:t>
      </w:r>
    </w:p>
    <w:p>
      <w:r>
        <w:br w:type="page"/>
      </w:r>
    </w:p>
    <w:p>
      <w:pPr>
        <w:pStyle w:val="Heading1"/>
        <w:spacing w:after="120" w:before="360"/>
      </w:pPr>
      <w:r>
        <w:rPr>
          <w:b/>
          <w:bCs/>
        </w:rPr>
        <w:t xml:space="preserve">12  Begrensninger og videre arbeid</w:t>
      </w:r>
    </w:p>
    <w:p>
      <w:pPr>
        <w:pStyle w:val="Heading2"/>
        <w:spacing w:after="80" w:before="240"/>
      </w:pPr>
      <w:r>
        <w:t xml:space="preserve">12.1  Kjente begrensninger</w:t>
      </w:r>
    </w:p>
    <w:p>
      <w:pPr>
        <w:pStyle w:val="ListParagraph"/>
        <w:numPr>
          <w:ilvl w:val="0"/>
          <w:numId w:val="2"/>
        </w:numPr>
        <w:spacing w:after="60"/>
      </w:pPr>
      <w:r>
        <w:t xml:space="preserve">Historisk sjokk-dekomposisjon er approksimert via projeksjonsmetode. Bidragene summerer til modellimplisert serie, ikke til observert serie. Full strukturell identifikasjon er ikke implementert.</w:t>
      </w:r>
    </w:p>
    <w:p>
      <w:pPr>
        <w:pStyle w:val="ListParagraph"/>
        <w:numPr>
          <w:ilvl w:val="0"/>
          <w:numId w:val="2"/>
        </w:numPr>
        <w:spacing w:after="60"/>
      </w:pPr>
      <w:r>
        <w:t xml:space="preserve">Rentebanen er basert på en tilbakeskuende Taylor-regel, ikke en fremoverskuende tapsminimerende funksjon. Modellen kan ikke ta hensyn til skjønnsmessige vurderinger eller ny informasjon etter siste observasjon.</w:t>
      </w:r>
    </w:p>
    <w:p>
      <w:pPr>
        <w:pStyle w:val="ListParagraph"/>
        <w:numPr>
          <w:ilvl w:val="0"/>
          <w:numId w:val="2"/>
        </w:numPr>
        <w:spacing w:after="60"/>
      </w:pPr>
      <w:r>
        <w:t xml:space="preserve">Posterior-fordelinger i dashbordet er normalapproksimasjoner basert på MCMC-sammendrag (mean og std). Empiriske histogrammer fra MCMC-kjeden er ikke inlined pga. filstørrelse.</w:t>
      </w:r>
    </w:p>
    <w:p>
      <w:pPr>
        <w:pStyle w:val="ListParagraph"/>
        <w:numPr>
          <w:ilvl w:val="0"/>
          <w:numId w:val="2"/>
        </w:numPr>
        <w:spacing w:after="60"/>
      </w:pPr>
      <w:r>
        <w:t xml:space="preserve">Modellen er kvartalsvise — månedlige indikatorer kan ikke brukes direkte. Et mixed-frequency filter er planlagt.</w:t>
      </w:r>
    </w:p>
    <w:p>
      <w:pPr>
        <w:pStyle w:val="ListParagraph"/>
        <w:numPr>
          <w:ilvl w:val="0"/>
          <w:numId w:val="2"/>
        </w:numPr>
        <w:spacing w:after="60"/>
      </w:pPr>
      <w:r>
        <w:t xml:space="preserve">Boligprisprognose vises som gap-variabel, ikke absolutt prisnivå. Nivå-konvertering krever ekstern kalibrering av SS-boligprisnivå.</w:t>
      </w:r>
    </w:p>
    <w:p>
      <w:pPr>
        <w:pStyle w:val="ListParagraph"/>
        <w:numPr>
          <w:ilvl w:val="0"/>
          <w:numId w:val="2"/>
        </w:numPr>
        <w:spacing w:after="60"/>
      </w:pPr>
      <w:r>
        <w:t xml:space="preserve">Pengepol.-sjokket (ε_i) har ekstremt liten σ_i = 0.0003 fra K&amp;M 2019. Post-COVID-avvik fra regelen fremstår som svært store sjokk i standardiserte enheter (-15σ ved 2025K3). Løst via klipping til ±2σ.</w:t>
      </w:r>
    </w:p>
    <w:p>
      <w:pPr>
        <w:pStyle w:val="Heading2"/>
        <w:spacing w:after="80" w:before="240"/>
      </w:pPr>
      <w:r>
        <w:t xml:space="preserve">12.2  Planlagte utvidelser (Fase III)</w:t>
      </w:r>
    </w:p>
    <w:p>
      <w:pPr>
        <w:pStyle w:val="ListParagraph"/>
        <w:numPr>
          <w:ilvl w:val="0"/>
          <w:numId w:val="3"/>
        </w:numPr>
        <w:spacing w:after="60"/>
      </w:pPr>
      <w:r>
        <w:t xml:space="preserve">Løpende data-oppdatering: automatisk pipeline for SSB/Norges Bank/FRED med kvartalsvis re-kjøring av Kalman-filter og fremskrivning.</w:t>
      </w:r>
    </w:p>
    <w:p>
      <w:pPr>
        <w:pStyle w:val="ListParagraph"/>
        <w:numPr>
          <w:ilvl w:val="0"/>
          <w:numId w:val="3"/>
        </w:numPr>
        <w:spacing w:after="60"/>
      </w:pPr>
      <w:r>
        <w:t xml:space="preserve">Korrekt historisk sjokk-dekomposisjon via full Kalman-smoother og strukturell identifikasjon.</w:t>
      </w:r>
    </w:p>
    <w:p>
      <w:pPr>
        <w:pStyle w:val="ListParagraph"/>
        <w:numPr>
          <w:ilvl w:val="0"/>
          <w:numId w:val="3"/>
        </w:numPr>
        <w:spacing w:after="60"/>
      </w:pPr>
      <w:r>
        <w:t xml:space="preserve">Tapsminimerende pengepolitikkregel som erstatning for Taylor-regelen i fremskrivningsdelen.</w:t>
      </w:r>
    </w:p>
    <w:p>
      <w:pPr>
        <w:pStyle w:val="ListParagraph"/>
        <w:numPr>
          <w:ilvl w:val="0"/>
          <w:numId w:val="3"/>
        </w:numPr>
        <w:spacing w:after="60"/>
      </w:pPr>
      <w:r>
        <w:t xml:space="preserve">Mixed-frequency Kalman-filter for å inkorporere månedlige indikatorer.</w:t>
      </w:r>
    </w:p>
    <w:p>
      <w:pPr>
        <w:pStyle w:val="ListParagraph"/>
        <w:numPr>
          <w:ilvl w:val="0"/>
          <w:numId w:val="3"/>
        </w:numPr>
        <w:spacing w:after="60"/>
      </w:pPr>
      <w:r>
        <w:t xml:space="preserve">Re-estimering med utvidet observasjonssett inkl. yrkesprosent og kredittvekst (faktisk).</w:t>
      </w:r>
    </w:p>
    <w:p>
      <w:pPr>
        <w:pStyle w:val="ListParagraph"/>
        <w:numPr>
          <w:ilvl w:val="0"/>
          <w:numId w:val="3"/>
        </w:numPr>
        <w:spacing w:after="60"/>
      </w:pPr>
      <w:r>
        <w:t xml:space="preserve">Parameterusikkerhet i prognosebåndene (fan-charts inkl. parameter-posterior).</w:t>
      </w:r>
    </w:p>
    <w:p>
      <w:r>
        <w:br w:type="page"/>
      </w:r>
    </w:p>
    <w:p>
      <w:pPr>
        <w:pStyle w:val="Heading1"/>
        <w:spacing w:after="120" w:before="360"/>
      </w:pPr>
      <w:r>
        <w:rPr>
          <w:b/>
          <w:bCs/>
        </w:rPr>
        <w:t xml:space="preserve">Referanser</w:t>
      </w:r>
    </w:p>
    <w:p>
      <w:pPr>
        <w:pStyle w:val="ListParagraph"/>
        <w:numPr>
          <w:ilvl w:val="0"/>
          <w:numId w:val="2"/>
        </w:numPr>
        <w:spacing w:after="60"/>
      </w:pPr>
      <w:r>
        <w:t xml:space="preserve">An, S. og Schorfheide, F. (2007): «Bayesian Analysis of DSGE Models», Econometric Reviews 26(2-4), 113–172.</w:t>
      </w:r>
    </w:p>
    <w:p>
      <w:pPr>
        <w:pStyle w:val="ListParagraph"/>
        <w:numPr>
          <w:ilvl w:val="0"/>
          <w:numId w:val="2"/>
        </w:numPr>
        <w:spacing w:after="60"/>
      </w:pPr>
      <w:r>
        <w:t xml:space="preserve">Bergholt, D., Larsen, V.H. og Seneca, M. (2017): «Business cycles in an oil economy», Norges Bank Working Paper 01/2017.</w:t>
      </w:r>
    </w:p>
    <w:p>
      <w:pPr>
        <w:pStyle w:val="ListParagraph"/>
        <w:numPr>
          <w:ilvl w:val="0"/>
          <w:numId w:val="2"/>
        </w:numPr>
        <w:spacing w:after="60"/>
      </w:pPr>
      <w:r>
        <w:t xml:space="preserve">Brubakk, L. et al. (2006): «Finding NEMO: Documentation of the core model», Norges Bank Staff Memo 6/2006.</w:t>
      </w:r>
    </w:p>
    <w:p>
      <w:pPr>
        <w:pStyle w:val="ListParagraph"/>
        <w:numPr>
          <w:ilvl w:val="0"/>
          <w:numId w:val="2"/>
        </w:numPr>
        <w:spacing w:after="60"/>
      </w:pPr>
      <w:r>
        <w:t xml:space="preserve">Calvo, G. (1983): «Staggered prices in a utility-maximizing framework», Journal of Monetary Economics 12(3), 383–398.</w:t>
      </w:r>
    </w:p>
    <w:p>
      <w:pPr>
        <w:pStyle w:val="ListParagraph"/>
        <w:numPr>
          <w:ilvl w:val="0"/>
          <w:numId w:val="2"/>
        </w:numPr>
        <w:spacing w:after="60"/>
      </w:pPr>
      <w:r>
        <w:t xml:space="preserve">Canova, F. og Sala, L. (2009): «Back to square one: Identification issues in DSGE models», Journal of Monetary Economics 56(4), 431–449.</w:t>
      </w:r>
    </w:p>
    <w:p>
      <w:pPr>
        <w:pStyle w:val="ListParagraph"/>
        <w:numPr>
          <w:ilvl w:val="0"/>
          <w:numId w:val="2"/>
        </w:numPr>
        <w:spacing w:after="60"/>
      </w:pPr>
      <w:r>
        <w:t xml:space="preserve">Gelman, A. og Rubin, D. (1992): «Inference from iterative simulation using multiple sequences», Statistical Science 7(4), 457–472.</w:t>
      </w:r>
    </w:p>
    <w:p>
      <w:pPr>
        <w:pStyle w:val="ListParagraph"/>
        <w:numPr>
          <w:ilvl w:val="0"/>
          <w:numId w:val="2"/>
        </w:numPr>
        <w:spacing w:after="60"/>
      </w:pPr>
      <w:r>
        <w:t xml:space="preserve">Gelain, P., Lansing, K.J. og Mendicino, C. (2018): «House prices, credit growth, and excess volatility», Norges Bank Working Paper.</w:t>
      </w:r>
    </w:p>
    <w:p>
      <w:pPr>
        <w:pStyle w:val="ListParagraph"/>
        <w:numPr>
          <w:ilvl w:val="0"/>
          <w:numId w:val="2"/>
        </w:numPr>
        <w:spacing w:after="60"/>
      </w:pPr>
      <w:r>
        <w:t xml:space="preserve">Gerali, A. et al. (2010): «Credit and banking in a DSGE model of the euro area», Journal of Money, Credit and Banking 42, 107–141.</w:t>
      </w:r>
    </w:p>
    <w:p>
      <w:pPr>
        <w:pStyle w:val="ListParagraph"/>
        <w:numPr>
          <w:ilvl w:val="0"/>
          <w:numId w:val="2"/>
        </w:numPr>
        <w:spacing w:after="60"/>
      </w:pPr>
      <w:r>
        <w:t xml:space="preserve">Kravik, E.M. og Mimir, Y. (2019): «Navigating with NEMO», Norges Bank Staff Memo No. 5/2019.</w:t>
      </w:r>
    </w:p>
    <w:p>
      <w:pPr>
        <w:pStyle w:val="ListParagraph"/>
        <w:numPr>
          <w:ilvl w:val="0"/>
          <w:numId w:val="2"/>
        </w:numPr>
        <w:spacing w:after="60"/>
      </w:pPr>
      <w:r>
        <w:t xml:space="preserve">Rauch, H.E., Tung, F. og Striebel, C.T. (1965): «Maximum likelihood estimates of linear dynamic systems», AIAA Journal 3(8), 1445–1450.</w:t>
      </w:r>
    </w:p>
    <w:p>
      <w:pPr>
        <w:pStyle w:val="ListParagraph"/>
        <w:numPr>
          <w:ilvl w:val="0"/>
          <w:numId w:val="2"/>
        </w:numPr>
        <w:spacing w:after="60"/>
      </w:pPr>
      <w:r>
        <w:t xml:space="preserve">Rotemberg, J. (1982): «Sticky prices in the United States», Journal of Political Economy 90(6), 1187–1211.</w:t>
      </w:r>
    </w:p>
    <w:p>
      <w:pPr>
        <w:pStyle w:val="ListParagraph"/>
        <w:numPr>
          <w:ilvl w:val="0"/>
          <w:numId w:val="2"/>
        </w:numPr>
        <w:spacing w:after="60"/>
      </w:pPr>
      <w:r>
        <w:t xml:space="preserve">Smets, F. og Wouters, R. (2003): «An estimated dynamic stochastic general equilibrium model of the euro area», Journal of the European Economic Association 1(5), 1123–1175.</w:t>
      </w:r>
    </w:p>
    <w:p>
      <w:pPr>
        <w:pStyle w:val="ListParagraph"/>
        <w:numPr>
          <w:ilvl w:val="0"/>
          <w:numId w:val="2"/>
        </w:numPr>
        <w:spacing w:after="60"/>
      </w:pPr>
      <w:r>
        <w:t xml:space="preserve">Smets, F. og Wouters, R. (2007): «Shocks and frictions in US business cycles: A Bayesian DSGE approach», American Economic Review 97(3), 586–606.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space="1"/>
      </w:pBdr>
      <w:jc w:val="right"/>
    </w:pPr>
    <w:r>
      <w:rPr>
        <w:color w:val="7a7870"/>
        <w:sz w:val="18"/>
        <w:szCs w:val="18"/>
      </w:rPr>
      <w:t xml:space="preserve">Side </w:t>
    </w:r>
    <w:r>
      <w:rPr>
        <w:color w:val="7a7870"/>
        <w:sz w:val="18"/>
        <w:szCs w:val="18"/>
      </w:rPr>
      <w:fldChar w:fldCharType="begin"/>
      <w:instrText xml:space="preserve">PAGE</w:instrText>
      <w:fldChar w:fldCharType="separate"/>
      <w:fldChar w:fldCharType="end"/>
    </w:r>
    <w:r>
      <w:rPr>
        <w:color w:val="7a7870"/>
        <w:sz w:val="18"/>
        <w:szCs w:val="18"/>
      </w:rPr>
      <w:t xml:space="preserve"> av </w:t>
    </w:r>
    <w:r>
      <w:rPr>
        <w:color w:val="7a78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1"/>
      </w:pBdr>
      <w:tabs>
        <w:tab w:val="right" w:pos="9026"/>
      </w:tabs>
    </w:pPr>
    <w:r>
      <w:rPr>
        <w:color w:val="7a7870"/>
        <w:sz w:val="18"/>
        <w:szCs w:val="18"/>
      </w:rPr>
      <w:t xml:space="preserve">NEMO Fase II — Teknisk dokumentasjon</w:t>
    </w:r>
    <w:r>
      <w:rPr>
        <w:sz w:val="18"/>
        <w:szCs w:val="18"/>
      </w:rPr>
      <w:t xml:space="preserve">		</w:t>
    </w:r>
    <w:r>
      <w:rPr>
        <w:color w:val="7a7870"/>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fa8" w:sz="3" w:space="4"/>
      </w:pBdr>
      <w:spacing w:after="160" w:before="400"/>
      <w:outlineLvl w:val="0"/>
    </w:pPr>
    <w:rPr>
      <w:rFonts w:ascii="Calibri" w:cs="Calibri" w:eastAsia="Calibri" w:hAnsi="Calibri"/>
      <w:b/>
      <w:bCs/>
      <w:color w:val="1a5fa8"/>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0c4480"/>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1a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2026-04-19T18:29:39.425Z</dcterms:created>
  <dcterms:modified xsi:type="dcterms:W3CDTF">2026-04-19T18:29:39.426Z</dcterms:modified>
</cp:coreProperties>
</file>

<file path=docProps/custom.xml><?xml version="1.0" encoding="utf-8"?>
<Properties xmlns="http://schemas.openxmlformats.org/officeDocument/2006/custom-properties" xmlns:vt="http://schemas.openxmlformats.org/officeDocument/2006/docPropsVTypes"/>
</file>