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B6252" w14:textId="77777777" w:rsidR="00E6157B" w:rsidRDefault="00A25C33">
      <w:pPr>
        <w:pStyle w:val="Ttulo1"/>
      </w:pPr>
      <w:r>
        <w:t>identificação de perfis socioeconômicos de universitários prestadores do enade utilizando k-means</w:t>
      </w:r>
    </w:p>
    <w:p w14:paraId="3617DB9A" w14:textId="77777777" w:rsidR="00E6157B" w:rsidRDefault="00E615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i/>
          <w:color w:val="000000"/>
        </w:rPr>
      </w:pPr>
    </w:p>
    <w:p w14:paraId="4C506781" w14:textId="77777777" w:rsidR="00E6157B" w:rsidRDefault="00A25C3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t>Guilherme Zafra Garcia (e-mail); João Paulo Dutra Kreling</w:t>
      </w:r>
      <w:r>
        <w:rPr>
          <w:color w:val="000000"/>
        </w:rPr>
        <w:t xml:space="preserve"> (</w:t>
      </w:r>
      <w:r>
        <w:t>jpdk.97@gmail.com</w:t>
      </w:r>
      <w:r>
        <w:rPr>
          <w:color w:val="000000"/>
        </w:rPr>
        <w:t xml:space="preserve">); </w:t>
      </w:r>
      <w:r>
        <w:t>Marlon Alves Bomfim</w:t>
      </w:r>
      <w:r>
        <w:rPr>
          <w:color w:val="000000"/>
        </w:rPr>
        <w:t xml:space="preserve"> (</w:t>
      </w:r>
      <w:r>
        <w:t>marhlon@hotmail.com.br</w:t>
      </w:r>
      <w:r>
        <w:rPr>
          <w:color w:val="000000"/>
        </w:rPr>
        <w:t>)</w:t>
      </w:r>
    </w:p>
    <w:p w14:paraId="439FA16C" w14:textId="77777777" w:rsidR="00E6157B" w:rsidRDefault="00E6157B"/>
    <w:p w14:paraId="5E0072BE" w14:textId="5DDACF5D" w:rsidR="00E6157B" w:rsidRDefault="00A25C3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i/>
          <w:color w:val="000000"/>
        </w:rPr>
      </w:pPr>
      <w:r>
        <w:rPr>
          <w:b/>
          <w:i/>
          <w:color w:val="000000"/>
        </w:rPr>
        <w:t>Resumo:</w:t>
      </w:r>
      <w:r>
        <w:rPr>
          <w:i/>
          <w:color w:val="000000"/>
        </w:rPr>
        <w:t xml:space="preserve"> </w:t>
      </w:r>
      <w:r>
        <w:rPr>
          <w:i/>
        </w:rPr>
        <w:t xml:space="preserve">Devido à necessidade de identificar e ser assertivos ao criar medidas públicas e uma melhor relação com os estudantes, os governos têm disponibilizado bases de dados. Ter maior confiabilidade e precisão nas informações recebidas é vital na tomada de decisões, e a utilização de técnicas de aprendizado de máquina (do inglês, Machine Learning - ML) tem auxiliado para a criação de campanhas e políticas que melhor se adequam ao povo. Com este foco, este trabalho teve como objetivo a aplicação de técnicas de ML de agrupamento para identificar grupos de características socioeconômicas dos universitários, que realizaram o ENADE. Os dados foram pré-processados e foi utilizado a técnica </w:t>
      </w:r>
      <m:oMath>
        <m:r>
          <w:rPr>
            <w:rFonts w:ascii="Cambria Math" w:hAnsi="Cambria Math"/>
          </w:rPr>
          <m:t>k</m:t>
        </m:r>
      </m:oMath>
      <w:r w:rsidR="00E2468C">
        <w:t>-</w:t>
      </w:r>
      <w:r w:rsidR="00E2468C" w:rsidRPr="00544437">
        <w:rPr>
          <w:i/>
          <w:iCs/>
        </w:rPr>
        <w:t>means</w:t>
      </w:r>
      <w:r>
        <w:rPr>
          <w:i/>
        </w:rPr>
        <w:t>. O método buscou estabelecer uma relação entre os valores da base de dados para identificar a melhor distância e identificar a quais clusters pertencem. Os resultados foram satisfatórios, por permitirem identificar os perfis dos estudantes, assim como a relação com os cursos escolhidos.</w:t>
      </w:r>
    </w:p>
    <w:p w14:paraId="523EB9F1" w14:textId="0817A962" w:rsidR="00E6157B" w:rsidRDefault="00A25C3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i/>
          <w:color w:val="000000"/>
        </w:rPr>
      </w:pPr>
      <w:r>
        <w:rPr>
          <w:b/>
          <w:i/>
          <w:color w:val="000000"/>
        </w:rPr>
        <w:t>Palavras-chave:</w:t>
      </w:r>
      <w:r>
        <w:rPr>
          <w:i/>
          <w:color w:val="000000"/>
        </w:rPr>
        <w:t xml:space="preserve"> </w:t>
      </w:r>
      <w:r>
        <w:rPr>
          <w:i/>
        </w:rPr>
        <w:t>ENADE</w:t>
      </w:r>
      <w:r>
        <w:rPr>
          <w:i/>
          <w:color w:val="000000"/>
        </w:rPr>
        <w:t xml:space="preserve">; </w:t>
      </w:r>
      <w:r>
        <w:rPr>
          <w:i/>
        </w:rPr>
        <w:t>Ensino Superior</w:t>
      </w:r>
      <w:r>
        <w:rPr>
          <w:i/>
          <w:color w:val="000000"/>
        </w:rPr>
        <w:t xml:space="preserve">; </w:t>
      </w:r>
      <w:r>
        <w:rPr>
          <w:i/>
        </w:rPr>
        <w:t xml:space="preserve">Mineração de Dados; Agrupamento; </w:t>
      </w:r>
      <m:oMath>
        <m:r>
          <w:rPr>
            <w:rFonts w:ascii="Cambria Math" w:hAnsi="Cambria Math"/>
          </w:rPr>
          <m:t>k</m:t>
        </m:r>
      </m:oMath>
      <w:r w:rsidR="00E2468C">
        <w:t>-</w:t>
      </w:r>
      <w:r w:rsidR="00E2468C" w:rsidRPr="00544437">
        <w:rPr>
          <w:i/>
          <w:iCs/>
        </w:rPr>
        <w:t>means</w:t>
      </w:r>
      <w:r w:rsidR="00E2468C">
        <w:rPr>
          <w:i/>
          <w:iCs/>
        </w:rPr>
        <w:t>.</w:t>
      </w:r>
    </w:p>
    <w:p w14:paraId="4B702100" w14:textId="77777777" w:rsidR="00E6157B" w:rsidRDefault="00E6157B"/>
    <w:p w14:paraId="27AEDDA9" w14:textId="77777777" w:rsidR="00E6157B" w:rsidRDefault="00A25C33">
      <w:pPr>
        <w:pStyle w:val="Ttulo2"/>
        <w:ind w:left="720" w:hanging="360"/>
      </w:pPr>
      <w:r>
        <w:t>Introdução</w:t>
      </w:r>
    </w:p>
    <w:p w14:paraId="7A7A5C01" w14:textId="77777777" w:rsidR="00E6157B" w:rsidRDefault="00E6157B">
      <w:pPr>
        <w:spacing w:after="0"/>
        <w:ind w:left="720" w:firstLine="0"/>
      </w:pPr>
    </w:p>
    <w:p w14:paraId="12153ADE" w14:textId="77777777" w:rsidR="00574A7B" w:rsidRDefault="00574A7B" w:rsidP="00574A7B">
      <w:pPr>
        <w:spacing w:after="0"/>
        <w:ind w:firstLine="720"/>
      </w:pPr>
      <w:r>
        <w:t>Segundo Bourdieu &amp; Passeron (1970), a escola é o principal meio de legitimar e/ou perpetuar a diferença de classes socioeconômicas. Os resultados de vários testes de habilidade usados ​​para monitorar as políticas públicas fortalecem esta tese.</w:t>
      </w:r>
    </w:p>
    <w:p w14:paraId="53800AF3" w14:textId="77777777" w:rsidR="00574A7B" w:rsidRDefault="00574A7B" w:rsidP="00574A7B">
      <w:pPr>
        <w:spacing w:after="0"/>
        <w:ind w:firstLine="720"/>
      </w:pPr>
      <w:r>
        <w:t>O Exame Nacional de Desempenho dos Estudantes (ENADE) avalia o desempenho dos egressos dos cursos de graduação de acordo com os conteúdos programáticos especificados no guia do curso, aprofunda o desenvolvimento de competências e habilidades necessárias à formação geral e profissional e atualiza o nível de relacionamento do aluno com o Brasil e as realidades do mundo (Ministério da Educação - MEC, 2020).</w:t>
      </w:r>
    </w:p>
    <w:p w14:paraId="7230DDDF" w14:textId="010B9BDB" w:rsidR="00574A7B" w:rsidRDefault="00574A7B" w:rsidP="00574A7B">
      <w:pPr>
        <w:spacing w:after="0"/>
        <w:ind w:firstLine="720"/>
      </w:pPr>
      <w:r>
        <w:t>Com aplicação realizada desde 2004, o ENADE faz parte do Sistema Nacional de Avaliação da Educação Superior (S</w:t>
      </w:r>
      <w:r w:rsidR="002F59F2">
        <w:t>INAES</w:t>
      </w:r>
      <w:r>
        <w:t xml:space="preserve">), que inclui também avaliação de cursos de graduação e avaliação institucional. Juntos, eles formam um tripé de avaliação para entender a qualidade dos cursos e instituições de ensino superior brasileiros. Os resultados do ENADE, juntamente com as respostas aos questionários dos alunos, são a base para o cálculo dos indicadores de qualidade do ensino superior. Devem se inscrever calouros e graduados qualificados de cursos de graduação e técnicos </w:t>
      </w:r>
      <w:r>
        <w:lastRenderedPageBreak/>
        <w:t>avançados relacionados à área de avaliação da edição (Ministério da Educação - MEC, 2020).</w:t>
      </w:r>
    </w:p>
    <w:p w14:paraId="4C88014C" w14:textId="57BCACCC" w:rsidR="00E6157B" w:rsidRDefault="00574A7B" w:rsidP="00574A7B">
      <w:pPr>
        <w:spacing w:after="0"/>
        <w:ind w:firstLine="720"/>
      </w:pPr>
      <w:r>
        <w:t>Segundo o INEP, na edição de 2019, o Exame apresentou 435.469 concluintes inscritos no exame, sendo 333.894 (77%) estudantes de Instituições de Ensino Privadas e 101.575 (23%) de Instituições Públicas. Com base nos dados apresentados pelo INEP, pode ser observado que a maioria dos inscritos ainda são jovens, conforme pode-se verificar na Figura 1:</w:t>
      </w:r>
    </w:p>
    <w:p w14:paraId="17D3342C" w14:textId="77777777" w:rsidR="00A00820" w:rsidRDefault="00A00820" w:rsidP="00A00820">
      <w:pPr>
        <w:spacing w:after="0"/>
        <w:ind w:firstLine="720"/>
        <w:rPr>
          <w:highlight w:val="white"/>
        </w:rPr>
      </w:pPr>
    </w:p>
    <w:p w14:paraId="18A69E0C" w14:textId="77777777" w:rsidR="00E6157B" w:rsidRDefault="00A25C33">
      <w:pPr>
        <w:spacing w:after="0"/>
        <w:ind w:firstLine="0"/>
        <w:jc w:val="center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Figura 1 - Faixa etária ENADE 2019</w:t>
      </w:r>
    </w:p>
    <w:p w14:paraId="4B09F93E" w14:textId="2E2EBEE5" w:rsidR="00E6157B" w:rsidRDefault="00A25C33">
      <w:pPr>
        <w:spacing w:after="0"/>
        <w:ind w:firstLine="0"/>
        <w:jc w:val="center"/>
        <w:rPr>
          <w:sz w:val="20"/>
          <w:szCs w:val="20"/>
        </w:rPr>
      </w:pPr>
      <w:r>
        <w:rPr>
          <w:noProof/>
          <w:highlight w:val="white"/>
        </w:rPr>
        <w:drawing>
          <wp:inline distT="114300" distB="114300" distL="114300" distR="114300" wp14:anchorId="4B312782" wp14:editId="37C57D38">
            <wp:extent cx="5400675" cy="2138045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t="13333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1380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0"/>
          <w:szCs w:val="20"/>
          <w:highlight w:val="white"/>
        </w:rPr>
        <w:t>Fonte: INEP</w:t>
      </w:r>
      <w:r>
        <w:rPr>
          <w:sz w:val="20"/>
          <w:szCs w:val="20"/>
        </w:rPr>
        <w:t xml:space="preserve"> (2020)</w:t>
      </w:r>
      <w:r w:rsidR="00A00820">
        <w:rPr>
          <w:sz w:val="20"/>
          <w:szCs w:val="20"/>
        </w:rPr>
        <w:t>.</w:t>
      </w:r>
    </w:p>
    <w:p w14:paraId="525E2CE9" w14:textId="77777777" w:rsidR="00A00820" w:rsidRDefault="00A00820">
      <w:pPr>
        <w:spacing w:after="0"/>
        <w:ind w:firstLine="0"/>
        <w:jc w:val="center"/>
        <w:rPr>
          <w:sz w:val="20"/>
          <w:szCs w:val="20"/>
          <w:highlight w:val="white"/>
        </w:rPr>
      </w:pPr>
    </w:p>
    <w:p w14:paraId="1A662CF8" w14:textId="587DA4AE" w:rsidR="00A00820" w:rsidRDefault="00A00820" w:rsidP="00A00820">
      <w:pPr>
        <w:spacing w:after="0"/>
        <w:ind w:firstLine="720"/>
      </w:pPr>
      <w:r w:rsidRPr="00A00820">
        <w:t>Entrando em maiores detalhes socioeconômicos, observa-se a seguinte estratificação ilustrada na Figura 2</w:t>
      </w:r>
      <w:r>
        <w:t>:</w:t>
      </w:r>
    </w:p>
    <w:p w14:paraId="6723828C" w14:textId="77777777" w:rsidR="00A00820" w:rsidRDefault="00A00820" w:rsidP="00A00820">
      <w:pPr>
        <w:spacing w:after="0"/>
        <w:ind w:firstLine="720"/>
      </w:pPr>
    </w:p>
    <w:p w14:paraId="49302194" w14:textId="33F6B40D" w:rsidR="00E6157B" w:rsidRDefault="00A25C33">
      <w:pPr>
        <w:pBdr>
          <w:top w:val="nil"/>
          <w:left w:val="nil"/>
          <w:bottom w:val="nil"/>
          <w:right w:val="nil"/>
          <w:between w:val="nil"/>
        </w:pBdr>
        <w:spacing w:after="0"/>
        <w:ind w:firstLine="0"/>
        <w:jc w:val="center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Figura 2 - Estratificação socioeconômica</w:t>
      </w:r>
    </w:p>
    <w:p w14:paraId="56850D4C" w14:textId="77777777" w:rsidR="00E6157B" w:rsidRDefault="00A25C33">
      <w:pPr>
        <w:spacing w:after="0"/>
        <w:ind w:firstLine="0"/>
        <w:jc w:val="center"/>
        <w:rPr>
          <w:highlight w:val="white"/>
        </w:rPr>
      </w:pPr>
      <w:r>
        <w:rPr>
          <w:noProof/>
          <w:highlight w:val="white"/>
        </w:rPr>
        <w:drawing>
          <wp:inline distT="114300" distB="114300" distL="114300" distR="114300" wp14:anchorId="2E61A2C3" wp14:editId="72ADEF60">
            <wp:extent cx="5610375" cy="2543492"/>
            <wp:effectExtent l="0" t="0" r="0" b="0"/>
            <wp:docPr id="1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0375" cy="25434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0005F7" w14:textId="77777777" w:rsidR="00A00820" w:rsidRDefault="00A25C33" w:rsidP="00A00820">
      <w:pPr>
        <w:spacing w:after="0"/>
        <w:ind w:firstLine="0"/>
        <w:jc w:val="center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Fonte: INEP (2020)</w:t>
      </w:r>
      <w:r w:rsidR="00A00820">
        <w:rPr>
          <w:sz w:val="20"/>
          <w:szCs w:val="20"/>
          <w:highlight w:val="white"/>
        </w:rPr>
        <w:t>.</w:t>
      </w:r>
    </w:p>
    <w:p w14:paraId="6F5B41DB" w14:textId="77777777" w:rsidR="00A00820" w:rsidRDefault="00A00820" w:rsidP="00A00820">
      <w:pPr>
        <w:spacing w:after="0"/>
        <w:ind w:firstLine="0"/>
        <w:jc w:val="center"/>
        <w:rPr>
          <w:sz w:val="20"/>
          <w:szCs w:val="20"/>
          <w:highlight w:val="white"/>
        </w:rPr>
      </w:pPr>
    </w:p>
    <w:p w14:paraId="106A4F5A" w14:textId="5839EEB1" w:rsidR="00A00820" w:rsidRPr="00A00820" w:rsidRDefault="00574A7B" w:rsidP="00A00820">
      <w:pPr>
        <w:spacing w:after="0"/>
        <w:ind w:firstLine="720"/>
      </w:pPr>
      <w:r w:rsidRPr="00574A7B">
        <w:lastRenderedPageBreak/>
        <w:t>Conforme citado anteriormente a respeito do monitoramento de políticas públicas por parte do governo para melhorias e adequações, 60% dos inscritos são beneficiados por financiamento ou subsídios públicos conforme Figura 3</w:t>
      </w:r>
      <w:r>
        <w:t>:</w:t>
      </w:r>
    </w:p>
    <w:p w14:paraId="0874F991" w14:textId="77777777" w:rsidR="00A00820" w:rsidRDefault="00A00820" w:rsidP="00A00820">
      <w:pPr>
        <w:spacing w:after="0"/>
        <w:ind w:firstLine="0"/>
        <w:jc w:val="center"/>
        <w:rPr>
          <w:color w:val="212121"/>
          <w:highlight w:val="white"/>
        </w:rPr>
      </w:pPr>
    </w:p>
    <w:p w14:paraId="00B4C227" w14:textId="77777777" w:rsidR="00E6157B" w:rsidRDefault="00A25C33">
      <w:pPr>
        <w:pBdr>
          <w:top w:val="nil"/>
          <w:left w:val="nil"/>
          <w:bottom w:val="nil"/>
          <w:right w:val="nil"/>
          <w:between w:val="nil"/>
        </w:pBdr>
        <w:spacing w:after="0"/>
        <w:ind w:firstLine="0"/>
        <w:jc w:val="center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Figura 3 - Estratificação por beneficiários do Estado</w:t>
      </w:r>
    </w:p>
    <w:p w14:paraId="3189050C" w14:textId="77777777" w:rsidR="00E6157B" w:rsidRDefault="00A25C33">
      <w:pPr>
        <w:spacing w:after="0"/>
        <w:ind w:firstLine="0"/>
        <w:rPr>
          <w:color w:val="212121"/>
          <w:highlight w:val="white"/>
        </w:rPr>
      </w:pPr>
      <w:r>
        <w:rPr>
          <w:noProof/>
          <w:color w:val="212121"/>
          <w:highlight w:val="white"/>
        </w:rPr>
        <w:drawing>
          <wp:inline distT="114300" distB="114300" distL="114300" distR="114300" wp14:anchorId="15C51C3B" wp14:editId="45D8BBB4">
            <wp:extent cx="5399730" cy="2400300"/>
            <wp:effectExtent l="0" t="0" r="0" b="0"/>
            <wp:docPr id="1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40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935DA5" w14:textId="5839507D" w:rsidR="00E6157B" w:rsidRDefault="00A25C33">
      <w:pPr>
        <w:pBdr>
          <w:top w:val="nil"/>
          <w:left w:val="nil"/>
          <w:bottom w:val="nil"/>
          <w:right w:val="nil"/>
          <w:between w:val="nil"/>
        </w:pBdr>
        <w:spacing w:after="0"/>
        <w:ind w:firstLine="0"/>
        <w:jc w:val="center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Fonte: INEP (2020)</w:t>
      </w:r>
      <w:r w:rsidR="00A00820">
        <w:rPr>
          <w:sz w:val="20"/>
          <w:szCs w:val="20"/>
          <w:highlight w:val="white"/>
        </w:rPr>
        <w:t>.</w:t>
      </w:r>
    </w:p>
    <w:p w14:paraId="29D1A4BA" w14:textId="77777777" w:rsidR="00A00820" w:rsidRDefault="00A00820">
      <w:pPr>
        <w:pBdr>
          <w:top w:val="nil"/>
          <w:left w:val="nil"/>
          <w:bottom w:val="nil"/>
          <w:right w:val="nil"/>
          <w:between w:val="nil"/>
        </w:pBdr>
        <w:spacing w:after="0"/>
        <w:ind w:firstLine="0"/>
        <w:jc w:val="center"/>
        <w:rPr>
          <w:sz w:val="20"/>
          <w:szCs w:val="20"/>
          <w:highlight w:val="white"/>
        </w:rPr>
      </w:pPr>
    </w:p>
    <w:p w14:paraId="3D3E5984" w14:textId="77777777" w:rsidR="00574A7B" w:rsidRDefault="00574A7B" w:rsidP="00574A7B">
      <w:r>
        <w:t>Além das pontuações do ENADE (conceito ENADE), que visam avaliar diretamente o desempenho dos alunos, existem outras métricas utilizadas para formar indicadores de qualidade para cursos de ensino superior, por meio do conceito preliminar de curso (CPC), e instituições de ensino superior, que são avaliadas pelo índice geral de cursos (IGC).</w:t>
      </w:r>
    </w:p>
    <w:p w14:paraId="1BFCEF60" w14:textId="77777777" w:rsidR="00574A7B" w:rsidRDefault="00574A7B" w:rsidP="00574A7B">
      <w:r>
        <w:t>O conceito ENADE é um indicador de qualidade que avalia o curso com base no desempenho dos alunos no ENADE. Apenas são calculados e divulgados anualmente os cursos em que pelo menos dois alunos concluintes fazem o exame (Ministério da Educação - MEC, 2020).</w:t>
      </w:r>
    </w:p>
    <w:p w14:paraId="6BFD7C55" w14:textId="174C118B" w:rsidR="00E6157B" w:rsidRDefault="00574A7B" w:rsidP="00574A7B">
      <w:r>
        <w:t>Segundo o Ministério da Educação</w:t>
      </w:r>
      <w:r>
        <w:t xml:space="preserve"> </w:t>
      </w:r>
      <w:r>
        <w:t>(2020), no CPC, é calculado o conceito dos cursos avaliados,</w:t>
      </w:r>
      <w:r>
        <w:t xml:space="preserve"> </w:t>
      </w:r>
      <w:r>
        <w:t>atribuindo notas em escala de 1 a 5. Os seguintes fatores são considerados no cálculo:</w:t>
      </w:r>
    </w:p>
    <w:p w14:paraId="137F7FFD" w14:textId="77777777" w:rsidR="003F0640" w:rsidRDefault="003F0640" w:rsidP="003F0640">
      <w:pPr>
        <w:pStyle w:val="PargrafodaLista"/>
        <w:numPr>
          <w:ilvl w:val="0"/>
          <w:numId w:val="2"/>
        </w:numPr>
      </w:pPr>
      <w:r>
        <w:t xml:space="preserve">Conceito ENADE (desempenho do aluno na prova ENADE); </w:t>
      </w:r>
    </w:p>
    <w:p w14:paraId="1D5DC3E9" w14:textId="77777777" w:rsidR="003F0640" w:rsidRDefault="003F0640" w:rsidP="003F0640">
      <w:pPr>
        <w:pStyle w:val="PargrafodaLista"/>
        <w:numPr>
          <w:ilvl w:val="0"/>
          <w:numId w:val="2"/>
        </w:numPr>
      </w:pPr>
      <w:r>
        <w:t>Indicador da diferença entre desempenho observado e esperado (IDD);</w:t>
      </w:r>
    </w:p>
    <w:p w14:paraId="3131818F" w14:textId="77777777" w:rsidR="003F0640" w:rsidRDefault="003F0640" w:rsidP="003F0640">
      <w:pPr>
        <w:pStyle w:val="PargrafodaLista"/>
        <w:numPr>
          <w:ilvl w:val="0"/>
          <w:numId w:val="2"/>
        </w:numPr>
      </w:pPr>
      <w:r>
        <w:t xml:space="preserve">Professor: (informações sobre mestrado, doutorado e sistemas de trabalho do censo avançado)) </w:t>
      </w:r>
    </w:p>
    <w:p w14:paraId="29C039A9" w14:textId="40272F10" w:rsidR="00A00820" w:rsidRDefault="003F0640" w:rsidP="003F0640">
      <w:pPr>
        <w:pStyle w:val="PargrafodaLista"/>
        <w:numPr>
          <w:ilvl w:val="0"/>
          <w:numId w:val="2"/>
        </w:numPr>
      </w:pPr>
      <w:r>
        <w:t>Alunos: visão sobre o processo de formação (informações do Questionário do Aluno do ENADE)</w:t>
      </w:r>
      <w:r w:rsidR="002F59F2">
        <w:t xml:space="preserve"> </w:t>
      </w:r>
      <w:r>
        <w:t>(Ministério da Educação - MEC, 2020).</w:t>
      </w:r>
    </w:p>
    <w:p w14:paraId="7E39C23B" w14:textId="77777777" w:rsidR="00574A7B" w:rsidRDefault="00574A7B" w:rsidP="00574A7B">
      <w:r>
        <w:lastRenderedPageBreak/>
        <w:t>O IGC é um indicador expresso em conceitos, com pontuação variável de um a cinco pontos. O índice é resultado da média ponderada do (CPC), indicador de avaliação de cursos de graduação, e obedece a um ciclo de três anos, em combinação com o resultado do ENADE, que mede o desempenho dos estudantes (Ministério da Educação - MEC, 2020).</w:t>
      </w:r>
    </w:p>
    <w:p w14:paraId="08DD50E4" w14:textId="103305D6" w:rsidR="00574A7B" w:rsidRDefault="00574A7B" w:rsidP="00574A7B">
      <w:r>
        <w:t xml:space="preserve">Com a crescente acessibilidade a dispositivos mais tecnológicos, para Alpaydin (2016), a maioria das tarefas que eram executadas manualmente no passado agora são realizadas automaticamente por máquinas. Outrora, os dados tinham um comportamento passivo, apenas manipulados para processamento e devolvidos ao utilizador. Hoje, o programador começa a atingir esta função mais passiva, pois o próprio algoritmo aprende por conta própria, definindo o passo seguinte, se tornando cada vez mais independente do programador. De acordo com Alpaydin (2016), dados coletados previamente podem ser usados ​​para encontrar padrões de comportamento e, apoiado nestes padrões, é possível desenvolver uma previsão de um próximo comportamento futuro, ou seja, antever o que vai acontecer e ajudar a compreender o sistema como um todo. Isso é chamado de mineração de dados (data mining), o qual grandes quantidades de dados são </w:t>
      </w:r>
      <w:r w:rsidR="002F59F2">
        <w:t>processadas</w:t>
      </w:r>
      <w:r>
        <w:t xml:space="preserve"> ​​para elaborar modelos mais simples, mas valiosos.</w:t>
      </w:r>
    </w:p>
    <w:p w14:paraId="2D74ED42" w14:textId="40BAA859" w:rsidR="00574A7B" w:rsidRDefault="00574A7B" w:rsidP="00574A7B">
      <w:r>
        <w:t>Na mineração de dados, existem algumas técnicas de aprendizado de máquina (</w:t>
      </w:r>
      <w:r w:rsidR="002F59F2" w:rsidRPr="002F59F2">
        <w:rPr>
          <w:i/>
          <w:iCs/>
        </w:rPr>
        <w:t>Machine</w:t>
      </w:r>
      <w:r w:rsidRPr="002F59F2">
        <w:rPr>
          <w:i/>
          <w:iCs/>
        </w:rPr>
        <w:t xml:space="preserve"> </w:t>
      </w:r>
      <w:r w:rsidR="002F59F2">
        <w:rPr>
          <w:i/>
          <w:iCs/>
        </w:rPr>
        <w:t>L</w:t>
      </w:r>
      <w:r w:rsidRPr="002F59F2">
        <w:rPr>
          <w:i/>
          <w:iCs/>
        </w:rPr>
        <w:t>earning</w:t>
      </w:r>
      <w:r>
        <w:t>). Segundo Mahesh (2018), essas técnicas são utilizadas para orientar as máquinas a processar dados de maneira mais eficiente por meio de algoritmos, devido não ser possível interpretar e extrair o conteúdo necessário do banco de dados. Além disso, a procura por esse recurso segue ampliando devido ao grande número de novos conjuntos de dados disponíveis.</w:t>
      </w:r>
    </w:p>
    <w:p w14:paraId="79BEB9D1" w14:textId="77777777" w:rsidR="00574A7B" w:rsidRDefault="00574A7B" w:rsidP="00574A7B">
      <w:r>
        <w:t>De acordo com Ayodele (2010), o aprendizado de máquina envolve arquitetar algoritmos que possibilitem que os computadores pratiquem, assimilem e aprendam, o qual o comportamento de aprendizagem se resume a encontrar estatísticas, ordenamentos e outros padrões nos dados em estudo. Portanto, o tipo de algoritmo usado depende de fatores como o contexto de problema a ser resolvido, o número de variáveis, dentre outros (AYODELE, 2010).</w:t>
      </w:r>
    </w:p>
    <w:p w14:paraId="24EB73A6" w14:textId="77777777" w:rsidR="00574A7B" w:rsidRDefault="00574A7B" w:rsidP="00574A7B">
      <w:r>
        <w:t xml:space="preserve">O foco do presente artigo é a utilização de técnicas de clusterização com o algoritmo de agrupamento de dados k-means para realizar a identificação do perfil dos alunos avaliados no ENADE, buscando compreender as características e individualidades socioeconômicas dos inscritos. </w:t>
      </w:r>
    </w:p>
    <w:p w14:paraId="77C0705B" w14:textId="77777777" w:rsidR="00574A7B" w:rsidRDefault="00574A7B" w:rsidP="00574A7B">
      <w:r>
        <w:t>O seguinte trabalho visa a demonstração prática dos vários perfis socioeconômicos e suas particularidades relacionadas aos inscritos do Exame Nacional de Desempenho dos Estudantes (ENADE).</w:t>
      </w:r>
    </w:p>
    <w:p w14:paraId="688B9182" w14:textId="796BD830" w:rsidR="003F0640" w:rsidRDefault="00574A7B" w:rsidP="00574A7B">
      <w:r>
        <w:lastRenderedPageBreak/>
        <w:t xml:space="preserve">Nesta seção foram apresentados o desenvolvimento em relação sobre os perfis socioeconômicos dos alunos, métricas de avaliação do ensino superior e os principais estudos sobre </w:t>
      </w:r>
      <w:r w:rsidR="002F59F2" w:rsidRPr="002F59F2">
        <w:rPr>
          <w:i/>
          <w:iCs/>
        </w:rPr>
        <w:t>Machine</w:t>
      </w:r>
      <w:r w:rsidRPr="002F59F2">
        <w:rPr>
          <w:i/>
          <w:iCs/>
        </w:rPr>
        <w:t xml:space="preserve"> </w:t>
      </w:r>
      <w:r w:rsidR="002F59F2">
        <w:rPr>
          <w:i/>
          <w:iCs/>
        </w:rPr>
        <w:t>L</w:t>
      </w:r>
      <w:r w:rsidRPr="002F59F2">
        <w:rPr>
          <w:i/>
          <w:iCs/>
        </w:rPr>
        <w:t>earning</w:t>
      </w:r>
      <w:r>
        <w:t xml:space="preserve"> e </w:t>
      </w:r>
      <w:r w:rsidR="002F59F2">
        <w:rPr>
          <w:i/>
          <w:iCs/>
        </w:rPr>
        <w:t>D</w:t>
      </w:r>
      <w:r w:rsidRPr="002F59F2">
        <w:rPr>
          <w:i/>
          <w:iCs/>
        </w:rPr>
        <w:t xml:space="preserve">ata </w:t>
      </w:r>
      <w:r w:rsidR="002F59F2">
        <w:rPr>
          <w:i/>
          <w:iCs/>
        </w:rPr>
        <w:t>M</w:t>
      </w:r>
      <w:r w:rsidRPr="002F59F2">
        <w:rPr>
          <w:i/>
          <w:iCs/>
        </w:rPr>
        <w:t>ining</w:t>
      </w:r>
      <w:r>
        <w:t>. Na Seção 2 foi feita uma descrição dos passos executados durante o desenvolvimento da pesquisa e a descrição do conjunto de dados e as ferramentas utilizadas. Na Seção 3 é discorrido sobre os resultados obtidos e uma análise para interpretação dos mesmos. Na Seção 4 conclui-se este artigo com uma discussão sobre os resultados empíricos e suas implicações para trabalhos futuros.</w:t>
      </w:r>
    </w:p>
    <w:p w14:paraId="7697A6B0" w14:textId="77777777" w:rsidR="00E6157B" w:rsidRDefault="00A25C33">
      <w:pPr>
        <w:pStyle w:val="Ttulo2"/>
        <w:ind w:left="720" w:hanging="360"/>
      </w:pPr>
      <w:r>
        <w:t>Materiais e Métodos</w:t>
      </w:r>
    </w:p>
    <w:p w14:paraId="32E297AA" w14:textId="439C6921" w:rsidR="00E6157B" w:rsidRDefault="00A25C33">
      <w:pPr>
        <w:spacing w:after="0"/>
        <w:ind w:firstLine="566"/>
      </w:pPr>
      <w:r>
        <w:t>Os dados foram pré-processados e analisados utilizando a linguagem de programação Python, versão 3.7.12, a partir da IDE online Google Colab. As etapas de implementação das fases executadas estão descritas na sequência e representadas no fluxograma da Figura 4</w:t>
      </w:r>
      <w:r w:rsidR="00D5304E">
        <w:t>:</w:t>
      </w:r>
    </w:p>
    <w:p w14:paraId="6279DF71" w14:textId="77777777" w:rsidR="00D5304E" w:rsidRDefault="00D5304E">
      <w:pPr>
        <w:spacing w:after="0"/>
        <w:ind w:firstLine="566"/>
      </w:pPr>
    </w:p>
    <w:p w14:paraId="39E113A0" w14:textId="2F3C2A32" w:rsidR="00E6157B" w:rsidRDefault="00A25C33">
      <w:pPr>
        <w:spacing w:after="0"/>
        <w:ind w:firstLine="0"/>
        <w:jc w:val="center"/>
      </w:pPr>
      <w:r>
        <w:rPr>
          <w:sz w:val="20"/>
          <w:szCs w:val="20"/>
          <w:highlight w:val="white"/>
        </w:rPr>
        <w:t>Figura 4 - Etapas do processamento dos dados</w:t>
      </w:r>
    </w:p>
    <w:p w14:paraId="0ABAA3D1" w14:textId="77777777" w:rsidR="00E6157B" w:rsidRDefault="00A25C33">
      <w:pPr>
        <w:spacing w:after="0"/>
        <w:ind w:firstLine="0"/>
        <w:jc w:val="center"/>
      </w:pPr>
      <w:r>
        <w:rPr>
          <w:noProof/>
        </w:rPr>
        <w:drawing>
          <wp:inline distT="114300" distB="114300" distL="114300" distR="114300" wp14:anchorId="26A5D20B" wp14:editId="4277A7D1">
            <wp:extent cx="5399730" cy="1866900"/>
            <wp:effectExtent l="0" t="0" r="0" b="0"/>
            <wp:docPr id="15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186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2B2F5D" w14:textId="16DE569F" w:rsidR="00E6157B" w:rsidRDefault="00A25C33">
      <w:pPr>
        <w:spacing w:after="0"/>
        <w:ind w:firstLine="0"/>
        <w:jc w:val="center"/>
        <w:rPr>
          <w:sz w:val="20"/>
          <w:szCs w:val="20"/>
        </w:rPr>
      </w:pPr>
      <w:r>
        <w:rPr>
          <w:sz w:val="20"/>
          <w:szCs w:val="20"/>
          <w:highlight w:val="white"/>
        </w:rPr>
        <w:t>Fonte: os autores (2021).</w:t>
      </w:r>
    </w:p>
    <w:p w14:paraId="6AADBDE4" w14:textId="77777777" w:rsidR="00D5304E" w:rsidRDefault="00D5304E">
      <w:pPr>
        <w:spacing w:after="0"/>
        <w:ind w:firstLine="0"/>
        <w:jc w:val="center"/>
      </w:pPr>
    </w:p>
    <w:p w14:paraId="54C4E397" w14:textId="23502D20" w:rsidR="00E6157B" w:rsidRDefault="00A25C33">
      <w:pPr>
        <w:spacing w:after="0"/>
      </w:pPr>
      <w:r>
        <w:t>A base de dados bruta foi importada no programa e o filtro inicial foi realizado. Para esta primeira etapa, houve a análise de dados faltantes nas mais de 430 mil instâncias e mais de 137 atributos. A Figura 5 ilustra a ocorrência de dados faltantes, representada pela cor azul clara, enquanto que existe determinado dado onde há o azul escuro.</w:t>
      </w:r>
    </w:p>
    <w:p w14:paraId="55DFE1B1" w14:textId="77777777" w:rsidR="00617B9D" w:rsidRDefault="00617B9D">
      <w:pPr>
        <w:spacing w:after="0"/>
      </w:pPr>
    </w:p>
    <w:p w14:paraId="205C0BC6" w14:textId="77777777" w:rsidR="00E6157B" w:rsidRDefault="00A25C33">
      <w:pPr>
        <w:spacing w:after="0"/>
        <w:ind w:firstLine="0"/>
        <w:jc w:val="center"/>
      </w:pPr>
      <w:r>
        <w:rPr>
          <w:sz w:val="20"/>
          <w:szCs w:val="20"/>
          <w:highlight w:val="white"/>
        </w:rPr>
        <w:t xml:space="preserve">Figura 5 - </w:t>
      </w:r>
      <w:r>
        <w:rPr>
          <w:i/>
          <w:sz w:val="20"/>
          <w:szCs w:val="20"/>
          <w:highlight w:val="white"/>
        </w:rPr>
        <w:t>Heatmap</w:t>
      </w:r>
      <w:r>
        <w:rPr>
          <w:sz w:val="20"/>
          <w:szCs w:val="20"/>
          <w:highlight w:val="white"/>
        </w:rPr>
        <w:t xml:space="preserve"> dos dados faltantes</w:t>
      </w:r>
    </w:p>
    <w:p w14:paraId="063C5E56" w14:textId="77777777" w:rsidR="00E6157B" w:rsidRDefault="00A25C33">
      <w:pPr>
        <w:spacing w:after="0"/>
        <w:ind w:firstLine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036DE322" wp14:editId="29AF398A">
            <wp:extent cx="5399730" cy="3784600"/>
            <wp:effectExtent l="0" t="0" r="0" b="0"/>
            <wp:docPr id="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784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FBAD95" w14:textId="65BB5D4A" w:rsidR="00E6157B" w:rsidRDefault="00A25C33">
      <w:pPr>
        <w:spacing w:after="0"/>
        <w:ind w:firstLine="0"/>
        <w:jc w:val="center"/>
        <w:rPr>
          <w:sz w:val="20"/>
          <w:szCs w:val="20"/>
        </w:rPr>
      </w:pPr>
      <w:r>
        <w:rPr>
          <w:sz w:val="20"/>
          <w:szCs w:val="20"/>
          <w:highlight w:val="white"/>
        </w:rPr>
        <w:t>Fonte: os autores (2021)</w:t>
      </w:r>
      <w:r w:rsidR="00617B9D">
        <w:rPr>
          <w:sz w:val="20"/>
          <w:szCs w:val="20"/>
        </w:rPr>
        <w:t>.</w:t>
      </w:r>
    </w:p>
    <w:p w14:paraId="5FF6DE0F" w14:textId="77777777" w:rsidR="00617B9D" w:rsidRDefault="00617B9D">
      <w:pPr>
        <w:spacing w:after="0"/>
        <w:ind w:firstLine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63F0AA3" w14:textId="1CB1E129" w:rsidR="00E6157B" w:rsidRDefault="00A25C3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t>Percebe-se na Figura 5 que há variáveis com inúmeros dados faltantes, precisamente 3.064.184 valores faltantes, correspondendo a 5,15% de toda a base. Para o pré-processamento, primeiramente foi realizada a filtragem dos atributos, as variáveis foram selecionadas por ter relação com perguntas socioeconômicas, e informações do curso, mantendo-se um conjunto com as quantidades iniciais de instâncias, com 23 atributos e apenas 4,95% dos dados faltantes. Os dados dos alunos cujo exame ENADE não foram prestados, ou haviam informações faltantes, foram removidos, resultando em 387</w:t>
      </w:r>
      <w:r w:rsidR="00617B9D">
        <w:t>.</w:t>
      </w:r>
      <w:r>
        <w:t>351 instâncias.</w:t>
      </w:r>
    </w:p>
    <w:p w14:paraId="4B88036E" w14:textId="6F179119" w:rsidR="00E6157B" w:rsidRDefault="00A25C33">
      <w:pPr>
        <w:spacing w:after="0"/>
      </w:pPr>
      <w:r>
        <w:t>Na sequência foi realizado a alteração do nome das colunas, para facilitação da identificação dos atributos dentro da base de dados, e substituição das instâncias caracterizadas como “</w:t>
      </w:r>
      <w:r>
        <w:rPr>
          <w:i/>
        </w:rPr>
        <w:t>strings</w:t>
      </w:r>
      <w:r>
        <w:t>” para valores “</w:t>
      </w:r>
      <w:r>
        <w:rPr>
          <w:i/>
        </w:rPr>
        <w:t>integer 64</w:t>
      </w:r>
      <w:r>
        <w:t>”. Foi então analisado o agrupamento dos dados com base na Idade, Sexo, Raça, Modalidade, e dificuldades ao longo do ensino superior.</w:t>
      </w:r>
    </w:p>
    <w:p w14:paraId="3BF8623C" w14:textId="77826470" w:rsidR="00E6157B" w:rsidRDefault="00A25C33">
      <w:pPr>
        <w:spacing w:after="0"/>
      </w:pPr>
      <w:r>
        <w:t>Para realizar a tarefa de agrupamento, fo</w:t>
      </w:r>
      <w:r w:rsidR="00617B9D">
        <w:t>i</w:t>
      </w:r>
      <w:r>
        <w:t xml:space="preserve"> aplicad</w:t>
      </w:r>
      <w:r w:rsidR="00617B9D">
        <w:t xml:space="preserve">o a </w:t>
      </w:r>
      <w:r>
        <w:t>técnica</w:t>
      </w:r>
      <w:r w:rsidR="00617B9D">
        <w:t xml:space="preserve"> </w:t>
      </w:r>
      <m:oMath>
        <m:r>
          <w:rPr>
            <w:rFonts w:ascii="Cambria Math" w:hAnsi="Cambria Math"/>
          </w:rPr>
          <m:t>k</m:t>
        </m:r>
      </m:oMath>
      <w:r w:rsidR="00617B9D">
        <w:t>-</w:t>
      </w:r>
      <w:r w:rsidR="00544437" w:rsidRPr="00544437">
        <w:rPr>
          <w:i/>
          <w:iCs/>
        </w:rPr>
        <w:t>m</w:t>
      </w:r>
      <w:r w:rsidR="00617B9D" w:rsidRPr="00544437">
        <w:rPr>
          <w:i/>
          <w:iCs/>
        </w:rPr>
        <w:t>eans</w:t>
      </w:r>
      <w:r>
        <w:t xml:space="preserve">. O número de </w:t>
      </w:r>
      <w:r w:rsidRPr="00760C32">
        <w:rPr>
          <w:i/>
          <w:iCs/>
        </w:rPr>
        <w:t>clusters</w:t>
      </w:r>
      <w:r>
        <w:t xml:space="preserve"> </w:t>
      </w:r>
      <w:r w:rsidR="002D0BC0">
        <w:t xml:space="preserve">de maneira empírica, </w:t>
      </w:r>
      <w:r>
        <w:t>foi considerado 4 para execução das atividades de agrupamento</w:t>
      </w:r>
      <w:r w:rsidR="002D0BC0">
        <w:t xml:space="preserve"> devido a quantidade de instâncias identificadas nesta base de dados.</w:t>
      </w:r>
      <w:r>
        <w:t xml:space="preserve"> A avaliação do modelo foi feita a partir da plotagem gráfica, e estabelecendo a relação dos dados entre eles.</w:t>
      </w:r>
    </w:p>
    <w:p w14:paraId="42DD7861" w14:textId="77777777" w:rsidR="00E6157B" w:rsidRDefault="00E6157B">
      <w:pPr>
        <w:spacing w:after="0"/>
      </w:pPr>
    </w:p>
    <w:p w14:paraId="4560003F" w14:textId="77777777" w:rsidR="00E6157B" w:rsidRDefault="00A25C33">
      <w:pPr>
        <w:pStyle w:val="Ttulo2"/>
        <w:ind w:left="720" w:hanging="360"/>
      </w:pPr>
      <w:r>
        <w:lastRenderedPageBreak/>
        <w:t>Resultados e Discussão</w:t>
      </w:r>
    </w:p>
    <w:p w14:paraId="0EF65704" w14:textId="153F716B" w:rsidR="00E6157B" w:rsidRDefault="00A25C33">
      <w:pPr>
        <w:spacing w:after="0"/>
      </w:pPr>
      <w:r>
        <w:t xml:space="preserve">Após a coleta dos dados e a seleção dos mesmos, chegou-se a uma base de dados com um total de 387342 alunos inscritos no ensino superior que prestaram o ENADE, caracterizados por 23 atributos. Este conjunto de dados foi submetido a análise do número de grupos ideal, parâmetro demandado pelo algoritmo </w:t>
      </w:r>
      <m:oMath>
        <m:r>
          <w:rPr>
            <w:rFonts w:ascii="Cambria Math" w:hAnsi="Cambria Math"/>
          </w:rPr>
          <m:t>k</m:t>
        </m:r>
      </m:oMath>
      <w:r w:rsidR="009B3AF9">
        <w:t>-</w:t>
      </w:r>
      <w:r w:rsidR="009B3AF9" w:rsidRPr="00544437">
        <w:rPr>
          <w:i/>
          <w:iCs/>
        </w:rPr>
        <w:t>means</w:t>
      </w:r>
      <w:r>
        <w:t>.</w:t>
      </w:r>
    </w:p>
    <w:p w14:paraId="1B74FE09" w14:textId="77777777" w:rsidR="00E6157B" w:rsidRDefault="00A25C33">
      <w:pPr>
        <w:spacing w:after="0"/>
      </w:pPr>
      <w:r>
        <w:t xml:space="preserve">Como a base de dados é relacionada ao exame aplicado em 2019, foram avaliados 49 cursos, das áreas de ciências biológicas e exatas, e a constituição das informações dos cursos foram mantidas com os seus códigos junto ao MEC durante a realização da avaliação dos </w:t>
      </w:r>
      <w:r w:rsidRPr="00760C32">
        <w:rPr>
          <w:i/>
          <w:iCs/>
        </w:rPr>
        <w:t>clusters</w:t>
      </w:r>
      <w:r>
        <w:t>.</w:t>
      </w:r>
    </w:p>
    <w:p w14:paraId="724260FB" w14:textId="77777777" w:rsidR="00E6157B" w:rsidRDefault="00E6157B">
      <w:pPr>
        <w:spacing w:after="0"/>
      </w:pPr>
    </w:p>
    <w:p w14:paraId="22876D9D" w14:textId="6FA62355" w:rsidR="00E6157B" w:rsidRDefault="00A25C33">
      <w:pPr>
        <w:spacing w:after="0"/>
      </w:pPr>
      <w:r>
        <w:rPr>
          <w:b/>
          <w:sz w:val="24"/>
          <w:szCs w:val="24"/>
        </w:rPr>
        <w:t>3.</w:t>
      </w:r>
      <w:r w:rsidR="009B3AF9">
        <w:rPr>
          <w:b/>
          <w:sz w:val="24"/>
          <w:szCs w:val="24"/>
        </w:rPr>
        <w:t>1</w:t>
      </w:r>
      <w:r>
        <w:rPr>
          <w:b/>
          <w:sz w:val="24"/>
          <w:szCs w:val="24"/>
        </w:rPr>
        <w:t xml:space="preserve"> Análise dos </w:t>
      </w:r>
      <w:r w:rsidRPr="0006335D">
        <w:rPr>
          <w:b/>
          <w:i/>
          <w:iCs/>
          <w:sz w:val="24"/>
          <w:szCs w:val="24"/>
        </w:rPr>
        <w:t>cluster</w:t>
      </w:r>
      <w:r>
        <w:rPr>
          <w:b/>
          <w:sz w:val="24"/>
          <w:szCs w:val="24"/>
        </w:rPr>
        <w:t xml:space="preserve"> entre as relações de atributos</w:t>
      </w:r>
    </w:p>
    <w:p w14:paraId="4771FFF2" w14:textId="77777777" w:rsidR="00C661CA" w:rsidRDefault="00C661CA" w:rsidP="00C661CA">
      <w:pPr>
        <w:spacing w:after="0"/>
      </w:pPr>
      <w:r>
        <w:t xml:space="preserve">Os </w:t>
      </w:r>
      <w:r w:rsidRPr="00760C32">
        <w:rPr>
          <w:i/>
        </w:rPr>
        <w:t>clusters</w:t>
      </w:r>
      <w:r>
        <w:t xml:space="preserve"> analisados permitiram compreender que a avaliação de quais características é mais forte quando se trata a qual curso está matriculado e a idade do universitário, porém não deixa de traçar alguns paralelos importantes dentro de cada </w:t>
      </w:r>
      <w:r>
        <w:rPr>
          <w:i/>
        </w:rPr>
        <w:t>cluster</w:t>
      </w:r>
      <w:r>
        <w:t>.</w:t>
      </w:r>
    </w:p>
    <w:p w14:paraId="3180C633" w14:textId="735F4840" w:rsidR="000534FC" w:rsidRDefault="00515FBC" w:rsidP="00C661CA">
      <w:pPr>
        <w:spacing w:after="0"/>
      </w:pPr>
      <w:r>
        <w:t>No cluster 00,</w:t>
      </w:r>
      <w:r w:rsidR="005C3660">
        <w:t xml:space="preserve"> é formado por cursos da área exatas, entre eles estão cursos como Engenharia de Produção e Tecnologia em segurança do trabalho, tenho uma média de idade de </w:t>
      </w:r>
      <w:r w:rsidR="000534FC">
        <w:t>26,71 anos</w:t>
      </w:r>
      <w:r w:rsidR="005C3660">
        <w:t>,</w:t>
      </w:r>
      <w:r w:rsidR="000534FC">
        <w:t xml:space="preserve"> em que 52,32% dos estudantes é do sexo</w:t>
      </w:r>
      <w:r w:rsidR="00A76357">
        <w:t xml:space="preserve"> </w:t>
      </w:r>
      <w:r w:rsidR="000534FC">
        <w:t>masculino,</w:t>
      </w:r>
      <w:r>
        <w:t xml:space="preserve"> </w:t>
      </w:r>
      <w:r w:rsidR="005C3660">
        <w:t>com a faixa de renda entre 3</w:t>
      </w:r>
      <w:r w:rsidR="005C3660">
        <w:t xml:space="preserve"> a 4,5</w:t>
      </w:r>
      <w:r w:rsidR="005C3660">
        <w:t xml:space="preserve"> salários mínimos</w:t>
      </w:r>
      <w:r w:rsidR="005C3660">
        <w:t xml:space="preserve"> como predominante</w:t>
      </w:r>
      <w:r>
        <w:t>.</w:t>
      </w:r>
      <w:r w:rsidR="000534FC">
        <w:t xml:space="preserve"> </w:t>
      </w:r>
      <w:r w:rsidR="00C661CA">
        <w:t xml:space="preserve">Para o </w:t>
      </w:r>
      <w:r w:rsidR="00C661CA">
        <w:rPr>
          <w:i/>
        </w:rPr>
        <w:t>cluster</w:t>
      </w:r>
      <w:r w:rsidR="00E06741">
        <w:rPr>
          <w:i/>
        </w:rPr>
        <w:t xml:space="preserve"> 01</w:t>
      </w:r>
      <w:r w:rsidR="00C661CA">
        <w:t xml:space="preserve">, </w:t>
      </w:r>
      <w:r w:rsidR="00C661CA">
        <w:t xml:space="preserve">há uma predominância dos </w:t>
      </w:r>
      <w:r w:rsidR="00C661CA">
        <w:t>cursos de ciências biológicas</w:t>
      </w:r>
      <w:r w:rsidR="00C661CA">
        <w:t xml:space="preserve"> (como medicina, enfermagem etc)</w:t>
      </w:r>
      <w:r w:rsidR="00C661CA">
        <w:t xml:space="preserve">, </w:t>
      </w:r>
      <w:r w:rsidR="00C661CA">
        <w:t xml:space="preserve">cuja </w:t>
      </w:r>
      <w:r w:rsidR="00E06741">
        <w:t>média de idade é de 27,06 anos</w:t>
      </w:r>
      <w:r w:rsidR="00320BD6">
        <w:t xml:space="preserve">, frequentado por </w:t>
      </w:r>
      <w:r>
        <w:t>73,97% das pessoas do sexo</w:t>
      </w:r>
      <w:r w:rsidR="00C661CA">
        <w:t xml:space="preserve"> </w:t>
      </w:r>
      <w:r w:rsidR="00C661CA">
        <w:t xml:space="preserve">feminino, </w:t>
      </w:r>
      <w:r w:rsidR="00047CDF">
        <w:t xml:space="preserve">com a maior concentração da faixa de renda </w:t>
      </w:r>
      <w:r w:rsidR="00C661CA">
        <w:t>entre 1,5 a 3 salários mínimos</w:t>
      </w:r>
      <w:r w:rsidR="00A6620B">
        <w:t>.</w:t>
      </w:r>
    </w:p>
    <w:p w14:paraId="7B74B86F" w14:textId="33A79FF1" w:rsidR="00C661CA" w:rsidRDefault="00A76357" w:rsidP="00C661CA">
      <w:pPr>
        <w:spacing w:after="0"/>
      </w:pPr>
      <w:r>
        <w:t>E</w:t>
      </w:r>
      <w:r w:rsidR="00C661CA">
        <w:t xml:space="preserve">nquanto </w:t>
      </w:r>
      <w:r>
        <w:t>n</w:t>
      </w:r>
      <w:r w:rsidR="00C661CA">
        <w:t xml:space="preserve">o </w:t>
      </w:r>
      <w:r w:rsidR="00C661CA" w:rsidRPr="0006335D">
        <w:rPr>
          <w:i/>
          <w:iCs/>
        </w:rPr>
        <w:t>cluster</w:t>
      </w:r>
      <w:r>
        <w:rPr>
          <w:i/>
          <w:iCs/>
        </w:rPr>
        <w:t xml:space="preserve"> 02</w:t>
      </w:r>
      <w:r w:rsidR="00C661CA">
        <w:t xml:space="preserve">, </w:t>
      </w:r>
      <w:r>
        <w:t xml:space="preserve">é composto pelos cursos de bacharelado em educação física e engenharia de computação, </w:t>
      </w:r>
      <w:r w:rsidR="00AB2DCF">
        <w:t>e a idade dos universitários é de 27,08 anos</w:t>
      </w:r>
      <w:r w:rsidR="00C661CA">
        <w:t xml:space="preserve"> </w:t>
      </w:r>
      <w:r w:rsidR="00AB2DCF">
        <w:t>em média,</w:t>
      </w:r>
      <w:r w:rsidR="000258EE">
        <w:t xml:space="preserve"> com presença d</w:t>
      </w:r>
      <w:r w:rsidR="008027DA">
        <w:t>o público masculino d</w:t>
      </w:r>
      <w:r w:rsidR="000258EE">
        <w:t xml:space="preserve">e 67,25% </w:t>
      </w:r>
      <w:r w:rsidR="008027DA">
        <w:t xml:space="preserve">nestes cursos, </w:t>
      </w:r>
      <w:r w:rsidR="00AB2DCF">
        <w:t xml:space="preserve">cuja renda principal varia entre 1,5 e 3 </w:t>
      </w:r>
      <w:r w:rsidR="000258EE">
        <w:t>salários</w:t>
      </w:r>
      <w:r w:rsidR="00AB2DCF">
        <w:t xml:space="preserve"> mínimos.</w:t>
      </w:r>
      <w:r w:rsidR="008027DA">
        <w:t xml:space="preserve"> E o </w:t>
      </w:r>
      <w:r w:rsidR="008027DA" w:rsidRPr="008027DA">
        <w:rPr>
          <w:i/>
          <w:iCs/>
        </w:rPr>
        <w:t>cluster</w:t>
      </w:r>
      <w:r w:rsidR="008027DA">
        <w:t xml:space="preserve"> 03, compreende demais engenharias, como civil, elétrica entre outros, </w:t>
      </w:r>
      <w:r w:rsidR="009D7074">
        <w:t xml:space="preserve">com faixa de idade média </w:t>
      </w:r>
      <w:r w:rsidR="00F01EA8">
        <w:t xml:space="preserve">dos universitários </w:t>
      </w:r>
      <w:r w:rsidR="009D7074">
        <w:t>de 27,28 anos</w:t>
      </w:r>
      <w:r w:rsidR="00F01EA8">
        <w:t>,</w:t>
      </w:r>
      <w:r w:rsidR="009D7074">
        <w:t xml:space="preserve"> </w:t>
      </w:r>
      <w:r w:rsidR="008027DA">
        <w:t xml:space="preserve">a participação do público masculino corresponde a </w:t>
      </w:r>
      <w:r w:rsidR="009D7074">
        <w:t>três quartos dos estudantes, cuja renda está distribuída principalmente entre 3 e 4,5 salários mínimos.</w:t>
      </w:r>
    </w:p>
    <w:p w14:paraId="4084E618" w14:textId="382C24D3" w:rsidR="00E6157B" w:rsidRDefault="00A25C33">
      <w:pPr>
        <w:spacing w:after="0"/>
      </w:pPr>
      <w:r>
        <w:t>Com base de utilização d</w:t>
      </w:r>
      <w:r w:rsidR="00AB2DCF">
        <w:t>os</w:t>
      </w:r>
      <w:r>
        <w:t xml:space="preserve"> </w:t>
      </w:r>
      <w:r w:rsidR="0006335D">
        <w:t>quatro</w:t>
      </w:r>
      <w:r>
        <w:t xml:space="preserve"> </w:t>
      </w:r>
      <w:r w:rsidRPr="00760C32">
        <w:rPr>
          <w:i/>
          <w:iCs/>
        </w:rPr>
        <w:t>clusters</w:t>
      </w:r>
      <w:r>
        <w:t xml:space="preserve"> para a avaliação dos dados, a primeira relação avaliada </w:t>
      </w:r>
      <w:r w:rsidR="0006335D">
        <w:t>foi</w:t>
      </w:r>
      <w:r>
        <w:t xml:space="preserve"> com base no curso dos universitários e a </w:t>
      </w:r>
      <w:r w:rsidR="00F01EA8">
        <w:t xml:space="preserve">distribuição da </w:t>
      </w:r>
      <w:r>
        <w:t>idade no momento da realização do Enade, conforme ilustra a Figura 6</w:t>
      </w:r>
      <w:r w:rsidR="00D5304E">
        <w:t>:</w:t>
      </w:r>
    </w:p>
    <w:p w14:paraId="0AE88FB9" w14:textId="77777777" w:rsidR="00D5304E" w:rsidRDefault="00D5304E">
      <w:pPr>
        <w:spacing w:after="0"/>
      </w:pPr>
    </w:p>
    <w:p w14:paraId="457BFA30" w14:textId="77777777" w:rsidR="00E6157B" w:rsidRDefault="00A25C33">
      <w:pPr>
        <w:spacing w:after="0"/>
        <w:ind w:firstLine="0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Figura 6 - </w:t>
      </w:r>
      <w:r w:rsidRPr="00760C32">
        <w:rPr>
          <w:i/>
          <w:iCs/>
          <w:sz w:val="20"/>
          <w:szCs w:val="20"/>
        </w:rPr>
        <w:t>Clusters</w:t>
      </w:r>
      <w:r>
        <w:rPr>
          <w:sz w:val="20"/>
          <w:szCs w:val="20"/>
        </w:rPr>
        <w:t xml:space="preserve"> de Curso x Idade</w:t>
      </w:r>
    </w:p>
    <w:p w14:paraId="4039EA9D" w14:textId="35DD6EA6" w:rsidR="00E6157B" w:rsidRDefault="00916274">
      <w:pPr>
        <w:spacing w:after="0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720B2D70" wp14:editId="372BCA59">
            <wp:extent cx="5400040" cy="343344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3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A6773" w14:textId="3722711B" w:rsidR="00E6157B" w:rsidRDefault="00A25C33">
      <w:pPr>
        <w:spacing w:after="0"/>
        <w:ind w:firstLine="0"/>
        <w:jc w:val="center"/>
        <w:rPr>
          <w:sz w:val="20"/>
          <w:szCs w:val="20"/>
        </w:rPr>
      </w:pPr>
      <w:r>
        <w:rPr>
          <w:sz w:val="20"/>
          <w:szCs w:val="20"/>
          <w:highlight w:val="white"/>
        </w:rPr>
        <w:t>Fonte: os autores (2021)</w:t>
      </w:r>
      <w:r w:rsidR="00D5304E">
        <w:rPr>
          <w:sz w:val="20"/>
          <w:szCs w:val="20"/>
        </w:rPr>
        <w:t>.</w:t>
      </w:r>
    </w:p>
    <w:p w14:paraId="3F59EF47" w14:textId="77777777" w:rsidR="00D5304E" w:rsidRDefault="00D5304E">
      <w:pPr>
        <w:spacing w:after="0"/>
        <w:ind w:firstLine="0"/>
        <w:jc w:val="center"/>
      </w:pPr>
    </w:p>
    <w:p w14:paraId="238F5529" w14:textId="108D7C29" w:rsidR="00E6157B" w:rsidRDefault="00A25C33">
      <w:pPr>
        <w:spacing w:after="0"/>
      </w:pPr>
      <w:r>
        <w:t xml:space="preserve">Ao avaliar o </w:t>
      </w:r>
      <w:r w:rsidR="00D5304E">
        <w:t>c</w:t>
      </w:r>
      <w:r>
        <w:t xml:space="preserve">urso de </w:t>
      </w:r>
      <w:r w:rsidR="00683018">
        <w:t>e</w:t>
      </w:r>
      <w:r>
        <w:t xml:space="preserve">ngenharia de computação, que é uma área com crescente em relação ao mercado de trabalho, é a que possui uma menor distribuição na faixa etária dos alunos, porém é agrupada junto ao curso de bacharelado de Educação Física. </w:t>
      </w:r>
    </w:p>
    <w:p w14:paraId="4CC2CA14" w14:textId="2B17FAC4" w:rsidR="00E6157B" w:rsidRDefault="00A25C33">
      <w:pPr>
        <w:spacing w:after="0"/>
      </w:pPr>
      <w:r>
        <w:t xml:space="preserve">Outro ponto importante, é conhecer a distribuição por sexo dentro dos cursos, se baseando na quantidade de </w:t>
      </w:r>
      <w:r w:rsidRPr="00760C32">
        <w:rPr>
          <w:i/>
          <w:iCs/>
        </w:rPr>
        <w:t>clusters</w:t>
      </w:r>
      <w:r>
        <w:t xml:space="preserve"> estabelecidos, conforme ilustrado pela Figura 7:</w:t>
      </w:r>
    </w:p>
    <w:p w14:paraId="51FC0CB1" w14:textId="77777777" w:rsidR="00D5304E" w:rsidRDefault="00D5304E">
      <w:pPr>
        <w:spacing w:after="0"/>
      </w:pPr>
    </w:p>
    <w:p w14:paraId="67CF4657" w14:textId="77777777" w:rsidR="00E6157B" w:rsidRDefault="00A25C33">
      <w:pPr>
        <w:spacing w:after="0"/>
        <w:ind w:firstLine="0"/>
        <w:jc w:val="center"/>
      </w:pPr>
      <w:r w:rsidRPr="00D5304E">
        <w:rPr>
          <w:sz w:val="20"/>
          <w:szCs w:val="20"/>
        </w:rPr>
        <w:t>Figura 7 - Relação curso sexo</w:t>
      </w:r>
    </w:p>
    <w:p w14:paraId="15CA7916" w14:textId="503042CE" w:rsidR="00E6157B" w:rsidRDefault="00F02B07">
      <w:pPr>
        <w:spacing w:after="0"/>
        <w:ind w:firstLine="0"/>
        <w:jc w:val="center"/>
      </w:pPr>
      <w:r>
        <w:rPr>
          <w:noProof/>
        </w:rPr>
        <w:drawing>
          <wp:inline distT="0" distB="0" distL="0" distR="0" wp14:anchorId="0422EDE1" wp14:editId="23911DDC">
            <wp:extent cx="5040000" cy="3096660"/>
            <wp:effectExtent l="0" t="0" r="8255" b="889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309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3EFAD" w14:textId="7822940C" w:rsidR="00E6157B" w:rsidRDefault="00A25C33">
      <w:pPr>
        <w:spacing w:after="0"/>
        <w:ind w:firstLine="0"/>
        <w:jc w:val="center"/>
        <w:rPr>
          <w:sz w:val="20"/>
          <w:szCs w:val="20"/>
        </w:rPr>
      </w:pPr>
      <w:r>
        <w:rPr>
          <w:sz w:val="20"/>
          <w:szCs w:val="20"/>
          <w:highlight w:val="white"/>
        </w:rPr>
        <w:lastRenderedPageBreak/>
        <w:t>Fonte: os autores (2021)</w:t>
      </w:r>
      <w:r w:rsidR="00F01EA8">
        <w:rPr>
          <w:sz w:val="20"/>
          <w:szCs w:val="20"/>
        </w:rPr>
        <w:t>.</w:t>
      </w:r>
    </w:p>
    <w:p w14:paraId="61967EE0" w14:textId="77777777" w:rsidR="00F01EA8" w:rsidRDefault="00F01EA8">
      <w:pPr>
        <w:spacing w:after="0"/>
        <w:ind w:firstLine="0"/>
        <w:jc w:val="center"/>
      </w:pPr>
    </w:p>
    <w:p w14:paraId="2D5E798B" w14:textId="2FDB4E81" w:rsidR="00E6157B" w:rsidRDefault="00A25C33">
      <w:pPr>
        <w:spacing w:after="0"/>
      </w:pPr>
      <w:r>
        <w:t>Percebe-se que</w:t>
      </w:r>
      <w:r w:rsidR="00683018">
        <w:t xml:space="preserve"> na</w:t>
      </w:r>
      <w:r>
        <w:t xml:space="preserve"> Figura 7 que há muito mais mulheres nos cursos envolvendo a biologia, enquanto para as engenharias, ocorre o inverso com a predominância dos homens.</w:t>
      </w:r>
    </w:p>
    <w:p w14:paraId="1C699E18" w14:textId="1C005F8D" w:rsidR="00E6157B" w:rsidRDefault="00A25C33">
      <w:pPr>
        <w:spacing w:after="0"/>
      </w:pPr>
      <w:r>
        <w:t>A partir do momento que</w:t>
      </w:r>
      <w:r w:rsidR="00683018">
        <w:t xml:space="preserve"> se</w:t>
      </w:r>
      <w:r>
        <w:t xml:space="preserve"> tem</w:t>
      </w:r>
      <w:r w:rsidR="00683018">
        <w:t xml:space="preserve"> </w:t>
      </w:r>
      <w:r>
        <w:t xml:space="preserve">os perfis definidos para os </w:t>
      </w:r>
      <w:r w:rsidRPr="00760C32">
        <w:rPr>
          <w:i/>
          <w:iCs/>
        </w:rPr>
        <w:t>clusters</w:t>
      </w:r>
      <w:r>
        <w:t xml:space="preserve"> envolvendo curso, sexo e idade, cabe avaliar como é a relação da renda e a raça </w:t>
      </w:r>
      <w:r w:rsidR="00683018">
        <w:t>autodeclarada</w:t>
      </w:r>
      <w:r>
        <w:t xml:space="preserve"> do estudante, permit</w:t>
      </w:r>
      <w:r w:rsidR="00683018">
        <w:t>indo a melhor compreensão de quem</w:t>
      </w:r>
      <w:r>
        <w:t xml:space="preserve"> </w:t>
      </w:r>
      <w:r w:rsidR="00683018">
        <w:t>compõe</w:t>
      </w:r>
      <w:r>
        <w:t xml:space="preserve"> a classe discente para cada curso ofertado nas universidades. A Figura 8 mostra esta relação entre os </w:t>
      </w:r>
      <w:r>
        <w:rPr>
          <w:i/>
        </w:rPr>
        <w:t>clusters</w:t>
      </w:r>
      <w:r>
        <w:t>, renda e cor/raça.</w:t>
      </w:r>
    </w:p>
    <w:p w14:paraId="10BB30B2" w14:textId="77777777" w:rsidR="00D5304E" w:rsidRDefault="00D5304E">
      <w:pPr>
        <w:spacing w:after="0"/>
      </w:pPr>
    </w:p>
    <w:p w14:paraId="1AE2B4F8" w14:textId="77777777" w:rsidR="00E6157B" w:rsidRDefault="00A25C33">
      <w:pPr>
        <w:spacing w:after="0"/>
        <w:ind w:firstLine="0"/>
        <w:jc w:val="center"/>
        <w:rPr>
          <w:sz w:val="20"/>
          <w:szCs w:val="20"/>
        </w:rPr>
      </w:pPr>
      <w:r>
        <w:rPr>
          <w:sz w:val="20"/>
          <w:szCs w:val="20"/>
        </w:rPr>
        <w:t>Figura 8 - Relação Raça/Cor autodeclarada X Renda</w:t>
      </w:r>
    </w:p>
    <w:p w14:paraId="0645550E" w14:textId="073E7D48" w:rsidR="00E6157B" w:rsidRDefault="000D6607">
      <w:pPr>
        <w:spacing w:after="0"/>
        <w:ind w:firstLine="0"/>
        <w:jc w:val="center"/>
      </w:pPr>
      <w:r>
        <w:rPr>
          <w:noProof/>
        </w:rPr>
        <w:drawing>
          <wp:inline distT="0" distB="0" distL="0" distR="0" wp14:anchorId="10BBFB09" wp14:editId="4FB3388E">
            <wp:extent cx="5400040" cy="2418080"/>
            <wp:effectExtent l="0" t="0" r="0" b="127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1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CAE16" w14:textId="7886EA09" w:rsidR="00E6157B" w:rsidRDefault="00A25C33">
      <w:pPr>
        <w:spacing w:after="0"/>
        <w:ind w:firstLine="0"/>
        <w:jc w:val="center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Fonte: os autores (2021)</w:t>
      </w:r>
      <w:r w:rsidR="00D5304E">
        <w:rPr>
          <w:sz w:val="20"/>
          <w:szCs w:val="20"/>
          <w:highlight w:val="white"/>
        </w:rPr>
        <w:t>.</w:t>
      </w:r>
    </w:p>
    <w:p w14:paraId="6ACD60DD" w14:textId="77777777" w:rsidR="00D5304E" w:rsidRDefault="00D5304E">
      <w:pPr>
        <w:spacing w:after="0"/>
        <w:ind w:firstLine="0"/>
        <w:jc w:val="center"/>
        <w:rPr>
          <w:sz w:val="20"/>
          <w:szCs w:val="20"/>
          <w:highlight w:val="white"/>
        </w:rPr>
      </w:pPr>
    </w:p>
    <w:p w14:paraId="290F5E15" w14:textId="658E5494" w:rsidR="00E6157B" w:rsidRDefault="00A25C33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t>A partir da figura 8, começa a ser feito um mapeamento do perfil dos estudantes do ensino superior, porém para a afirmação acima feita, é necessário complementar com a Figura 9:</w:t>
      </w:r>
    </w:p>
    <w:p w14:paraId="204F9F9D" w14:textId="77777777" w:rsidR="00F01EA8" w:rsidRDefault="00F01EA8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4D99082C" w14:textId="77777777" w:rsidR="00E6157B" w:rsidRDefault="00A25C33">
      <w:pPr>
        <w:spacing w:after="0"/>
        <w:ind w:firstLine="0"/>
        <w:jc w:val="center"/>
      </w:pPr>
      <w:r>
        <w:rPr>
          <w:sz w:val="20"/>
          <w:szCs w:val="20"/>
        </w:rPr>
        <w:t>Figura 9 - Relação Raça/Cor autodeclarada X Renda</w:t>
      </w:r>
    </w:p>
    <w:p w14:paraId="02DB50D6" w14:textId="77E4108A" w:rsidR="00E6157B" w:rsidRDefault="00F02B07">
      <w:pPr>
        <w:pBdr>
          <w:top w:val="nil"/>
          <w:left w:val="nil"/>
          <w:bottom w:val="nil"/>
          <w:right w:val="nil"/>
          <w:between w:val="nil"/>
        </w:pBdr>
        <w:spacing w:after="0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9B733E9" wp14:editId="1319D683">
            <wp:extent cx="5400040" cy="3140075"/>
            <wp:effectExtent l="0" t="0" r="0" b="317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4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8D4D8" w14:textId="6409F964" w:rsidR="00E6157B" w:rsidRDefault="00A25C33">
      <w:pPr>
        <w:spacing w:after="0"/>
        <w:ind w:firstLine="0"/>
        <w:jc w:val="center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Fonte: os autores (2021)</w:t>
      </w:r>
      <w:r w:rsidR="00D5304E">
        <w:rPr>
          <w:sz w:val="20"/>
          <w:szCs w:val="20"/>
          <w:highlight w:val="white"/>
        </w:rPr>
        <w:t>.</w:t>
      </w:r>
    </w:p>
    <w:p w14:paraId="77CA37A9" w14:textId="77777777" w:rsidR="00E6157B" w:rsidRDefault="00E6157B">
      <w:pPr>
        <w:spacing w:after="0"/>
        <w:ind w:firstLine="0"/>
        <w:jc w:val="center"/>
        <w:rPr>
          <w:sz w:val="20"/>
          <w:szCs w:val="20"/>
          <w:highlight w:val="white"/>
        </w:rPr>
      </w:pPr>
    </w:p>
    <w:p w14:paraId="23C65365" w14:textId="2F03D0D6" w:rsidR="00E6157B" w:rsidRDefault="00A25C33" w:rsidP="00E2468C">
      <w:r>
        <w:t xml:space="preserve">O ponto de destaque com a análise de ambas as figuras, constata-se que a população autodeclarada </w:t>
      </w:r>
      <w:r w:rsidR="00F1225E">
        <w:t>n</w:t>
      </w:r>
      <w:r>
        <w:t xml:space="preserve">egra, </w:t>
      </w:r>
      <w:r w:rsidR="00F1225E">
        <w:t>parda e indígena</w:t>
      </w:r>
      <w:r>
        <w:t xml:space="preserve">, são as que menos estão inseridas no meio acadêmico, quanto aos autodeclarados brancos, assim como na análise de renda, são os que possuem uma média menor em seus rendimentos financeiros. </w:t>
      </w:r>
    </w:p>
    <w:p w14:paraId="0A7A0D0E" w14:textId="6DB15BF3" w:rsidR="00E6157B" w:rsidRDefault="00A25C33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Como mapeado a renda, tem-se que entender o comportamento das horas de estudos e a forma de ingresso do universitário. Este agrupamento de informações permite compreender quem são os alunos que mais necessitam de auxílios da universidade para continuar os estudos, sejam eles </w:t>
      </w:r>
      <w:r w:rsidR="00E2468C">
        <w:t>financeiros, reforços</w:t>
      </w:r>
      <w:r>
        <w:t xml:space="preserve"> disciplinares, entre outros. </w:t>
      </w:r>
    </w:p>
    <w:p w14:paraId="48216553" w14:textId="77777777" w:rsidR="00D5304E" w:rsidRDefault="00D5304E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075390E1" w14:textId="4438F84B" w:rsidR="00E6157B" w:rsidRDefault="00A25C33">
      <w:pPr>
        <w:spacing w:after="0"/>
        <w:ind w:firstLine="0"/>
        <w:jc w:val="center"/>
        <w:rPr>
          <w:sz w:val="20"/>
          <w:szCs w:val="20"/>
        </w:rPr>
      </w:pPr>
      <w:r>
        <w:rPr>
          <w:sz w:val="20"/>
          <w:szCs w:val="20"/>
        </w:rPr>
        <w:t>Figura 10 - Relação Quantidade de horas de estudo e renda</w:t>
      </w:r>
      <w:r w:rsidR="00D5304E">
        <w:rPr>
          <w:sz w:val="20"/>
          <w:szCs w:val="20"/>
        </w:rPr>
        <w:t>.</w:t>
      </w:r>
    </w:p>
    <w:p w14:paraId="2BE9C375" w14:textId="0E0744A7" w:rsidR="00E6157B" w:rsidRDefault="000D6607">
      <w:pPr>
        <w:spacing w:after="0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27ED8D04" wp14:editId="6731548D">
            <wp:extent cx="2520000" cy="2961460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296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9C91B6" wp14:editId="7B784C27">
            <wp:extent cx="2520000" cy="2998248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2998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C306D" w14:textId="2F7A403E" w:rsidR="00E6157B" w:rsidRDefault="00A25C33">
      <w:pPr>
        <w:spacing w:after="0"/>
        <w:ind w:firstLine="0"/>
        <w:jc w:val="center"/>
        <w:rPr>
          <w:sz w:val="20"/>
          <w:szCs w:val="20"/>
        </w:rPr>
      </w:pPr>
      <w:r>
        <w:rPr>
          <w:sz w:val="20"/>
          <w:szCs w:val="20"/>
          <w:highlight w:val="white"/>
        </w:rPr>
        <w:t>Fonte: os autores (2021)</w:t>
      </w:r>
      <w:r w:rsidR="00D5304E">
        <w:rPr>
          <w:sz w:val="20"/>
          <w:szCs w:val="20"/>
        </w:rPr>
        <w:t>.</w:t>
      </w:r>
    </w:p>
    <w:p w14:paraId="7FFF4B42" w14:textId="77777777" w:rsidR="00D5304E" w:rsidRDefault="00D5304E">
      <w:pPr>
        <w:spacing w:after="0"/>
        <w:ind w:firstLine="0"/>
        <w:jc w:val="center"/>
      </w:pPr>
    </w:p>
    <w:p w14:paraId="02DAA609" w14:textId="0F36FC27" w:rsidR="00E6157B" w:rsidRDefault="00A25C33">
      <w:pPr>
        <w:spacing w:after="0"/>
      </w:pPr>
      <w:r>
        <w:t>A distribuição das instâncias obtidas monstra</w:t>
      </w:r>
      <w:r w:rsidR="00F1225E">
        <w:t xml:space="preserve"> </w:t>
      </w:r>
      <w:r>
        <w:t xml:space="preserve">que a maior concentração dos universitários estuda entre 0 </w:t>
      </w:r>
      <w:r w:rsidR="00F1225E">
        <w:t>e</w:t>
      </w:r>
      <w:r>
        <w:t xml:space="preserve"> 7 horas por semana e possuem renda que variam entre menor </w:t>
      </w:r>
      <w:r w:rsidR="00F1225E">
        <w:t xml:space="preserve">do </w:t>
      </w:r>
      <w:r>
        <w:t>que 1,5 salários mínimos</w:t>
      </w:r>
      <w:r w:rsidR="00F1225E">
        <w:t>,</w:t>
      </w:r>
      <w:r>
        <w:t xml:space="preserve"> e 4,5 salários mínimos.</w:t>
      </w:r>
    </w:p>
    <w:p w14:paraId="192051FB" w14:textId="7FF720C7" w:rsidR="00E6157B" w:rsidRDefault="00A25C33">
      <w:pPr>
        <w:spacing w:after="0"/>
      </w:pPr>
      <w:r>
        <w:t xml:space="preserve">Destaca-se que, com exceção dos universitários que ingressaram no ensino superior, todas as outras políticas afirmativas apresentam média de renda entre 1,5 a 3 salários mínimos, demonstrando que todos os </w:t>
      </w:r>
      <w:r>
        <w:rPr>
          <w:i/>
        </w:rPr>
        <w:t>clusters</w:t>
      </w:r>
      <w:r>
        <w:t xml:space="preserve"> neste critério definem que rendas maiores que 10 salários mínimos são </w:t>
      </w:r>
      <w:r w:rsidRPr="00F1225E">
        <w:rPr>
          <w:i/>
          <w:iCs/>
        </w:rPr>
        <w:t>outliers</w:t>
      </w:r>
      <w:r>
        <w:t>, conforme ilustra a Figura 11:</w:t>
      </w:r>
    </w:p>
    <w:p w14:paraId="46B17199" w14:textId="77777777" w:rsidR="00D5304E" w:rsidRDefault="00D5304E">
      <w:pPr>
        <w:spacing w:after="0"/>
      </w:pPr>
    </w:p>
    <w:p w14:paraId="07F5D232" w14:textId="77777777" w:rsidR="00E6157B" w:rsidRDefault="00A25C33">
      <w:pPr>
        <w:spacing w:after="0"/>
        <w:ind w:firstLine="0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Figura 11 - </w:t>
      </w:r>
      <w:r>
        <w:rPr>
          <w:i/>
          <w:sz w:val="20"/>
          <w:szCs w:val="20"/>
        </w:rPr>
        <w:t>Boxplot</w:t>
      </w:r>
      <w:r>
        <w:rPr>
          <w:sz w:val="20"/>
          <w:szCs w:val="20"/>
        </w:rPr>
        <w:t xml:space="preserve"> dos </w:t>
      </w:r>
      <w:r w:rsidRPr="00760C32">
        <w:rPr>
          <w:i/>
          <w:iCs/>
          <w:sz w:val="20"/>
          <w:szCs w:val="20"/>
        </w:rPr>
        <w:t>clusters</w:t>
      </w:r>
      <w:r>
        <w:rPr>
          <w:sz w:val="20"/>
          <w:szCs w:val="20"/>
        </w:rPr>
        <w:t xml:space="preserve"> em relação a forma de ingresso X Renda.</w:t>
      </w:r>
    </w:p>
    <w:p w14:paraId="7C8D81A1" w14:textId="2B2AC0CA" w:rsidR="00E6157B" w:rsidRDefault="000D6607">
      <w:pPr>
        <w:spacing w:after="0"/>
        <w:ind w:firstLine="0"/>
        <w:jc w:val="center"/>
      </w:pPr>
      <w:r>
        <w:rPr>
          <w:noProof/>
        </w:rPr>
        <w:drawing>
          <wp:inline distT="0" distB="0" distL="0" distR="0" wp14:anchorId="480B02C0" wp14:editId="61C290C1">
            <wp:extent cx="5400040" cy="2418080"/>
            <wp:effectExtent l="0" t="0" r="0" b="127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1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309E7" w14:textId="15261EC6" w:rsidR="00E6157B" w:rsidRDefault="00A25C33">
      <w:pPr>
        <w:spacing w:after="0"/>
        <w:ind w:firstLine="0"/>
        <w:jc w:val="center"/>
        <w:rPr>
          <w:sz w:val="20"/>
          <w:szCs w:val="20"/>
        </w:rPr>
      </w:pPr>
      <w:r>
        <w:rPr>
          <w:sz w:val="20"/>
          <w:szCs w:val="20"/>
          <w:highlight w:val="white"/>
        </w:rPr>
        <w:t>Fonte: dos autores (2021)</w:t>
      </w:r>
      <w:r w:rsidR="00D5304E">
        <w:rPr>
          <w:sz w:val="20"/>
          <w:szCs w:val="20"/>
        </w:rPr>
        <w:t>.</w:t>
      </w:r>
    </w:p>
    <w:p w14:paraId="72775789" w14:textId="77777777" w:rsidR="00D5304E" w:rsidRDefault="00D5304E">
      <w:pPr>
        <w:spacing w:after="0"/>
        <w:ind w:firstLine="0"/>
        <w:jc w:val="center"/>
      </w:pPr>
    </w:p>
    <w:p w14:paraId="7E8FCC0A" w14:textId="1AB64496" w:rsidR="00E6157B" w:rsidRDefault="00A25C33">
      <w:pPr>
        <w:spacing w:after="0"/>
      </w:pPr>
      <w:r>
        <w:lastRenderedPageBreak/>
        <w:t xml:space="preserve">Outro demonstrativo ao comparar os </w:t>
      </w:r>
      <w:r w:rsidRPr="00760C32">
        <w:rPr>
          <w:i/>
          <w:iCs/>
        </w:rPr>
        <w:t>clusters</w:t>
      </w:r>
      <w:r>
        <w:t xml:space="preserve">, é a utilização de políticas públicas para ingresso no ensino superior, cabe também destacar um pequeno detalhe que, para os universitários autodeclarados brancos há outliers informando que utilizaram cotas </w:t>
      </w:r>
      <w:r w:rsidR="00D5304E">
        <w:t>étnico-raciais</w:t>
      </w:r>
      <w:r>
        <w:t>. Aqui volta</w:t>
      </w:r>
      <w:r w:rsidR="00F1225E">
        <w:t>-</w:t>
      </w:r>
      <w:r>
        <w:t>s</w:t>
      </w:r>
      <w:r w:rsidR="00F1225E">
        <w:t>e</w:t>
      </w:r>
      <w:r>
        <w:t xml:space="preserve"> à discussão sobre a diferença entre os ingressos, por ficar evidente que boa parte do acesso à universidade de Pretos, Pardos e Indígenas, se dá pelas políticas de inclusão, conforme a Figura 12:</w:t>
      </w:r>
    </w:p>
    <w:p w14:paraId="75AC67E6" w14:textId="77777777" w:rsidR="00D5304E" w:rsidRDefault="00D5304E">
      <w:pPr>
        <w:spacing w:after="0"/>
      </w:pPr>
    </w:p>
    <w:p w14:paraId="6D9395C3" w14:textId="77777777" w:rsidR="00E6157B" w:rsidRDefault="00A25C33">
      <w:pPr>
        <w:spacing w:after="0"/>
        <w:ind w:firstLine="0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Figura 12 - </w:t>
      </w:r>
      <w:r>
        <w:rPr>
          <w:i/>
          <w:sz w:val="20"/>
          <w:szCs w:val="20"/>
        </w:rPr>
        <w:t>Boxplot</w:t>
      </w:r>
      <w:r>
        <w:rPr>
          <w:sz w:val="20"/>
          <w:szCs w:val="20"/>
        </w:rPr>
        <w:t xml:space="preserve"> dos </w:t>
      </w:r>
      <w:r w:rsidRPr="00760C32">
        <w:rPr>
          <w:i/>
          <w:iCs/>
          <w:sz w:val="20"/>
          <w:szCs w:val="20"/>
        </w:rPr>
        <w:t>clusters</w:t>
      </w:r>
      <w:r>
        <w:rPr>
          <w:sz w:val="20"/>
          <w:szCs w:val="20"/>
        </w:rPr>
        <w:t xml:space="preserve"> em relação a forma de ingresso X Cor/Raça autodeclarada.</w:t>
      </w:r>
    </w:p>
    <w:p w14:paraId="51E55D0A" w14:textId="0B1126DE" w:rsidR="00E6157B" w:rsidRDefault="000D6607">
      <w:pPr>
        <w:spacing w:after="0"/>
        <w:ind w:firstLine="0"/>
        <w:jc w:val="center"/>
      </w:pPr>
      <w:r>
        <w:rPr>
          <w:noProof/>
        </w:rPr>
        <w:drawing>
          <wp:inline distT="0" distB="0" distL="0" distR="0" wp14:anchorId="0BFED75F" wp14:editId="7342B058">
            <wp:extent cx="5400040" cy="2600960"/>
            <wp:effectExtent l="0" t="0" r="0" b="889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0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F2491" w14:textId="0A85D4BB" w:rsidR="00E6157B" w:rsidRDefault="00A25C33">
      <w:pPr>
        <w:spacing w:after="0"/>
        <w:ind w:firstLine="0"/>
        <w:jc w:val="center"/>
        <w:rPr>
          <w:sz w:val="20"/>
          <w:szCs w:val="20"/>
        </w:rPr>
      </w:pPr>
      <w:r>
        <w:rPr>
          <w:sz w:val="20"/>
          <w:szCs w:val="20"/>
          <w:highlight w:val="white"/>
        </w:rPr>
        <w:t>Fonte: os autores (2021)</w:t>
      </w:r>
      <w:r w:rsidR="00D5304E">
        <w:rPr>
          <w:sz w:val="20"/>
          <w:szCs w:val="20"/>
        </w:rPr>
        <w:t>.</w:t>
      </w:r>
    </w:p>
    <w:p w14:paraId="4B3EB82A" w14:textId="77777777" w:rsidR="00D5304E" w:rsidRDefault="00D5304E">
      <w:pPr>
        <w:spacing w:after="0"/>
        <w:ind w:firstLine="0"/>
        <w:jc w:val="center"/>
      </w:pPr>
    </w:p>
    <w:p w14:paraId="169ACA03" w14:textId="09E48557" w:rsidR="00E6157B" w:rsidRDefault="00A25C33">
      <w:pPr>
        <w:spacing w:after="0"/>
      </w:pPr>
      <w:r>
        <w:t xml:space="preserve">Também é importante compreender em qual período o universitário realiza seus estudos, e a relação com o seu estado </w:t>
      </w:r>
      <w:r w:rsidR="00F1225E">
        <w:t>civil</w:t>
      </w:r>
      <w:r>
        <w:t xml:space="preserve">, para compreender muitas vezes o que leva a escolher o curso superior, a Figura 13 mostra esta relação, que permite compreender que, em sua grande maioria os cursos integrais possuem pessoas solteiras, enquanto os demais, </w:t>
      </w:r>
      <w:r w:rsidR="006369D7">
        <w:t>são</w:t>
      </w:r>
      <w:r>
        <w:t xml:space="preserve"> mais diversificado</w:t>
      </w:r>
      <w:r w:rsidR="006369D7">
        <w:t>s</w:t>
      </w:r>
      <w:r>
        <w:t xml:space="preserve"> e o noturno ganha espaço.</w:t>
      </w:r>
    </w:p>
    <w:p w14:paraId="7303D4F7" w14:textId="77777777" w:rsidR="00D5304E" w:rsidRDefault="00D5304E">
      <w:pPr>
        <w:spacing w:after="0"/>
      </w:pPr>
    </w:p>
    <w:p w14:paraId="4B4487D1" w14:textId="77777777" w:rsidR="00E6157B" w:rsidRDefault="00A25C33">
      <w:pPr>
        <w:spacing w:after="0"/>
        <w:ind w:firstLine="0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Figura 13 - </w:t>
      </w:r>
      <w:r>
        <w:rPr>
          <w:i/>
          <w:sz w:val="20"/>
          <w:szCs w:val="20"/>
        </w:rPr>
        <w:t>Boxplot</w:t>
      </w:r>
      <w:r>
        <w:rPr>
          <w:sz w:val="20"/>
          <w:szCs w:val="20"/>
        </w:rPr>
        <w:t xml:space="preserve"> dos </w:t>
      </w:r>
      <w:r w:rsidRPr="0006335D">
        <w:rPr>
          <w:i/>
          <w:iCs/>
          <w:sz w:val="20"/>
          <w:szCs w:val="20"/>
        </w:rPr>
        <w:t>clusters</w:t>
      </w:r>
      <w:r>
        <w:rPr>
          <w:sz w:val="20"/>
          <w:szCs w:val="20"/>
        </w:rPr>
        <w:t xml:space="preserve"> em relação ao Estado Civil X Turno da Graduação.</w:t>
      </w:r>
    </w:p>
    <w:p w14:paraId="1F1B35A5" w14:textId="6161EDFE" w:rsidR="00E6157B" w:rsidRDefault="000D6607">
      <w:pPr>
        <w:spacing w:after="0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9579E80" wp14:editId="60DAAD74">
            <wp:extent cx="5400040" cy="2757805"/>
            <wp:effectExtent l="0" t="0" r="0" b="444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5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5B0D0" w14:textId="36674CBE" w:rsidR="00E6157B" w:rsidRDefault="00A25C33">
      <w:pPr>
        <w:spacing w:after="0"/>
        <w:ind w:firstLine="0"/>
        <w:jc w:val="center"/>
        <w:rPr>
          <w:sz w:val="20"/>
          <w:szCs w:val="20"/>
        </w:rPr>
      </w:pPr>
      <w:r>
        <w:rPr>
          <w:sz w:val="20"/>
          <w:szCs w:val="20"/>
          <w:highlight w:val="white"/>
        </w:rPr>
        <w:t>Fonte: os autores (2021)</w:t>
      </w:r>
      <w:r w:rsidR="00D5304E">
        <w:rPr>
          <w:sz w:val="20"/>
          <w:szCs w:val="20"/>
        </w:rPr>
        <w:t>.</w:t>
      </w:r>
    </w:p>
    <w:p w14:paraId="33F7DF94" w14:textId="77777777" w:rsidR="00D5304E" w:rsidRDefault="00D5304E">
      <w:pPr>
        <w:spacing w:after="0"/>
        <w:ind w:firstLine="0"/>
        <w:jc w:val="center"/>
      </w:pPr>
    </w:p>
    <w:p w14:paraId="13BD0C68" w14:textId="47490057" w:rsidR="00E6157B" w:rsidRDefault="00A25C33">
      <w:pPr>
        <w:spacing w:after="0"/>
      </w:pPr>
      <w:r>
        <w:t>Por último, a análise feita compreende a relação de ingresso com o tipo de ensino médio cursado, pois a origem é um dos pontos que têm maior impacto nas dificuldades de cursar e acompanhar os conteúdos quando o aluno ingressa no ensino superior. Conforme a Figura 14 ilustra, em sua maioria, os alunos que utilizaram políticas afirmativas para entrar no ensino superior, vieram de escolas públicas.</w:t>
      </w:r>
    </w:p>
    <w:p w14:paraId="569EDFB2" w14:textId="77777777" w:rsidR="00D5304E" w:rsidRDefault="00D5304E">
      <w:pPr>
        <w:spacing w:after="0"/>
      </w:pPr>
    </w:p>
    <w:p w14:paraId="5691BA89" w14:textId="77777777" w:rsidR="00E6157B" w:rsidRDefault="00A25C33">
      <w:pPr>
        <w:spacing w:after="0"/>
        <w:ind w:firstLine="0"/>
        <w:jc w:val="center"/>
      </w:pPr>
      <w:r>
        <w:rPr>
          <w:sz w:val="20"/>
          <w:szCs w:val="20"/>
        </w:rPr>
        <w:t xml:space="preserve">Figura 14 - </w:t>
      </w:r>
      <w:r>
        <w:rPr>
          <w:i/>
          <w:sz w:val="20"/>
          <w:szCs w:val="20"/>
        </w:rPr>
        <w:t>Boxplot</w:t>
      </w:r>
      <w:r>
        <w:rPr>
          <w:sz w:val="20"/>
          <w:szCs w:val="20"/>
        </w:rPr>
        <w:t xml:space="preserve"> dos </w:t>
      </w:r>
      <w:r w:rsidRPr="00760C32">
        <w:rPr>
          <w:i/>
          <w:iCs/>
          <w:sz w:val="20"/>
          <w:szCs w:val="20"/>
        </w:rPr>
        <w:t>clusters</w:t>
      </w:r>
      <w:r>
        <w:rPr>
          <w:sz w:val="20"/>
          <w:szCs w:val="20"/>
        </w:rPr>
        <w:t xml:space="preserve"> em relação a forma de ingresso X Tipo de Ensino Médio.</w:t>
      </w:r>
    </w:p>
    <w:p w14:paraId="2FAE01EC" w14:textId="34A45AD3" w:rsidR="00E6157B" w:rsidRDefault="000D6607">
      <w:pPr>
        <w:spacing w:after="0"/>
        <w:ind w:firstLine="0"/>
        <w:jc w:val="center"/>
      </w:pPr>
      <w:r>
        <w:rPr>
          <w:noProof/>
        </w:rPr>
        <w:drawing>
          <wp:inline distT="0" distB="0" distL="0" distR="0" wp14:anchorId="0C47B7A2" wp14:editId="4F908BD2">
            <wp:extent cx="5400040" cy="2842895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4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C80A5" w14:textId="08CD9CDA" w:rsidR="00E6157B" w:rsidRDefault="00A25C33">
      <w:pPr>
        <w:spacing w:after="0"/>
        <w:ind w:firstLine="0"/>
        <w:jc w:val="center"/>
        <w:rPr>
          <w:sz w:val="20"/>
          <w:szCs w:val="20"/>
        </w:rPr>
      </w:pPr>
      <w:r>
        <w:rPr>
          <w:sz w:val="20"/>
          <w:szCs w:val="20"/>
          <w:highlight w:val="white"/>
        </w:rPr>
        <w:t>Fonte: os autores (2021)</w:t>
      </w:r>
      <w:r w:rsidR="00D5304E">
        <w:rPr>
          <w:sz w:val="20"/>
          <w:szCs w:val="20"/>
        </w:rPr>
        <w:t>.</w:t>
      </w:r>
    </w:p>
    <w:p w14:paraId="530712B0" w14:textId="77777777" w:rsidR="00D5304E" w:rsidRDefault="00D5304E">
      <w:pPr>
        <w:spacing w:after="0"/>
        <w:ind w:firstLine="0"/>
        <w:jc w:val="center"/>
      </w:pPr>
    </w:p>
    <w:p w14:paraId="5DDCA489" w14:textId="206EC4FF" w:rsidR="00E6157B" w:rsidRDefault="00233510">
      <w:pPr>
        <w:spacing w:after="0"/>
      </w:pPr>
      <w:r>
        <w:t>Cabe ressaltar que, e</w:t>
      </w:r>
      <w:r w:rsidR="00A25C33">
        <w:t xml:space="preserve">m todos os </w:t>
      </w:r>
      <w:r w:rsidR="00A25C33" w:rsidRPr="00760C32">
        <w:rPr>
          <w:i/>
          <w:iCs/>
        </w:rPr>
        <w:t>clusters</w:t>
      </w:r>
      <w:r w:rsidR="00A25C33">
        <w:t xml:space="preserve">, nota-se que a maioria dos alunos se auto declararam brancos, cuja renda varia entre 1,5 a 6 salários mínimos, enquanto </w:t>
      </w:r>
      <w:r w:rsidR="00A25C33">
        <w:lastRenderedPageBreak/>
        <w:t>pretos, pardos e indígenas, possuem a menor faixa de renda, e são ingressos a partir de políticas públicas.</w:t>
      </w:r>
    </w:p>
    <w:p w14:paraId="74A0F78E" w14:textId="77777777" w:rsidR="00E6157B" w:rsidRDefault="00E6157B">
      <w:pPr>
        <w:spacing w:after="0"/>
      </w:pPr>
    </w:p>
    <w:p w14:paraId="5E45EFFB" w14:textId="77777777" w:rsidR="00E6157B" w:rsidRDefault="00A25C33">
      <w:pPr>
        <w:pStyle w:val="Ttulo2"/>
        <w:ind w:left="720" w:hanging="360"/>
      </w:pPr>
      <w:r>
        <w:t>Conclusões</w:t>
      </w:r>
    </w:p>
    <w:p w14:paraId="3C145184" w14:textId="3FF0C68E" w:rsidR="00E6157B" w:rsidRDefault="00A25C33">
      <w:pPr>
        <w:spacing w:after="0"/>
      </w:pPr>
      <w:r>
        <w:t xml:space="preserve">O artigo aplicou o algoritmo de agrupamento de dados </w:t>
      </w:r>
      <m:oMath>
        <m:r>
          <w:rPr>
            <w:rFonts w:ascii="Cambria Math" w:hAnsi="Cambria Math"/>
          </w:rPr>
          <m:t>k</m:t>
        </m:r>
      </m:oMath>
      <w:r w:rsidR="00E2468C">
        <w:t>-</w:t>
      </w:r>
      <w:r w:rsidR="00E2468C" w:rsidRPr="00544437">
        <w:rPr>
          <w:i/>
          <w:iCs/>
        </w:rPr>
        <w:t>means</w:t>
      </w:r>
      <w:r>
        <w:t xml:space="preserve"> para realizar a identificação do perfil dos alunos avaliados no ENADE, buscando compreender as características de quem cursa o ensino superior no Brasil.</w:t>
      </w:r>
    </w:p>
    <w:p w14:paraId="72880CEB" w14:textId="6CE829EA" w:rsidR="00E6157B" w:rsidRDefault="00A25C33">
      <w:pPr>
        <w:spacing w:after="0"/>
      </w:pPr>
      <w:r>
        <w:t xml:space="preserve">Com a definição de </w:t>
      </w:r>
      <w:r w:rsidR="006369D7">
        <w:t>quatro</w:t>
      </w:r>
      <w:r>
        <w:t xml:space="preserve"> </w:t>
      </w:r>
      <w:r w:rsidRPr="00760C32">
        <w:rPr>
          <w:i/>
          <w:iCs/>
        </w:rPr>
        <w:t>clusters</w:t>
      </w:r>
      <w:r>
        <w:t xml:space="preserve"> para a execução do trabalho, pode-se identificar os perfis dos universitários, ingressos em cursos das áreas </w:t>
      </w:r>
      <w:r w:rsidR="006369D7">
        <w:t>das ciências biológicas</w:t>
      </w:r>
      <w:r>
        <w:t xml:space="preserve"> e </w:t>
      </w:r>
      <w:r w:rsidR="006369D7">
        <w:t>das ciências exatas</w:t>
      </w:r>
      <w:r>
        <w:t>, tais como a faixa etária, sexo, renda, origem, raça/cor autodeclarada e tempo de estudo.</w:t>
      </w:r>
    </w:p>
    <w:p w14:paraId="686476A6" w14:textId="77777777" w:rsidR="00E6157B" w:rsidRDefault="00A25C33">
      <w:pPr>
        <w:spacing w:after="0"/>
      </w:pPr>
      <w:r>
        <w:t>Portanto, os resultados do trabalho são considerados satisfatórios e dentro do esperado, desde o cálculo da melhor quantidade de grupos até o agrupamento em si, o qual foi validado pelo especialista de domínio.</w:t>
      </w:r>
    </w:p>
    <w:p w14:paraId="7128B211" w14:textId="522F185A" w:rsidR="00E6157B" w:rsidRDefault="00A25C33">
      <w:pPr>
        <w:spacing w:after="0"/>
      </w:pPr>
      <w:r>
        <w:t xml:space="preserve">As dificuldades encontradas para a realização do trabalho se deram por conta do tamanho da base de dados que consta com mais de 430 mil instâncias e 137 atributos, e que mesmo quando reduzidas para os dados necessários, ainda permanece com aproximadamente 380 mil instâncias e 23 atributos, e em alguns momentos, o processamento dos dados teve que ser </w:t>
      </w:r>
      <w:r w:rsidR="006369D7">
        <w:t>interrompido ou não finalizado</w:t>
      </w:r>
      <w:r>
        <w:t>, por estar levando mais de 15 horas para a sua execução.</w:t>
      </w:r>
    </w:p>
    <w:p w14:paraId="4144285E" w14:textId="415DD252" w:rsidR="00E6157B" w:rsidRDefault="00A25C33">
      <w:pPr>
        <w:spacing w:after="0"/>
      </w:pPr>
      <w:r>
        <w:t xml:space="preserve">Outro ponto, foi identificar os melhores gráficos para relacionar duas variáveis com as quantidades de </w:t>
      </w:r>
      <w:r w:rsidRPr="00760C32">
        <w:rPr>
          <w:i/>
          <w:iCs/>
        </w:rPr>
        <w:t>clusters</w:t>
      </w:r>
      <w:r>
        <w:t>. Devido ao tamanho da base de dados, muitas análises foram deixadas de ser executadas para priorizar as principais citadas neste trabalho.</w:t>
      </w:r>
    </w:p>
    <w:p w14:paraId="6ECD7117" w14:textId="77777777" w:rsidR="00E6157B" w:rsidRDefault="00A25C33">
      <w:pPr>
        <w:spacing w:after="0"/>
      </w:pPr>
      <w:r>
        <w:t xml:space="preserve">As características obtidas dos </w:t>
      </w:r>
      <w:r>
        <w:rPr>
          <w:i/>
        </w:rPr>
        <w:t>clusters</w:t>
      </w:r>
      <w:r>
        <w:t>, permite sugerir às universidades e governo, melhorias nas políticas de condução e integração dos universitários no meio acadêmico, e políticas públicas de integração e permanência dos mesmos.</w:t>
      </w:r>
    </w:p>
    <w:p w14:paraId="5A78827B" w14:textId="74AB9C16" w:rsidR="00E6157B" w:rsidRDefault="00A25C33">
      <w:pPr>
        <w:spacing w:after="0"/>
      </w:pPr>
      <w:r>
        <w:t xml:space="preserve">Como sugestão de trabalhos futuros, pode-se citar a redução de dimensionalidade, como o PCA, ou de seleção de instâncias, para a melhoria do conjunto de dados, para que as etapas de avaliação de </w:t>
      </w:r>
      <w:r w:rsidR="002F59F2">
        <w:t>hiper parâmetros</w:t>
      </w:r>
      <w:r>
        <w:t xml:space="preserve"> possam ser executadas. Além disso, recomendação da utilização de outros atributos, para identificação de outras características que os </w:t>
      </w:r>
      <w:r>
        <w:rPr>
          <w:i/>
        </w:rPr>
        <w:t>clusters</w:t>
      </w:r>
      <w:r>
        <w:t xml:space="preserve"> possam ter. </w:t>
      </w:r>
    </w:p>
    <w:p w14:paraId="5C327DBA" w14:textId="475A6DDA" w:rsidR="006369D7" w:rsidRDefault="006369D7">
      <w:pPr>
        <w:rPr>
          <w:rFonts w:eastAsiaTheme="majorEastAsia" w:cstheme="majorBidi"/>
          <w:b/>
          <w:sz w:val="24"/>
          <w:szCs w:val="24"/>
        </w:rPr>
      </w:pPr>
      <w:r>
        <w:br w:type="page"/>
      </w:r>
    </w:p>
    <w:p w14:paraId="180E28A2" w14:textId="77777777" w:rsidR="00E6157B" w:rsidRDefault="00A25C33">
      <w:pPr>
        <w:pStyle w:val="Ttulo3"/>
      </w:pPr>
      <w:r>
        <w:lastRenderedPageBreak/>
        <w:t>Referências Bibliográficas</w:t>
      </w:r>
    </w:p>
    <w:p w14:paraId="72397D14" w14:textId="77777777" w:rsidR="00E6157B" w:rsidRDefault="00E6157B">
      <w:pPr>
        <w:spacing w:after="0"/>
        <w:ind w:firstLine="0"/>
      </w:pPr>
      <w:bookmarkStart w:id="0" w:name="_heading=h.unijke8kkhkk" w:colFirst="0" w:colLast="0"/>
      <w:bookmarkEnd w:id="0"/>
    </w:p>
    <w:p w14:paraId="22806B3E" w14:textId="77777777" w:rsidR="00E6157B" w:rsidRDefault="00A25C33">
      <w:pPr>
        <w:spacing w:after="0"/>
        <w:ind w:firstLine="0"/>
      </w:pPr>
      <w:bookmarkStart w:id="1" w:name="_heading=h.eprcuoh3290l" w:colFirst="0" w:colLast="0"/>
      <w:bookmarkEnd w:id="1"/>
      <w:r>
        <w:t xml:space="preserve">AYODELE, T. O. </w:t>
      </w:r>
      <w:r>
        <w:rPr>
          <w:b/>
        </w:rPr>
        <w:t>TYPES OF MACHINE LEARNING ALGORITMS</w:t>
      </w:r>
      <w:r>
        <w:t xml:space="preserve">.  New </w:t>
      </w:r>
      <w:proofErr w:type="spellStart"/>
      <w:r>
        <w:t>Advances</w:t>
      </w:r>
      <w:proofErr w:type="spellEnd"/>
      <w:r>
        <w:t xml:space="preserve"> in Machine Learning. </w:t>
      </w:r>
      <w:proofErr w:type="spellStart"/>
      <w:r>
        <w:t>InTech</w:t>
      </w:r>
      <w:proofErr w:type="spellEnd"/>
      <w:r>
        <w:t xml:space="preserve">. 2010. 10.5772/9385. </w:t>
      </w:r>
    </w:p>
    <w:p w14:paraId="339EF07B" w14:textId="77777777" w:rsidR="00E6157B" w:rsidRDefault="00A25C33">
      <w:pPr>
        <w:spacing w:after="0"/>
        <w:ind w:firstLine="0"/>
      </w:pPr>
      <w:bookmarkStart w:id="2" w:name="_heading=h.ugofei16hy16" w:colFirst="0" w:colLast="0"/>
      <w:bookmarkEnd w:id="2"/>
      <w:r>
        <w:t xml:space="preserve">ALPAYDIN, E. </w:t>
      </w:r>
      <w:r>
        <w:rPr>
          <w:b/>
        </w:rPr>
        <w:t xml:space="preserve">MACHINE LEARNING: </w:t>
      </w:r>
      <w:r>
        <w:t xml:space="preserve">THE NEW AI. The MIT Press </w:t>
      </w:r>
      <w:proofErr w:type="spellStart"/>
      <w:r>
        <w:t>Essential</w:t>
      </w:r>
      <w:proofErr w:type="spellEnd"/>
      <w:r>
        <w:t xml:space="preserve"> </w:t>
      </w:r>
      <w:proofErr w:type="spellStart"/>
      <w:r>
        <w:t>Knowledge</w:t>
      </w:r>
      <w:proofErr w:type="spellEnd"/>
      <w:r>
        <w:t xml:space="preserve"> Series. Massachusetts </w:t>
      </w:r>
      <w:proofErr w:type="spellStart"/>
      <w:r>
        <w:t>Institute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Technology. 2016.</w:t>
      </w:r>
    </w:p>
    <w:p w14:paraId="737C790B" w14:textId="77777777" w:rsidR="00E6157B" w:rsidRDefault="00A25C33">
      <w:pPr>
        <w:spacing w:after="0"/>
        <w:ind w:firstLine="0"/>
      </w:pPr>
      <w:bookmarkStart w:id="3" w:name="_heading=h.uar1bz94ouv1" w:colFirst="0" w:colLast="0"/>
      <w:bookmarkEnd w:id="3"/>
      <w:r>
        <w:t xml:space="preserve">BOURDIEU, P.; PASSERON, J. C. </w:t>
      </w:r>
      <w:r>
        <w:rPr>
          <w:b/>
        </w:rPr>
        <w:t xml:space="preserve">La </w:t>
      </w:r>
      <w:proofErr w:type="spellStart"/>
      <w:r>
        <w:rPr>
          <w:b/>
        </w:rPr>
        <w:t>reproduction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éléments</w:t>
      </w:r>
      <w:proofErr w:type="spellEnd"/>
      <w:r>
        <w:rPr>
          <w:b/>
        </w:rPr>
        <w:t xml:space="preserve"> d’une </w:t>
      </w:r>
      <w:proofErr w:type="spellStart"/>
      <w:r>
        <w:rPr>
          <w:b/>
        </w:rPr>
        <w:t>théorie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système</w:t>
      </w:r>
      <w:proofErr w:type="spellEnd"/>
      <w:r>
        <w:rPr>
          <w:b/>
        </w:rPr>
        <w:t xml:space="preserve"> d’</w:t>
      </w:r>
      <w:proofErr w:type="spellStart"/>
      <w:r>
        <w:rPr>
          <w:b/>
        </w:rPr>
        <w:t>enseignement</w:t>
      </w:r>
      <w:proofErr w:type="spellEnd"/>
      <w:r>
        <w:t xml:space="preserve">. Paris: </w:t>
      </w:r>
      <w:proofErr w:type="spellStart"/>
      <w:r>
        <w:t>Minuit</w:t>
      </w:r>
      <w:proofErr w:type="spellEnd"/>
      <w:r>
        <w:t>, 1970. (</w:t>
      </w:r>
      <w:proofErr w:type="spellStart"/>
      <w:r>
        <w:t>Collection</w:t>
      </w:r>
      <w:proofErr w:type="spellEnd"/>
      <w:r>
        <w:t xml:space="preserve"> </w:t>
      </w:r>
      <w:proofErr w:type="spellStart"/>
      <w:r>
        <w:t>le</w:t>
      </w:r>
      <w:proofErr w:type="spellEnd"/>
      <w:r>
        <w:t xml:space="preserve"> </w:t>
      </w:r>
      <w:proofErr w:type="spellStart"/>
      <w:r>
        <w:t>sens</w:t>
      </w:r>
      <w:proofErr w:type="spellEnd"/>
      <w:r>
        <w:t xml:space="preserve"> </w:t>
      </w:r>
      <w:proofErr w:type="spellStart"/>
      <w:r>
        <w:t>commun</w:t>
      </w:r>
      <w:proofErr w:type="spellEnd"/>
      <w:r>
        <w:t>)</w:t>
      </w:r>
    </w:p>
    <w:p w14:paraId="093C9D73" w14:textId="77777777" w:rsidR="00E6157B" w:rsidRDefault="00A25C33">
      <w:pPr>
        <w:spacing w:after="0"/>
        <w:ind w:firstLine="0"/>
      </w:pPr>
      <w:bookmarkStart w:id="4" w:name="_heading=h.hmz6665ftlvi" w:colFirst="0" w:colLast="0"/>
      <w:bookmarkEnd w:id="4"/>
      <w:r>
        <w:t xml:space="preserve">Conceito Enade. </w:t>
      </w:r>
      <w:r>
        <w:rPr>
          <w:b/>
        </w:rPr>
        <w:t>Ministério da Educação</w:t>
      </w:r>
      <w:r>
        <w:t>, 2020. Disponível em: &lt;https://www.gov.br/inep/pt-br/areas-de-atuacao/pesquisas-estatisticas-e-indicadores/indicadores-de-qualidade-da-educacao-superior/conceito-enade&gt;. Acesso em 02/12/2021</w:t>
      </w:r>
    </w:p>
    <w:p w14:paraId="75710164" w14:textId="77777777" w:rsidR="00E6157B" w:rsidRDefault="00A25C33">
      <w:pPr>
        <w:pStyle w:val="Ttulo2"/>
        <w:spacing w:before="0" w:after="0" w:line="360" w:lineRule="auto"/>
        <w:ind w:left="0" w:firstLine="0"/>
        <w:rPr>
          <w:sz w:val="22"/>
          <w:szCs w:val="22"/>
        </w:rPr>
      </w:pPr>
      <w:bookmarkStart w:id="5" w:name="_heading=h.1m57mdopthnb" w:colFirst="0" w:colLast="0"/>
      <w:bookmarkEnd w:id="5"/>
      <w:r>
        <w:rPr>
          <w:b w:val="0"/>
          <w:sz w:val="22"/>
          <w:szCs w:val="22"/>
        </w:rPr>
        <w:t>Exame Nacional de Desempenho dos Estudantes (Enade)</w:t>
      </w:r>
      <w:r>
        <w:rPr>
          <w:sz w:val="22"/>
          <w:szCs w:val="22"/>
        </w:rPr>
        <w:t>. Ministério da Educação, 2020. Disponível em:&lt;https://www.gov.br/inep/pt-br/areas-de-atuacao/avaliacao-e-exames-educacionais/enade</w:t>
      </w:r>
      <w:proofErr w:type="gramStart"/>
      <w:r>
        <w:rPr>
          <w:sz w:val="22"/>
          <w:szCs w:val="22"/>
        </w:rPr>
        <w:t>&gt; .</w:t>
      </w:r>
      <w:proofErr w:type="gramEnd"/>
      <w:r>
        <w:rPr>
          <w:sz w:val="22"/>
          <w:szCs w:val="22"/>
        </w:rPr>
        <w:t xml:space="preserve"> Acesso em 02/12/2021</w:t>
      </w:r>
    </w:p>
    <w:p w14:paraId="0B4F5783" w14:textId="77777777" w:rsidR="00E6157B" w:rsidRDefault="00A25C33">
      <w:pPr>
        <w:spacing w:after="0"/>
        <w:ind w:firstLine="0"/>
      </w:pPr>
      <w:bookmarkStart w:id="6" w:name="_heading=h.q6nbxryyp88k" w:colFirst="0" w:colLast="0"/>
      <w:bookmarkEnd w:id="6"/>
      <w:r>
        <w:t xml:space="preserve">MINISTÉRIO DA EDUCAÇÃO. </w:t>
      </w:r>
      <w:r>
        <w:rPr>
          <w:b/>
        </w:rPr>
        <w:t>Inep completa 82 anos de serviços prestados à educação</w:t>
      </w:r>
      <w:r>
        <w:t>. 2020. Disponível em: &lt;http://portal.mec.gov.br/component/tags/tag/indice-geral-de-cursos&gt;. Acesso em 02/12/2021.</w:t>
      </w:r>
    </w:p>
    <w:p w14:paraId="7DDCEB91" w14:textId="77777777" w:rsidR="00E6157B" w:rsidRDefault="00A25C33">
      <w:pPr>
        <w:spacing w:after="0"/>
        <w:ind w:firstLine="0"/>
      </w:pPr>
      <w:bookmarkStart w:id="7" w:name="_heading=h.uh3b2xbfrv6f" w:colFirst="0" w:colLast="0"/>
      <w:bookmarkEnd w:id="7"/>
      <w:r>
        <w:t xml:space="preserve">MINISTÉRIO DA EDUCAÇÃO. </w:t>
      </w:r>
      <w:r>
        <w:rPr>
          <w:b/>
        </w:rPr>
        <w:t>Inep divulga indicadores que avaliam cursos e instituições</w:t>
      </w:r>
      <w:r>
        <w:t>. 2020. Disponível em: &lt;http://portal.mec.gov.br/</w:t>
      </w:r>
      <w:proofErr w:type="spellStart"/>
      <w:r>
        <w:t>component</w:t>
      </w:r>
      <w:proofErr w:type="spellEnd"/>
      <w:r>
        <w:t>/</w:t>
      </w:r>
      <w:proofErr w:type="spellStart"/>
      <w:r>
        <w:t>tags</w:t>
      </w:r>
      <w:proofErr w:type="spellEnd"/>
      <w:r>
        <w:t>/</w:t>
      </w:r>
      <w:proofErr w:type="spellStart"/>
      <w:r>
        <w:t>tag</w:t>
      </w:r>
      <w:proofErr w:type="spellEnd"/>
      <w:r>
        <w:t>/32911&gt;. Acesso em 02/12/2021.</w:t>
      </w:r>
    </w:p>
    <w:p w14:paraId="1F46159C" w14:textId="77777777" w:rsidR="00E6157B" w:rsidRDefault="00A25C33">
      <w:pPr>
        <w:spacing w:after="0"/>
        <w:ind w:firstLine="0"/>
      </w:pPr>
      <w:bookmarkStart w:id="8" w:name="_heading=h.or19nifitdwh" w:colFirst="0" w:colLast="0"/>
      <w:bookmarkEnd w:id="8"/>
      <w:r>
        <w:t xml:space="preserve">Instituto Nacional de Estudos e Pesquisas Educacionais Anísio Teixeira (INEP), </w:t>
      </w:r>
      <w:r>
        <w:rPr>
          <w:b/>
        </w:rPr>
        <w:t>Resultados Enade 2019</w:t>
      </w:r>
      <w:r>
        <w:t>. Conceito Enade e IDD 2019. Brasília: Instituto Nacional de Estudos e Pesquisas Educacionais Anísio Teixeira (INEP), 2020. Disponível em</w:t>
      </w:r>
      <w:hyperlink r:id="rId21">
        <w:r>
          <w:rPr>
            <w:color w:val="1155CC"/>
            <w:u w:val="single"/>
          </w:rPr>
          <w:t xml:space="preserve"> </w:t>
        </w:r>
      </w:hyperlink>
      <w:r>
        <w:t>https://download.inep.gov.br/educacao_superior/enade/apresentacao/2020/Apresentacao_Resultados_Enade_Conceito_Enade_IDD_2019.pdf. Acesso em 07/12/2021.</w:t>
      </w:r>
    </w:p>
    <w:p w14:paraId="5EB7C5EE" w14:textId="77777777" w:rsidR="00E6157B" w:rsidRDefault="00A25C33">
      <w:pPr>
        <w:spacing w:after="0"/>
        <w:ind w:firstLine="0"/>
      </w:pPr>
      <w:bookmarkStart w:id="9" w:name="_heading=h.at8cl3bkques" w:colFirst="0" w:colLast="0"/>
      <w:bookmarkEnd w:id="9"/>
      <w:r>
        <w:t xml:space="preserve">MAHESH, B. </w:t>
      </w:r>
      <w:r>
        <w:rPr>
          <w:b/>
        </w:rPr>
        <w:t>MACHINE LEARNING ALGORITHMS - A REVIEW</w:t>
      </w:r>
      <w:r>
        <w:t xml:space="preserve">. </w:t>
      </w:r>
      <w:proofErr w:type="spellStart"/>
      <w:r>
        <w:t>International</w:t>
      </w:r>
      <w:proofErr w:type="spellEnd"/>
      <w:r>
        <w:t xml:space="preserve"> </w:t>
      </w:r>
      <w:proofErr w:type="spellStart"/>
      <w:r>
        <w:t>Journal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Science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Research</w:t>
      </w:r>
      <w:proofErr w:type="spellEnd"/>
      <w:r>
        <w:t xml:space="preserve">, v.9, i.1, p. 381-386. 2018. 10.21275/ART20203995. </w:t>
      </w:r>
    </w:p>
    <w:sectPr w:rsidR="00E6157B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5475E"/>
    <w:multiLevelType w:val="hybridMultilevel"/>
    <w:tmpl w:val="6750C73E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75941260"/>
    <w:multiLevelType w:val="multilevel"/>
    <w:tmpl w:val="350456AE"/>
    <w:lvl w:ilvl="0">
      <w:start w:val="1"/>
      <w:numFmt w:val="decimal"/>
      <w:pStyle w:val="Ttulo2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157B"/>
    <w:rsid w:val="000258EE"/>
    <w:rsid w:val="00047CDF"/>
    <w:rsid w:val="000534FC"/>
    <w:rsid w:val="0006335D"/>
    <w:rsid w:val="000D6607"/>
    <w:rsid w:val="00184B42"/>
    <w:rsid w:val="00233510"/>
    <w:rsid w:val="002D0BC0"/>
    <w:rsid w:val="002F59F2"/>
    <w:rsid w:val="00320BD6"/>
    <w:rsid w:val="003F0640"/>
    <w:rsid w:val="00515FBC"/>
    <w:rsid w:val="00544437"/>
    <w:rsid w:val="00574A7B"/>
    <w:rsid w:val="005C0D37"/>
    <w:rsid w:val="005C3358"/>
    <w:rsid w:val="005C3660"/>
    <w:rsid w:val="00617B9D"/>
    <w:rsid w:val="006369D7"/>
    <w:rsid w:val="00683018"/>
    <w:rsid w:val="00755710"/>
    <w:rsid w:val="00760C32"/>
    <w:rsid w:val="008027DA"/>
    <w:rsid w:val="00916274"/>
    <w:rsid w:val="009B3AF9"/>
    <w:rsid w:val="009D7074"/>
    <w:rsid w:val="00A00820"/>
    <w:rsid w:val="00A25C33"/>
    <w:rsid w:val="00A6620B"/>
    <w:rsid w:val="00A76357"/>
    <w:rsid w:val="00AB2DCF"/>
    <w:rsid w:val="00C63FB6"/>
    <w:rsid w:val="00C661CA"/>
    <w:rsid w:val="00D5304E"/>
    <w:rsid w:val="00E06741"/>
    <w:rsid w:val="00E2468C"/>
    <w:rsid w:val="00E6157B"/>
    <w:rsid w:val="00F01EA8"/>
    <w:rsid w:val="00F02B07"/>
    <w:rsid w:val="00F12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0E208"/>
  <w15:docId w15:val="{D550B3EB-6B42-4A6A-92F2-C5A882ADF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after="60"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4F5A"/>
  </w:style>
  <w:style w:type="paragraph" w:styleId="Ttulo1">
    <w:name w:val="heading 1"/>
    <w:basedOn w:val="Normal"/>
    <w:next w:val="Normal"/>
    <w:link w:val="Ttulo1Char"/>
    <w:uiPriority w:val="9"/>
    <w:qFormat/>
    <w:rsid w:val="000742B7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aps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52487"/>
    <w:pPr>
      <w:keepNext/>
      <w:keepLines/>
      <w:numPr>
        <w:numId w:val="1"/>
      </w:numPr>
      <w:spacing w:before="120" w:after="120" w:line="240" w:lineRule="auto"/>
      <w:ind w:left="714" w:hanging="357"/>
      <w:outlineLvl w:val="1"/>
    </w:pPr>
    <w:rPr>
      <w:rFonts w:eastAsiaTheme="majorEastAsia" w:cstheme="majorBidi"/>
      <w:b/>
      <w:sz w:val="24"/>
      <w:szCs w:val="26"/>
    </w:rPr>
  </w:style>
  <w:style w:type="paragraph" w:styleId="Ttulo3">
    <w:name w:val="heading 3"/>
    <w:aliases w:val="Título Referências"/>
    <w:basedOn w:val="Ttulo2"/>
    <w:next w:val="Normal"/>
    <w:link w:val="Ttulo3Char"/>
    <w:uiPriority w:val="9"/>
    <w:unhideWhenUsed/>
    <w:qFormat/>
    <w:rsid w:val="00A52487"/>
    <w:pPr>
      <w:numPr>
        <w:numId w:val="0"/>
      </w:numPr>
      <w:spacing w:before="60" w:after="60"/>
      <w:jc w:val="left"/>
      <w:outlineLvl w:val="2"/>
    </w:pPr>
    <w:rPr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1Char">
    <w:name w:val="Título 1 Char"/>
    <w:basedOn w:val="Fontepargpadro"/>
    <w:link w:val="Ttulo1"/>
    <w:uiPriority w:val="9"/>
    <w:rsid w:val="000742B7"/>
    <w:rPr>
      <w:rFonts w:ascii="Arial" w:eastAsiaTheme="majorEastAsia" w:hAnsi="Arial" w:cstheme="majorBidi"/>
      <w:b/>
      <w:caps/>
      <w:sz w:val="24"/>
      <w:szCs w:val="32"/>
    </w:rPr>
  </w:style>
  <w:style w:type="paragraph" w:customStyle="1" w:styleId="Resumo">
    <w:name w:val="Resumo"/>
    <w:basedOn w:val="Normal"/>
    <w:next w:val="Normal"/>
    <w:qFormat/>
    <w:rsid w:val="00C94F5A"/>
    <w:pPr>
      <w:spacing w:line="240" w:lineRule="auto"/>
      <w:ind w:firstLine="0"/>
    </w:pPr>
    <w:rPr>
      <w:i/>
    </w:rPr>
  </w:style>
  <w:style w:type="character" w:customStyle="1" w:styleId="Ttulo2Char">
    <w:name w:val="Título 2 Char"/>
    <w:basedOn w:val="Fontepargpadro"/>
    <w:link w:val="Ttulo2"/>
    <w:uiPriority w:val="9"/>
    <w:rsid w:val="00A52487"/>
    <w:rPr>
      <w:rFonts w:ascii="Arial" w:eastAsiaTheme="majorEastAsia" w:hAnsi="Arial" w:cstheme="majorBidi"/>
      <w:b/>
      <w:sz w:val="24"/>
      <w:szCs w:val="26"/>
    </w:rPr>
  </w:style>
  <w:style w:type="paragraph" w:customStyle="1" w:styleId="Autores">
    <w:name w:val="Autores"/>
    <w:basedOn w:val="Normal"/>
    <w:qFormat/>
    <w:rsid w:val="00C94F5A"/>
    <w:pPr>
      <w:jc w:val="center"/>
    </w:pPr>
  </w:style>
  <w:style w:type="character" w:customStyle="1" w:styleId="Ttulo3Char">
    <w:name w:val="Título 3 Char"/>
    <w:aliases w:val="Título Referências Char"/>
    <w:basedOn w:val="Fontepargpadro"/>
    <w:link w:val="Ttulo3"/>
    <w:uiPriority w:val="9"/>
    <w:rsid w:val="00A52487"/>
    <w:rPr>
      <w:rFonts w:ascii="Arial" w:eastAsiaTheme="majorEastAsia" w:hAnsi="Arial" w:cstheme="majorBidi"/>
      <w:b/>
      <w:sz w:val="24"/>
      <w:szCs w:val="24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TextodoEspaoReservado">
    <w:name w:val="Placeholder Text"/>
    <w:basedOn w:val="Fontepargpadro"/>
    <w:uiPriority w:val="99"/>
    <w:semiHidden/>
    <w:rsid w:val="00544437"/>
    <w:rPr>
      <w:color w:val="808080"/>
    </w:rPr>
  </w:style>
  <w:style w:type="paragraph" w:styleId="PargrafodaLista">
    <w:name w:val="List Paragraph"/>
    <w:basedOn w:val="Normal"/>
    <w:uiPriority w:val="34"/>
    <w:qFormat/>
    <w:rsid w:val="003F0640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FB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FB6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FB6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FB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FB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67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6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hyperlink" Target="http://ghdx.healthdata.org/record/ihme-data/premise-general-population-covid-19-health-services-disruption-survey-2020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IS7Kv7qQPjFe1Bj+TDCtWAxpeg==">AMUW2mW/EPp6QBRkBrDBIMaAKoal+foAnFnVeP+BWae3jx1Fs8Z2AEwyjIndftEEtgY1aJHc+dpQDNApD2H0hCd9R9xX+HAsdbOyUqdusevmXYRf1VT3SeBgnnyxFAc8SVpXcbLh9DsAMD4N2UCPaQDThDcPWA/ct8iNfgRDtL44YlD1yMHlkelaxTU2RUfbir2+mDJrPRczN0WvJw3F1MFG5BJ8c+xNbd/L6d+V6tQPJBpRFiLKFwxMMC3TK0KEBk4LJ6muPWOWpFuwbP1g+5vpttkanTPdZJsFM/zqwUjhsn19IvmB6gV9Ho8vGRoxEe+hQkFlnTM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15</Pages>
  <Words>3255</Words>
  <Characters>17578</Characters>
  <Application>Microsoft Office Word</Application>
  <DocSecurity>0</DocSecurity>
  <Lines>146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 Samways dos Santos</dc:creator>
  <cp:lastModifiedBy>Marlon Alves Bomfim</cp:lastModifiedBy>
  <cp:revision>6</cp:revision>
  <dcterms:created xsi:type="dcterms:W3CDTF">2020-10-13T19:04:00Z</dcterms:created>
  <dcterms:modified xsi:type="dcterms:W3CDTF">2021-12-15T01:30:00Z</dcterms:modified>
</cp:coreProperties>
</file>