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5ED48ECA" w14:textId="609F2751" w:rsidR="00EB7AC0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24422" w:history="1">
            <w:r w:rsidR="00EB7AC0" w:rsidRPr="001A3772">
              <w:rPr>
                <w:rStyle w:val="Hyperlink"/>
                <w:noProof/>
              </w:rPr>
              <w:t>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Uvod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_Toc46524422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1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1B76B3E0" w14:textId="0B167EBE" w:rsidR="00EB7AC0" w:rsidRDefault="002B461C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3" w:history="1">
            <w:r w:rsidR="00EB7AC0" w:rsidRPr="001A3772">
              <w:rPr>
                <w:rStyle w:val="Hyperlink"/>
                <w:noProof/>
              </w:rPr>
              <w:t>2.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Spring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_Toc46524423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2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33DF5FB5" w14:textId="1FD80B8D" w:rsidR="00EB7AC0" w:rsidRDefault="002B461C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4" w:history="1">
            <w:r w:rsidR="00EB7AC0" w:rsidRPr="001A3772">
              <w:rPr>
                <w:rStyle w:val="Hyperlink"/>
                <w:noProof/>
              </w:rPr>
              <w:t>2.1.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Povijest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_Toc46524424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3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1B677999" w14:textId="40706269" w:rsidR="00EB7AC0" w:rsidRDefault="002B461C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5" w:history="1">
            <w:r w:rsidR="00EB7AC0" w:rsidRPr="001A3772">
              <w:rPr>
                <w:rStyle w:val="Hyperlink"/>
                <w:noProof/>
              </w:rPr>
              <w:t>2.2.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Spring Boot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_Toc46524425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4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6BB0AA10" w14:textId="362CC26D" w:rsidR="00EB7AC0" w:rsidRDefault="002B461C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6" w:history="1">
            <w:r w:rsidR="00EB7AC0" w:rsidRPr="001A3772">
              <w:rPr>
                <w:rStyle w:val="Hyperlink"/>
                <w:noProof/>
              </w:rPr>
              <w:t>3.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Kotlin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_Toc46524426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5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73790C97" w14:textId="3AE2F3E7" w:rsidR="00EB7AC0" w:rsidRDefault="002B461C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7" w:history="1">
            <w:r w:rsidR="00EB7AC0" w:rsidRPr="001A3772">
              <w:rPr>
                <w:rStyle w:val="Hyperlink"/>
                <w:noProof/>
              </w:rPr>
              <w:t>3.1.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Jezik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_Toc46524427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6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05E4E289" w14:textId="7A9765DB" w:rsidR="00EB7AC0" w:rsidRDefault="002B461C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8" w:history="1">
            <w:r w:rsidR="00EB7AC0" w:rsidRPr="001A3772">
              <w:rPr>
                <w:rStyle w:val="Hyperlink"/>
                <w:noProof/>
              </w:rPr>
              <w:t>3.1.1.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Osnovna sintaksa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_Toc46524428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6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38D367FA" w14:textId="66B1E9C9" w:rsidR="00EB7AC0" w:rsidRDefault="002B461C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9" w:history="1">
            <w:r w:rsidR="00EB7AC0" w:rsidRPr="001A3772">
              <w:rPr>
                <w:rStyle w:val="Hyperlink"/>
                <w:noProof/>
              </w:rPr>
              <w:t>3.1.1.1.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Rad s paketima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_Toc46524429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6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2148C33B" w14:textId="2DF59F1E" w:rsidR="00EB7AC0" w:rsidRDefault="002B461C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0" w:history="1">
            <w:r w:rsidR="00EB7AC0" w:rsidRPr="001A3772">
              <w:rPr>
                <w:rStyle w:val="Hyperlink"/>
                <w:noProof/>
              </w:rPr>
              <w:t>3.1.1.2.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Funkcije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_Toc46524430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6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7F766700" w14:textId="1AED9850" w:rsidR="00EB7AC0" w:rsidRDefault="002B461C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1" w:history="1">
            <w:r w:rsidR="00EB7AC0" w:rsidRPr="001A3772">
              <w:rPr>
                <w:rStyle w:val="Hyperlink"/>
                <w:noProof/>
              </w:rPr>
              <w:t>3.1.1.3.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Varijable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_Toc46524431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7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7C5A7085" w14:textId="308DA65F" w:rsidR="00EB7AC0" w:rsidRDefault="002B461C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2" w:history="1">
            <w:r w:rsidR="00EB7AC0" w:rsidRPr="001A3772">
              <w:rPr>
                <w:rStyle w:val="Hyperlink"/>
                <w:noProof/>
              </w:rPr>
              <w:t>3.1.1.4.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String predlošci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_Toc46524432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7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349B9288" w14:textId="41C6494C" w:rsidR="00EB7AC0" w:rsidRDefault="002B461C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3" w:history="1">
            <w:r w:rsidR="00EB7AC0" w:rsidRPr="001A3772">
              <w:rPr>
                <w:rStyle w:val="Hyperlink"/>
                <w:noProof/>
              </w:rPr>
              <w:t>3.1.1.5.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Uvjetni izrazi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_Toc46524433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8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69542060" w14:textId="4F513AC1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24422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24423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24424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24425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24426"/>
      <w:proofErr w:type="spellStart"/>
      <w:r>
        <w:lastRenderedPageBreak/>
        <w:t>Kotlin</w:t>
      </w:r>
      <w:bookmarkEnd w:id="7"/>
      <w:proofErr w:type="spellEnd"/>
    </w:p>
    <w:p w14:paraId="501854A1" w14:textId="33231BF6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2020h)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514FA623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6D3445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2020j)","plainTextFormattedCitation":"(JetBrains s.r.o., 2020j)","previouslyFormattedCitation":"(JetBrains s.r.o., 2020i)"},"properties":{"noteIndex":0},"schema":"https://github.com/citation-style-language/schema/raw/master/csl-citation.json"}</w:instrText>
      </w:r>
      <w:r w:rsidR="00BF45A8">
        <w:fldChar w:fldCharType="separate"/>
      </w:r>
      <w:r w:rsidR="006D3445" w:rsidRPr="006D3445">
        <w:rPr>
          <w:noProof/>
        </w:rPr>
        <w:t>(JetBrains s.r.o., 2020j)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6B909DE4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2020d)","plainTextFormattedCitation":"(JetBrains s.r.o., 2020d)","previouslyFormattedCitation":"(JetBrains s.r.o.,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5B68BA19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2020c)","plainTextFormattedCitation":"(JetBrains s.r.o., 2020c)","previouslyFormattedCitation":"(JetBrains s.r.o.,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2020c)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24427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24428"/>
      <w:r>
        <w:t>Osnovna sintaksa</w:t>
      </w:r>
      <w:bookmarkEnd w:id="9"/>
    </w:p>
    <w:p w14:paraId="097A8439" w14:textId="73EA36AA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2020f)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24429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24430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24431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524432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524433"/>
      <w:r>
        <w:t>Uvjetni izrazi</w:t>
      </w:r>
      <w:bookmarkEnd w:id="14"/>
    </w:p>
    <w:p w14:paraId="2EEFF950" w14:textId="0B4D28F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izrazi, tj. kondicionalni izrazi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329AA">
      <w:pPr>
        <w:pStyle w:val="FOINaslov4"/>
      </w:pPr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</w:p>
    <w:p w14:paraId="22A1C84F" w14:textId="60713EFA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ima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da određena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2020e)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09567F4C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2020e)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3242098B" w:rsidR="00D61B4D" w:rsidRDefault="00C65A14" w:rsidP="00C65A14">
      <w:pPr>
        <w:pStyle w:val="FOINaslov4"/>
      </w:pPr>
      <w:r>
        <w:t xml:space="preserve">Provjeravanje te </w:t>
      </w:r>
      <w:proofErr w:type="spellStart"/>
      <w:r>
        <w:t>pretovrba</w:t>
      </w:r>
      <w:proofErr w:type="spellEnd"/>
      <w:r>
        <w:t xml:space="preserve"> tipova podataka</w:t>
      </w:r>
    </w:p>
    <w:p w14:paraId="2A74E553" w14:textId="5A354CCE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2020g)","plainTextFormattedCitation":"(JetBrains s.r.o., 2020g)","previouslyFormattedCitation":"(JetBrains s.r.o., 2020f)"},"properties":{"noteIndex":0},"schema":"https://github.com/citation-style-language/schema/raw/master/csl-citation.json"}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2020g)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3156407B" w:rsidR="002B461C" w:rsidRDefault="002B461C" w:rsidP="002B461C">
      <w:pPr>
        <w:pStyle w:val="FOINaslov4"/>
      </w:pPr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</w:p>
    <w:p w14:paraId="51B13C86" w14:textId="0A1DD9C5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</w:t>
      </w:r>
      <w:r>
        <w:t>"</w:t>
      </w:r>
      <w:r>
        <w:t xml:space="preserve">, </w:t>
      </w:r>
      <w:r>
        <w:t>"</w:t>
      </w:r>
      <w:r>
        <w:t>dva</w:t>
      </w:r>
      <w:r>
        <w:t>"</w:t>
      </w:r>
      <w:r>
        <w:t xml:space="preserve">, </w:t>
      </w:r>
      <w:r>
        <w:t>"</w:t>
      </w:r>
      <w:r>
        <w:t>tri</w:t>
      </w:r>
      <w:r>
        <w:t>"</w:t>
      </w:r>
      <w:r>
        <w:t>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</w:t>
      </w:r>
      <w:r w:rsidR="00100DDD">
        <w:t>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534D8E2F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2020b)","plainTextFormattedCitation":"(JetBrains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2020b)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2020i)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</w:r>
      <w:r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</w:t>
      </w:r>
      <w:r>
        <w:t>println</w:t>
      </w:r>
      <w:proofErr w:type="spellEnd"/>
      <w:r>
        <w:t>(</w:t>
      </w:r>
      <w:r>
        <w:t>i</w:t>
      </w:r>
      <w:r>
        <w:t xml:space="preserve">) // </w:t>
      </w:r>
      <w:r>
        <w:t xml:space="preserve">java </w:t>
      </w:r>
      <w:r>
        <w:t xml:space="preserve">ispis: </w:t>
      </w:r>
      <w:r>
        <w:t xml:space="preserve">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>
        <w:t>"</w:t>
      </w:r>
      <w:r>
        <w:t>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138A72B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Pr="00FC628D">
        <w:rPr>
          <w:rFonts w:ascii="Arial" w:hAnsi="Arial" w:cs="Arial"/>
          <w:sz w:val="22"/>
          <w:szCs w:val="22"/>
        </w:rPr>
        <w:t>While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("Element: $</w:t>
      </w:r>
      <w:r>
        <w:t>{</w:t>
      </w:r>
      <w:r>
        <w:t>elem</w:t>
      </w:r>
      <w:r>
        <w:t>enti[i]}</w:t>
      </w:r>
      <w:r>
        <w:t xml:space="preserve"> sa indeksom: $</w:t>
      </w:r>
      <w:r>
        <w:t>i</w:t>
      </w:r>
      <w:r>
        <w:t xml:space="preserve">") </w:t>
      </w:r>
    </w:p>
    <w:p w14:paraId="660D0674" w14:textId="4518F775" w:rsidR="00FC628D" w:rsidRDefault="00FC628D" w:rsidP="00FC628D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416079A7" w14:textId="77777777" w:rsidR="00FC628D" w:rsidRPr="00FC628D" w:rsidRDefault="00FC628D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5EA2847" w14:textId="77777777" w:rsidR="00274441" w:rsidRPr="00274441" w:rsidRDefault="00274441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E7DB5F5" w14:textId="47BA5BA9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4A1FC94E" w14:textId="77777777" w:rsidR="00350F33" w:rsidRPr="00350F33" w:rsidRDefault="00350F33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F043DE0" w14:textId="30C662C3" w:rsidR="002B461C" w:rsidRDefault="002B461C" w:rsidP="00CB72AF">
      <w:pPr>
        <w:pStyle w:val="HTMLPreformatted"/>
        <w:spacing w:after="120"/>
      </w:pPr>
    </w:p>
    <w:p w14:paraId="45C7A902" w14:textId="77777777" w:rsidR="002B461C" w:rsidRDefault="002B461C" w:rsidP="00CB72AF">
      <w:pPr>
        <w:pStyle w:val="HTMLPreformatted"/>
        <w:spacing w:after="120"/>
      </w:pPr>
    </w:p>
    <w:p w14:paraId="704152D6" w14:textId="77777777" w:rsidR="00CB72AF" w:rsidRPr="00CB72AF" w:rsidRDefault="00CB72AF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EEEE033" w14:textId="77777777" w:rsidR="006D5958" w:rsidRDefault="006D5958" w:rsidP="00C146E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9DFBFAE" w14:textId="77777777" w:rsidR="00C146E6" w:rsidRPr="000D5BBF" w:rsidRDefault="00C146E6" w:rsidP="00C146E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C146E6" w:rsidRPr="000D5BBF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9DF7D" w14:textId="77777777" w:rsidR="00672772" w:rsidRDefault="00672772" w:rsidP="0015288B">
      <w:r>
        <w:separator/>
      </w:r>
    </w:p>
  </w:endnote>
  <w:endnote w:type="continuationSeparator" w:id="0">
    <w:p w14:paraId="749CD705" w14:textId="77777777" w:rsidR="00672772" w:rsidRDefault="00672772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2B461C" w:rsidRDefault="002B461C">
    <w:pPr>
      <w:pStyle w:val="Footer"/>
      <w:jc w:val="right"/>
    </w:pPr>
  </w:p>
  <w:p w14:paraId="05E476E7" w14:textId="77777777" w:rsidR="002B461C" w:rsidRDefault="002B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2B461C" w:rsidRDefault="002B461C">
    <w:pPr>
      <w:pStyle w:val="Footer"/>
      <w:jc w:val="right"/>
    </w:pPr>
  </w:p>
  <w:p w14:paraId="5BAB876B" w14:textId="77777777" w:rsidR="002B461C" w:rsidRDefault="002B4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2B461C" w:rsidRDefault="002B461C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2B461C" w:rsidRDefault="002B46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2B461C" w:rsidRDefault="002B461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2B461C" w:rsidRDefault="002B461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2B461C" w:rsidRDefault="002B4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4ABE" w14:textId="77777777" w:rsidR="00672772" w:rsidRDefault="00672772" w:rsidP="0015288B">
      <w:r>
        <w:separator/>
      </w:r>
    </w:p>
  </w:footnote>
  <w:footnote w:type="continuationSeparator" w:id="0">
    <w:p w14:paraId="6D980495" w14:textId="77777777" w:rsidR="00672772" w:rsidRDefault="00672772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2772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27000</TotalTime>
  <Pages>16</Pages>
  <Words>5681</Words>
  <Characters>32386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4236</cp:revision>
  <cp:lastPrinted>2012-11-30T11:54:00Z</cp:lastPrinted>
  <dcterms:created xsi:type="dcterms:W3CDTF">2017-11-13T12:09:00Z</dcterms:created>
  <dcterms:modified xsi:type="dcterms:W3CDTF">2020-07-25T10:01:00Z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