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lineRule="auto"/>
        <w:jc w:val="center"/>
        <w:rPr/>
      </w:pPr>
      <w:bookmarkStart w:colFirst="0" w:colLast="0" w:name="_eb6tiltihzld" w:id="0"/>
      <w:bookmarkEnd w:id="0"/>
      <w:r w:rsidDel="00000000" w:rsidR="00000000" w:rsidRPr="00000000">
        <w:rPr>
          <w:sz w:val="40"/>
          <w:szCs w:val="40"/>
          <w:rtl w:val="0"/>
        </w:rPr>
        <w:t xml:space="preserve">Mapeamento das Integrações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Este documento apresenta o mapeamento das integrações externas necessárias para o sistema VITTAS e a justificativa técnica para cada escolha. O objetivo principal é garantir eficiência, segurança e rápida implementação, alinhando-se à arquitetura de monólito adotada pelo projeto.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ztcf15c3w0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Integrações Necessárias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475"/>
        <w:gridCol w:w="1995"/>
        <w:gridCol w:w="2235"/>
        <w:tblGridChange w:id="0">
          <w:tblGrid>
            <w:gridCol w:w="2235"/>
            <w:gridCol w:w="2475"/>
            <w:gridCol w:w="1995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Serviço Externo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Módulo do Vittas responsável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Exemplo de APIs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 Provedor de notificações / mensagens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Ao realizar agendamento, cancelamento ou reagendamento, o sistema manda um e-mail ou SMS de confirmação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Notificações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API do Whatsapp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 Notificações na tela em tempo real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uma consulta for cancelada ou reagendar, a lista de horários na tela da clínica muda na mesma hora em tempo real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Notificações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Azure Web PubSub / Websocket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3. Serviço de login e segurança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Garantir login seguro de pacientes e médicos com controle de perfis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Gov.br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4. Assinatura Digital de Receitas (Padrão ICP-Brasil)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Permite que o médico assine digitalmente a receita após o atendimento de forma oficial e segura.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Receitas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Certificadoras ICP-Brasil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5. Operadoras de saúde e guias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Validação de elegibilidade da carteirinha do paciente, verificação de carência e autorização de guias de atendimento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Convênios e Plano de Saúde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APIs Padrão TISS (ANS)</w:t>
            </w:r>
          </w:p>
        </w:tc>
      </w:tr>
    </w:tbl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qp0ehrrd3rc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luj9q2nspad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Justificativa de Viabilidade</w:t>
      </w:r>
    </w:p>
    <w:p w:rsidR="00000000" w:rsidDel="00000000" w:rsidP="00000000" w:rsidRDefault="00000000" w:rsidRPr="00000000" w14:paraId="00000021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As integrações externas no Vittas se justificam pelos seguintes fatores: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lineRule="auto"/>
        <w:ind w:left="566.9291338582675" w:hanging="566.9291338582675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Redução de custos, Clean Architecture e reuso de infraestrutura:</w:t>
      </w:r>
      <w:r w:rsidDel="00000000" w:rsidR="00000000" w:rsidRPr="00000000">
        <w:rPr>
          <w:rtl w:val="0"/>
        </w:rPr>
        <w:t xml:space="preserve"> Integrando serviços consolidados e utilizando o padrão Adapter/Repository no módulo de Integrações, direcionamos esforços para o desenvolvimento das regras de negócio centrais (como Agendamento e Atendimento) e sem necessidade de refatorar o código do sistema quando ocorrer troca de APIs.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Rule="auto"/>
        <w:ind w:left="566.9291338582675" w:hanging="566.9291338582675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Conformidade legal:</w:t>
      </w:r>
      <w:r w:rsidDel="00000000" w:rsidR="00000000" w:rsidRPr="00000000">
        <w:rPr>
          <w:rtl w:val="0"/>
        </w:rPr>
        <w:t xml:space="preserve"> Por determinação do Ministério da Saúde e demais órgãos de legislação brasileira de saúde, receitas e atestados eletrônicos devem possuir assinatura digital no padrão ICP-Brasil. Por isso, integrar o Vittas com plataformas de certificado digital é indispensável para assegurar validade jurídica aos documentos médicos.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Rule="auto"/>
        <w:ind w:left="566.9291338582675" w:hanging="566.9291338582675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Autenticação centralizada e proteção de dados sensíveis:</w:t>
      </w:r>
      <w:r w:rsidDel="00000000" w:rsidR="00000000" w:rsidRPr="00000000">
        <w:rPr>
          <w:rtl w:val="0"/>
        </w:rPr>
        <w:t xml:space="preserve"> Integração com provedores OAuth2, garante gestão de identidades e autenticação em múltiplos fatores ao lidar com dados médicos sensíveis, atendendo às exigências da LGPD.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lineRule="auto"/>
        <w:ind w:left="566.9291338582675" w:hanging="566.9291338582675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Compatibilidade com diversos convênios:</w:t>
      </w:r>
      <w:r w:rsidDel="00000000" w:rsidR="00000000" w:rsidRPr="00000000">
        <w:rPr>
          <w:rtl w:val="0"/>
        </w:rPr>
        <w:t xml:space="preserve"> A integração com operadoras de planos de saúde possibilita verificar se o plano do paciente está ativo antes de confirmar a consulta, reduzindo erros de faturamento ou até a invalidação de guias médicas.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lineRule="auto"/>
        <w:ind w:left="566.9291338582675" w:hanging="566.9291338582675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Comunicação eficiente em tempo real:</w:t>
      </w:r>
      <w:r w:rsidDel="00000000" w:rsidR="00000000" w:rsidRPr="00000000">
        <w:rPr>
          <w:rtl w:val="0"/>
        </w:rPr>
        <w:t xml:space="preserve"> Utilizando o Azure Web PubSub e protocolo websocket, proporcionamos atualizações rápidas na agenda para melhorar a gestão de consultas.</w:t>
      </w:r>
    </w:p>
    <w:p w:rsidR="00000000" w:rsidDel="00000000" w:rsidP="00000000" w:rsidRDefault="00000000" w:rsidRPr="00000000" w14:paraId="00000027">
      <w:pPr>
        <w:spacing w:after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